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2022年中国传媒大学部门、单位年度目标考核</w:t>
      </w:r>
    </w:p>
    <w:p/>
    <w:p>
      <w:pPr>
        <w:rPr>
          <w:sz w:val="24"/>
          <w:szCs w:val="32"/>
        </w:rPr>
      </w:pPr>
      <w:r>
        <w:rPr>
          <w:sz w:val="24"/>
          <w:szCs w:val="32"/>
        </w:rPr>
        <w:t>尊敬的评委、学校评委团（...）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您好！欢迎参加2022年部门、单位年度目标考核。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在评价之前，请仔细阅读以下提示：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请您扫描二维码进行本次测评：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W3L7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此次评价为匿名评价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打分时选择相应等级后，可以通过“+”“-”调整默认分数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所有评价对象打分完成后，方可点击页面右下角的“提交”按钮，完成此次评价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请在测评当天……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right"/>
        <w:rPr>
          <w:sz w:val="24"/>
          <w:szCs w:val="32"/>
        </w:rPr>
      </w:pPr>
      <w:r>
        <w:rPr>
          <w:sz w:val="24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75DF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2022-05-11T08:54:21Z</dcterms:created>
  <dc:creator>Data</dc:creator>
  <cp:lastModifiedBy>carotwang</cp:lastModifiedBy>
  <dcterms:modified xsi:type="dcterms:W3CDTF">2022-05-11T09:49:56Z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