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  <w:jc w:val="center"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强化学习课程项目报告</w:t>
      </w:r>
    </w:p>
    <w:p>
      <w:pPr>
        <w:pStyle w:val="Title"/>
        <w:jc w:val="center"/>
      </w:pPr>
      <w:r>
        <w:t>基于DQN的Breakout智能体课程报告</w:t>
      </w:r>
    </w:p>
    <w:p>
      <w:pPr>
        <w:spacing w:after="48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24"/>
        </w:rPr>
        <w:t>从自制环境建模到训练评估与交互展示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2727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72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</w:pP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课程名称  强化学习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专业班级  硕2605班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学号  M202674292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学生姓名  赵恒升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指导教师  何琨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提交日期  2026年10月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课程项目实现了一套基于深度Q网络的Breakout智能体。项目没有直接调用ALE或游戏ROM，而是依据固定规则重建了一个可重复的打砖块环境，并使用Gymnasium接口统一封装。智能体只接收连续游戏画面，不获得小球坐标、速度或人工动作标签；奖励仅来自击碎砖块的原生得分。训练部分基于Stable Baselines3的DQN实现，采用卷积神经网络、经验回放、目标网络和epsilon greedy探索，并补充了模型检查点、开发集评估、续训预热、早停保护、回放持久化和网页演示等工程模块。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当前物理版本下，从头训练500k决策步的最佳开发均分为174.00。以该阶段候选模型为起点，采用更低学习率进行一步回报续训后，开发均分最高达到283.48；同一模型在额外30个开发种子上的复测均分为260.27，中位数为257.00。三步回报和扩大回放的后续实验均未超过续训起点，因此触发早停。以上成绩均用于开发和选模，最终留出测试尚未完成。报告据此总结了已实现的系统、训练结果和现阶段结论，并给出后续验证计划。</w:t>
      </w:r>
    </w:p>
    <w:p>
      <w:pPr>
        <w:spacing w:before="80" w:after="200"/>
      </w:pPr>
      <w:r>
        <w:rPr>
          <w:rFonts w:ascii="Arial Unicode MS" w:hAnsi="Arial Unicode MS" w:eastAsia="Arial Unicode MS" w:cs="Arial Unicode MS"/>
          <w:b/>
          <w:color w:val="000000"/>
          <w:sz w:val="21"/>
        </w:rPr>
        <w:t xml:space="preserve">关键词  </w:t>
      </w: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深度Q网络  Breakout  图像强化学习  经验回放  模型评估</w:t>
      </w:r>
    </w:p>
    <w:p>
      <w:pPr>
        <w:pStyle w:val="Heading1"/>
      </w:pPr>
      <w:r>
        <w:t>项目工作概览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1417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工作模块</w:t>
            </w:r>
          </w:p>
        </w:tc>
        <w:tc>
          <w:tcPr>
            <w:tcW w:type="dxa" w:w="396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已完成内容</w:t>
            </w:r>
          </w:p>
        </w:tc>
        <w:tc>
          <w:tcPr>
            <w:tcW w:type="dxa" w:w="3402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项目意义</w:t>
            </w:r>
          </w:p>
        </w:tc>
      </w:tr>
      <w:tr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环境</w:t>
            </w:r>
          </w:p>
        </w:tc>
        <w:tc>
          <w:tcPr>
            <w:tcW w:type="dxa" w:w="396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自制固定球速Breakout 物理版本3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控制规则和随机性 便于复现实验</w:t>
            </w:r>
          </w:p>
        </w:tc>
      </w:tr>
      <w:tr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建模</w:t>
            </w:r>
          </w:p>
        </w:tc>
        <w:tc>
          <w:tcPr>
            <w:tcW w:type="dxa" w:w="396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四帧堆叠图像输入 四个离散动作 原生得分奖励</w:t>
            </w:r>
          </w:p>
        </w:tc>
        <w:tc>
          <w:tcPr>
            <w:tcW w:type="dxa" w:w="3402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将像素控制任务转化为DQN可学习问题</w:t>
            </w:r>
          </w:p>
        </w:tc>
      </w:tr>
      <w:tr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训练</w:t>
            </w:r>
          </w:p>
        </w:tc>
        <w:tc>
          <w:tcPr>
            <w:tcW w:type="dxa" w:w="396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500k基础训练 200k续训配置 检查点和回放保存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支持从头训练 恢复实验和失败保护</w:t>
            </w:r>
          </w:p>
        </w:tc>
      </w:tr>
      <w:tr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评估</w:t>
            </w:r>
          </w:p>
        </w:tc>
        <w:tc>
          <w:tcPr>
            <w:tcW w:type="dxa" w:w="396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固定开发种子 均值和中位数选模 逐局记录</w:t>
            </w:r>
          </w:p>
        </w:tc>
        <w:tc>
          <w:tcPr>
            <w:tcW w:type="dxa" w:w="3402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避免仅凭单局演示或最后模型判断效果</w:t>
            </w:r>
          </w:p>
        </w:tc>
      </w:tr>
      <w:tr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展示</w:t>
            </w:r>
          </w:p>
        </w:tc>
        <w:tc>
          <w:tcPr>
            <w:tcW w:type="dxa" w:w="396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网页实时播放 模型选择 暂停 倍率和全屏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方便课堂演示和行为观察</w:t>
            </w:r>
          </w:p>
        </w:tc>
      </w:tr>
    </w:tbl>
    <w:p>
      <w:pPr>
        <w:spacing w:after="20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6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图1  从连续画面到动作价值的整体处理路径</w:t>
      </w:r>
    </w:p>
    <w:p>
      <w:pPr>
        <w:pStyle w:val="Heading1"/>
      </w:pPr>
      <w:r>
        <w:t>一 项目背景与目标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Breakout的动作空间很小，但控制过程同时包含视觉感知、延迟奖励和连续决策。挡板的一次移动通常不会立即得分，接球本身也没有奖励；只有小球随后击中砖块时，环境才返回正奖励。智能体必须根据连续画面判断运动趋势，并把后续得分与之前的移动联系起来。这个任务能够集中体现强化学习中的状态表示、信用分配、探索利用权衡和离策略学习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项目的目标不是复现原版Atari基准成绩，也不把工程改动包装成新的强化学习算法。项目重点是完成一条可运行、可评估、可展示的课程实验链路，包括重建规则一致的游戏环境、建立DQN训练接口、保存训练证据、比较候选策略，以及分析继续训练为何可能退化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围绕这一目标，本次工作完成了五项主要内容。第一，重建固定物理规则并编写测试，避免实验期间球速、挡板宽度和反弹规则漂移。第二，统一训练、评估、视频和网页演示的预处理契约。第三，构建支持检查点、回放缓冲区和中断保存的DQN训练流程。第四，在开发种子上进行定期评估并同时记录均分、中位数和低分比例。第五，实现网页端实时展示，使训练产物能够直接用于课堂演示。</w:t>
      </w:r>
    </w:p>
    <w:p>
      <w:pPr>
        <w:pStyle w:val="Heading1"/>
      </w:pPr>
      <w:r>
        <w:t>二 环境设计与强化学习建模</w:t>
      </w:r>
    </w:p>
    <w:p>
      <w:pPr>
        <w:pStyle w:val="Heading2"/>
      </w:pPr>
      <w:r>
        <w:t>游戏规则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环境采用五条生命、每面6行18列砖块、两面砖墙。六行砖块的单块分值依次为7、7、4、4、1和1，两面砖墙的理论最高分为864。物理时间固定为60帧每秒，小球速度固定为每物理帧2像素，即120像素每秒；挡板宽度固定为16像素。挡板接球位置会改变反弹方向，但反弹角度不随击球次数变化。开局和失球后自动发球，避免把发球操作混入主要控制目标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该环境是对规则的工程重建，而不是对Atari 2600 ROM的逐周期复现。因此，分数只能用于本项目同一物理版本下的策略比较，不能与公开ALE排行榜直接对照。代码还把物理版本、球速、预处理参数和终止规则写入模型契约，旧规则模型会被明确拒绝加载。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901193"/>
            <wp:docPr id="101" name="game_live.png" descr="图2  Breakout网页实际运行界面：种子42000、得分20、剩余5条生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game_live.png" descr="图2  Breakout网页实际运行界面：种子42000、得分20、剩余5条生命"/>
                    <pic:cNvPicPr/>
                  </pic:nvPicPr>
                  <pic:blipFill>
                    <a:blip r:embed="rIdReportGame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1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图2  Breakout网页实际运行界面：种子42000、得分20、剩余5条生命</w:t>
      </w:r>
    </w:p>
    <w:p>
      <w:pPr>
        <w:pStyle w:val="Heading2"/>
      </w:pPr>
      <w:r>
        <w:t>状态动作与奖励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113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351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本项目定义</w:t>
            </w:r>
          </w:p>
        </w:tc>
        <w:tc>
          <w:tcPr>
            <w:tcW w:type="dxa" w:w="413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设计理由</w:t>
            </w:r>
          </w:p>
        </w:tc>
      </w:tr>
      <w:tr>
        <w:tc>
          <w:tcPr>
            <w:tcW w:type="dxa" w:w="113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观测</w:t>
            </w:r>
          </w:p>
        </w:tc>
        <w:tc>
          <w:tcPr>
            <w:tcW w:type="dxa" w:w="351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连续四帧灰度图像 形状4乘84乘84</w:t>
            </w:r>
          </w:p>
        </w:tc>
        <w:tc>
          <w:tcPr>
            <w:tcW w:type="dxa" w:w="413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保留小球位置变化和近期运动信息</w:t>
            </w:r>
          </w:p>
        </w:tc>
      </w:tr>
      <w:tr>
        <w:tc>
          <w:tcPr>
            <w:tcW w:type="dxa" w:w="113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动作</w:t>
            </w:r>
          </w:p>
        </w:tc>
        <w:tc>
          <w:tcPr>
            <w:tcW w:type="dxa" w:w="351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等待 发球 向右 向左</w:t>
            </w:r>
          </w:p>
        </w:tc>
        <w:tc>
          <w:tcPr>
            <w:tcW w:type="dxa" w:w="413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对应环境提供的四个离散控制</w:t>
            </w:r>
          </w:p>
        </w:tc>
      </w:tr>
      <w:tr>
        <w:tc>
          <w:tcPr>
            <w:tcW w:type="dxa" w:w="113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奖励</w:t>
            </w:r>
          </w:p>
        </w:tc>
        <w:tc>
          <w:tcPr>
            <w:tcW w:type="dxa" w:w="351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击碎砖块获得的原生分数</w:t>
            </w:r>
          </w:p>
        </w:tc>
        <w:tc>
          <w:tcPr>
            <w:tcW w:type="dxa" w:w="413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不引入接球奖励或失球惩罚</w:t>
            </w:r>
          </w:p>
        </w:tc>
      </w:tr>
      <w:tr>
        <w:tc>
          <w:tcPr>
            <w:tcW w:type="dxa" w:w="113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终止</w:t>
            </w:r>
          </w:p>
        </w:tc>
        <w:tc>
          <w:tcPr>
            <w:tcW w:type="dxa" w:w="351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五条生命耗尽或两面砖墙清空</w:t>
            </w:r>
          </w:p>
        </w:tc>
        <w:tc>
          <w:tcPr>
            <w:tcW w:type="dxa" w:w="413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一局对应完整游戏而非单条生命</w:t>
            </w:r>
          </w:p>
        </w:tc>
      </w:tr>
      <w:tr>
        <w:tc>
          <w:tcPr>
            <w:tcW w:type="dxa" w:w="113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截断</w:t>
            </w:r>
          </w:p>
        </w:tc>
        <w:tc>
          <w:tcPr>
            <w:tcW w:type="dxa" w:w="351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最多108000个物理帧</w:t>
            </w:r>
          </w:p>
        </w:tc>
        <w:tc>
          <w:tcPr>
            <w:tcW w:type="dxa" w:w="413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防止异常长回合无限运行</w:t>
            </w:r>
          </w:p>
        </w:tc>
      </w:tr>
    </w:tbl>
    <w:p>
      <w:pPr>
        <w:spacing w:after="20"/>
      </w:pP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原始观测为210乘160的RGB图像。预处理先让同一动作重复4个物理帧并对实际产生的最后两帧做最大池化，再执行灰度化和84乘84缩放，最后堆叠最近4个观测。动作重复降低决策频率，帧堆叠为网络提供短期运动线索，两者承担不同作用。训练、评估、录像和展示均调用同一环境工厂，避免出现输入分布不一致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9010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图3  共享环境工厂中的真实RGB、最大池化结果与四帧灰度输入</w:t>
      </w:r>
    </w:p>
    <w:p>
      <w:pPr>
        <w:pStyle w:val="Heading2"/>
      </w:pPr>
      <w:r>
        <w:t>长期回报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强化学习优化的是未来奖励的折扣累计值，而不是当前一步是否得分。对于时刻t，回报定义如下。折扣因子gamma控制未来奖励对当前决策的影响，本项目设置为0.99。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68880" cy="561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ur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61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式1  折扣累计回报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不设置失球惩罚并不意味着模型不会学习避开失球。失去生命会减少后续击砖机会，这种影响可以通过长期价值传播到更早的动作。不过，奖励仅在击砖时出现也会使早期有效样本较稀疏，增加训练难度。</w:t>
      </w:r>
    </w:p>
    <w:p>
      <w:pPr>
        <w:pStyle w:val="Heading1"/>
      </w:pPr>
      <w:r>
        <w:t>三 DQN方法</w:t>
      </w:r>
    </w:p>
    <w:p>
      <w:pPr>
        <w:pStyle w:val="Heading2"/>
      </w:pPr>
      <w:r>
        <w:t>动作价值与神经网络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DQN使用神经网络Qθ估计每个离散动作的长期价值。卷积部分从四帧图像中提取球、挡板和砖块之间的空间与运动特征，输出层给出四个动作对应的Q值。评估时选择Q值最大的动作；训练时通过epsilon greedy在随机探索和贪心动作之间切换。由于图像状态组合极多，神经网络能够在相似画面之间共享特征，取代无法枚举的Q表。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一次训练更新从经验回放池中抽取转移样本，并用目标网络计算一步Bellman目标。真正终止时d等于1，目标中不再包含未来价值；时间上限截断则与真正终止区分处理。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420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llm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2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式2  一步DQN学习目标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在线网络的估计通过Huber损失向目标值靠近。Huber损失在误差较小时采用二次形式，在大误差区域采用线性增长，可以减弱少量大TD误差对单次梯度更新的影响。优化器使用Adam。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31920" cy="4051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0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式3  本项目使用的价值学习损失</w:t>
      </w:r>
    </w:p>
    <w:p>
      <w:pPr>
        <w:pStyle w:val="Heading2"/>
      </w:pPr>
      <w:r>
        <w:t>经验回放与目标网络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相邻游戏画面高度相关，直接按时间顺序训练容易让参数更新过度依赖近期轨迹。项目将转移样本存入容量为50000的经验回放池，再随机抽取批量大小为32的样本更新网络。失败、低分和成功经验都会进入回放池。目标网络则作为在线网络的延迟副本，每10000个决策步同步一次，用于降低学习目标变化过快带来的不稳定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项目还实现了回放缓冲区的压缩保存和恢复校验。模型ZIP本身不包含回放数据；若恢复训练时没有匹配回放，系统会重新预热经验池，并明确提示这不是精确续训。回放文件会校验环境契约、容量和多步回报跨度，减少错误组合导致的静默偏差。</w:t>
      </w:r>
    </w:p>
    <w:p>
      <w:pPr>
        <w:pStyle w:val="Heading2"/>
      </w:pPr>
      <w:r>
        <w:t>探索策略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从头训练阶段的epsilon从1.0开始，在前60%的训练预算内线性下降到0.05，之后维持该水平。续训阶段已经存在可用策略，因此探索率从0.05缓慢下降到0.02。开发评估使用确定性贪心策略，从而把带随机探索的训练表现和模型本身的决策能力区分开。</w:t>
      </w:r>
    </w:p>
    <w:p>
      <w:pPr>
        <w:pStyle w:val="Heading1"/>
      </w:pPr>
      <w:r>
        <w:t>四 系统实现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图4  训练 评估 选模与模型保存构成完整工程流程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系统由环境、训练、评估、回放管理和网页展示五类模块组成。环境模块负责物理模拟和图像观测；训练模块调用Stable Baselines3的DQN并记录元数据；回调模块负责健康检查、定期评估和最佳模型选择；评估脚本在相同种子上对策略进行逐局统计；网页端则通过CPU推理展示随机策略或已保存模型。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83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文件或目录</w:t>
            </w:r>
          </w:p>
        </w:tc>
        <w:tc>
          <w:tcPr>
            <w:tcW w:type="dxa" w:w="595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fixed_breakout py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游戏几何 碰撞 计分 生命和固定速度物理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env py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统一预处理 模型环境契约和Gymnasium接口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train py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配置解析 DQN训练 恢复 中断保存和早停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callbacks py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训练健康检查 开发评估 均值和稳定性选模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replay_io py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回放压缩 保存 加载和一致性验证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evaluate py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多局评估 随机对照 逐局记录和统计汇总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dashboard py 及 src web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网页演示 模型选择 暂停 倍率和全屏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tests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物理规则 模型接口 回放 回调 预热和网页测试</w:t>
            </w:r>
          </w:p>
        </w:tc>
      </w:tr>
    </w:tbl>
    <w:p>
      <w:pPr>
        <w:spacing w:after="20"/>
      </w:pPr>
    </w:p>
    <w:p>
      <w:pPr>
        <w:pStyle w:val="Heading2"/>
      </w:pPr>
      <w:r>
        <w:t>训练可靠性设计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每次实验必须使用新的运行名称，日志和模型目录不允许静默覆盖。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训练前写入配置快照、软件版本、设备信息和环境契约，便于追溯实验条件。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训练中保存周期检查点，并分别保留开发均分最佳和中位数优先的稳定模型。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续训开始前评估原策略，预热阶段不消耗早停耐心，连续三次没有提升时终止实验。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Ctrl C或SIGTERM触发中断保存，减少长时间训练因意外退出而丢失产物的风险。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这些设计不改变DQN算法本身，但显著提高了实验可追溯性。课程项目中的主要困难并不只在于启动训练，还在于保证不同阶段使用同一任务定义、正确区分开发与测试，并能解释为什么某个模型被选为最终候选。</w:t>
      </w:r>
    </w:p>
    <w:p>
      <w:pPr>
        <w:pStyle w:val="Heading1"/>
      </w:pPr>
      <w:r>
        <w:t>五 实验设置</w:t>
      </w:r>
    </w:p>
    <w:p>
      <w:pPr>
        <w:pStyle w:val="Heading2"/>
      </w:pPr>
      <w:r>
        <w:t>基础训练配置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283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83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从头训练</w:t>
            </w:r>
          </w:p>
        </w:tc>
        <w:tc>
          <w:tcPr>
            <w:tcW w:type="dxa" w:w="311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低学习率续训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新增决策步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500000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200000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学习率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0.0001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0.00003线性降至0.00001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回放容量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50000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50000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预热步数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20000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20000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批量大小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32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折扣因子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0.99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0.99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目标网络同步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每10000步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每10000步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探索率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1.0降至0.05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0.05降至0.02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评估频率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每50000步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每25000步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每次评估局数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</w:tbl>
    <w:p>
      <w:pPr>
        <w:spacing w:after="20"/>
      </w:pP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动作重复为4个物理帧，因此500k决策步不等于500k物理帧。训练预算是计算约束，不代表算法必然收敛。50k图像回放约占2.8GB系统内存，压缩保存主要降低磁盘占用，并不会减少训练时的内存需求。</w:t>
      </w:r>
    </w:p>
    <w:p>
      <w:pPr>
        <w:pStyle w:val="Heading2"/>
      </w:pPr>
      <w:r>
        <w:t>评估协议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训练期间使用从31000开始的固定开发种子序列评估候选模型。从头训练每次评估20局，续训每次评估50局。均分用于保存主要最佳模型，中位数再结合均分用于保存稳定模型。额外复测采用42000至42029共30个开发种子，并让不同候选策略使用相同种子。这样的配对比较能够减少开局差异，但仍属于开发数据，因为结果已经用于候选模型分析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随机策略评估脚本已经实现，并支持让Random和DQN在相同环境、相同局数和逐局种子下比较。当前仓库文档尚未记录最终随机基线和留出测试结果，因此本报告不把开发分数表述为最终泛化成绩。</w:t>
      </w:r>
    </w:p>
    <w:p>
      <w:pPr>
        <w:pStyle w:val="Heading2"/>
      </w:pPr>
      <w:r>
        <w:t>探索率与损失日志诊断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补充图直接读取基础训练和低学习率续训的progress.csv。损失缺失值不插值，平滑曲线采用相邻20个有效日志点的滚动中位数；日志间隔不完全一致，因此该窗口不代表固定的决策步数。预热期间尚未更新参数，损失曲线保留为空白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基础训练的探索率在300k降至0.05，对应开发均分173.55；350k为174.00。此后探索率保持不变，400k和450k的开发均分仍分别回落至70.20与68.10，说明后期回退不能仅用探索率继续下降解释。续训探索率缓慢下降，最佳结果却出现在25k，探索安排与策略得分之间同样没有简单的单调关系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基础训练20k至100k的损失日志点中位数约为0.000425，400k至500k约为0.0402。早期较小的拟合误差并未对应较强控制能力。回放样本与TD目标会随策略变化，损失需要结合经验分布理解；模型选择应依据独立开发得分，日志不足以单独确定回退原因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02075"/>
            <wp:docPr id="103" name="training_diagnostics.png" descr="图5  探索率与损失日志诊断：红虚线标记开发最佳节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training_diagnostics.png" descr="图5  探索率与损失日志诊断：红虚线标记开发最佳节点"/>
                    <pic:cNvPicPr/>
                  </pic:nvPicPr>
                  <pic:blipFill>
                    <a:blip r:embed="rIdReportDiagnostics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2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图5  探索率与损失日志诊断：红虚线标记开发最佳节点</w:t>
      </w:r>
    </w:p>
    <w:p>
      <w:pPr>
        <w:pStyle w:val="Heading1"/>
      </w:pPr>
      <w:r>
        <w:t>六 实验结果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tblHeader w:val="true"/>
        </w:trPr>
        <w:tc>
          <w:tcPr>
            <w:tcW w:type="dxa" w:w="249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871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最佳节点</w:t>
            </w:r>
          </w:p>
        </w:tc>
        <w:tc>
          <w:tcPr>
            <w:tcW w:type="dxa" w:w="1417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最佳均分</w:t>
            </w:r>
          </w:p>
        </w:tc>
        <w:tc>
          <w:tcPr>
            <w:tcW w:type="dxa" w:w="1417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结束均分</w:t>
            </w:r>
          </w:p>
        </w:tc>
        <w:tc>
          <w:tcPr>
            <w:tcW w:type="dxa" w:w="130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评估局数</w:t>
            </w:r>
          </w:p>
        </w:tc>
      </w:tr>
      <w:tr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从头训练500k</w:t>
            </w:r>
          </w:p>
        </w:tc>
        <w:tc>
          <w:tcPr>
            <w:tcW w:type="dxa" w:w="187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350k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174.00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133.30</w:t>
            </w:r>
          </w:p>
        </w:tc>
        <w:tc>
          <w:tcPr>
            <w:tcW w:type="dxa" w:w="13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</w:t>
            </w:r>
          </w:p>
        </w:tc>
      </w:tr>
      <w:tr>
        <w:tc>
          <w:tcPr>
            <w:tcW w:type="dxa" w:w="249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一步低学习率续训200k</w:t>
            </w:r>
          </w:p>
        </w:tc>
        <w:tc>
          <w:tcPr>
            <w:tcW w:type="dxa" w:w="1871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本阶段25k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283.48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113.12</w:t>
            </w:r>
          </w:p>
        </w:tc>
        <w:tc>
          <w:tcPr>
            <w:tcW w:type="dxa" w:w="130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三步回报恢复</w:t>
            </w:r>
          </w:p>
        </w:tc>
        <w:tc>
          <w:tcPr>
            <w:tcW w:type="dxa" w:w="187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起点 50k早停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283.48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187.78</w:t>
            </w:r>
          </w:p>
        </w:tc>
        <w:tc>
          <w:tcPr>
            <w:tcW w:type="dxa" w:w="13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249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一步扩大回放</w:t>
            </w:r>
          </w:p>
        </w:tc>
        <w:tc>
          <w:tcPr>
            <w:tcW w:type="dxa" w:w="1871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起点 50k早停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283.48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216.94</w:t>
            </w:r>
          </w:p>
        </w:tc>
        <w:tc>
          <w:tcPr>
            <w:tcW w:type="dxa" w:w="130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</w:tbl>
    <w:p>
      <w:pPr>
        <w:spacing w:after="20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444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ment_resul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4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图6  四阶段实际训练回合奖励与开发评估曲线（星号为最佳节点）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从头训练阶段的最佳结果出现在350k节点，开发均分为174.00，而500k结束时回落到133.30。这说明训练终点不能自动视为最佳策略。低学习率续训在本阶段25k时将开发均分提高到283.48，但阶段结束均分降至113.12，波动幅度更大。因此，项目保留历史最佳模型，并在后续实验中把续训起点作为必须保护的基线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三步回报恢复和扩大回放两项实验都没有超过283.48的起点成绩，分别在50k新增步后早停。它们的结束均分为187.78和216.94。后者虽然高于三步回报实验的结束值，但仍不足以替代起点模型。由于这些实验同时涉及经验分布、训练步数和回报跨度，当前证据不能把差异归因于单一参数。</w:t>
      </w:r>
    </w:p>
    <w:p>
      <w:pPr>
        <w:pStyle w:val="Heading2"/>
      </w:pPr>
      <w:r>
        <w:t>同种子复测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99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sion_aud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图7  同一组30个开发种子的真实配对得分与分布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42000至42029的30个开发种子上，本次固定已有权重并重新运行CPU贪心推理。推荐最佳模型的均分为260.27、中位数为257.00，续训最终模型的均分为122.40、中位数为101.50，与原记录的均分一致。最佳模型在28/30局胜出，平均配对差为137.87分。图7直接使用逐局实测分数，原始评估CSV保存在results/evaluation/report_best_30及report_final_30，配对表保存在report/data/paired_scores.csv。这些种子仍属于开发数据，不能代替最终留出测试。</w:t>
      </w:r>
    </w:p>
    <w:p>
      <w:pPr>
        <w:pStyle w:val="Heading2"/>
      </w:pPr>
      <w:r>
        <w:t>低分风险与配对差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相同30个开发种子上，最佳模型低于50分的局数为1/30（3.33%），续训最终模型为9/30（30.00%），相差26.67个百分点。第25百分位得分分别为210.00和36.75，说明提升也体现在低分尾部。50分是描述性比较阈值，不是环境终止条件；分位数采用线性插值。</w:t>
      </w:r>
    </w:p>
    <w:tbl>
      <w:tblPr>
        <w:tblW w:w="9242" w:type="dxa"/>
        <w:tblBorders>
          <w:top w:val="single" w:sz="4" w:color="CCD5DF"/>
          <w:bottom w:val="single" w:sz="4" w:color="CCD5DF"/>
          <w:insideH w:val="single" w:sz="4" w:color="CCD5DF"/>
        </w:tblBorders>
      </w:tblPr>
      <w:tblGrid>
        <w:gridCol w:w="4242"/>
        <w:gridCol w:w="2500"/>
        <w:gridCol w:w="2500"/>
      </w:tblGrid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指标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推荐最佳模型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续训最终模型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得分标准差（总体形式）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103.75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90.63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第10百分位得分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111.90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19.90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第25百分位得分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210.00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36.75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低于50分的局数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1/30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9/30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低于50分的比例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3.33%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30.00%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最低分至最高分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36至444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3至345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时间截断局数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完整通关局数（864分）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</w:tr>
    </w:tbl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最佳模型的绝对标准差仍达到103.75，且两模型均没有完整通关。因此，低分风险下降仍伴随局间波动，不能表述为稳定通关。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逐种子配对差显示最佳模型胜出28/30局，但在种子42001和42013上分别少得198分和9分。均值差为137.87分，改善未覆盖每个开局。按完整种子对重采样20000次，百分位Bootstrap 95%区间为[95.77,177.43]分，随机数种子为20261017。该区间仅描述固定两模型在当前开发样本上的配对差变异，不覆盖独立重复训练的变异，也不替代最终留出测试。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22753"/>
            <wp:docPr id="104" name="score_robustness.png" descr="图8  低分风险与排序配对差：经验累积分布和逐种子收益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score_robustness.png" descr="图8  低分风险与排序配对差：经验累积分布和逐种子收益"/>
                    <pic:cNvPicPr/>
                  </pic:nvPicPr>
                  <pic:blipFill>
                    <a:blip r:embed="rIdReportRobustness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图8  低分风险与排序配对差：经验累积分布和逐种子收益</w:t>
      </w:r>
    </w:p>
    <w:p>
      <w:pPr>
        <w:pStyle w:val="Heading1"/>
      </w:pPr>
      <w:r>
        <w:t>七 结果分析</w:t>
      </w:r>
    </w:p>
    <w:p>
      <w:pPr>
        <w:pStyle w:val="Heading2"/>
      </w:pPr>
      <w:r>
        <w:t>模型确实形成了可用策略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开发评估和网页演示共同说明，模型已经形成了能够接球并持续击砖的控制行为。与上一轮最终模型相比，推荐模型在同一组30个开发种子上的均分和中位数都明显更高，提升并非只来自一局偶然高分。训练、评估和演示均使用相同物理版本和图像预处理，因此该比较没有混入环境规则变化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5146"/>
            <wp:docPr id="102" name="behavior_sequence.png" descr="图7  同一局中的成功接球与失球连续帧（种子42000，采样间隔0.2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behavior_sequence.png" descr="图7  同一局中的成功接球与失球连续帧（种子42000，采样间隔0.2秒）"/>
                    <pic:cNvPicPr/>
                  </pic:nvPicPr>
                  <pic:blipFill>
                    <a:blip r:embed="rIdReportBehavior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图9  同一局中的成功接球与失球连续帧（种子42000，采样间隔0.2秒）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图9取自推荐最佳模型的同一局游戏。上排小球下降时挡板向接触位置移动，随后小球反弹向上；下排小球靠近右边界时超出挡板覆盖范围，落到挡板下方，生命由5减为4。画面裁取y=135至210区域，黄圈标注小球，蓝箭头表示相邻采样间的挡板位移。单个成功片段不能证明模型具备精确落点预测能力，这些帧也不足以解释所有失球原因。</w:t>
      </w:r>
    </w:p>
    <w:p>
      <w:pPr>
        <w:pStyle w:val="Heading2"/>
      </w:pPr>
      <w:r>
        <w:t>继续训练可能导致退化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四项实验都显示结束均分低于各自阶段的最佳均分，续训阶段尤其明显。可能因素包括网络参数持续变化、经验池分布随策略改变、较少探索限制新的有效轨迹，以及价值估计误差累积。现有数据只能确认表现退化，尚不足以判定唯一原因。项目采用起点评估、最佳模型保存和早停来控制损失，但这些措施只能保护产物，不能从理论上消除DQN的不稳定。</w:t>
      </w:r>
    </w:p>
    <w:p>
      <w:pPr>
        <w:pStyle w:val="Heading2"/>
      </w:pPr>
      <w:r>
        <w:t>多步回报未带来收益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三步回报原本希望让击砖奖励更直接地影响早期动作，但当前实验没有超过一步回报起点。多步目标包含更多真实奖励，也引入更长轨迹上的随机性和离策略偏差。该结果说明改进思路必须通过同协议实验验证，不能仅凭直觉认定更长回报跨度会更好。若继续研究，应固定其他条件并增加训练种子，避免把单次训练波动误判为结构性结论。</w:t>
      </w:r>
    </w:p>
    <w:p>
      <w:pPr>
        <w:pStyle w:val="Heading1"/>
      </w:pPr>
      <w:r>
        <w:t>八 本次项目工作的特点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项目采用经典DQN，并未提出新的强化学习算法。课程项目的主要工作量体现在任务重建和实验系统设计。与只运行一个现成环境相比，本项目需要同时维护游戏物理、观测预处理、模型契约、训练恢复和交互展示。以下四点构成了本次工作的主要特点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可控环境  固定球速 挡板宽度和反弹规则，并用物理版本阻止旧模型混用。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统一输入契约  训练 评估 视频和网页共用同一预处理链，输入固定为4乘84乘84。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可恢复训练  支持模型与回放分离保存 策略预热 多步回报和中断恢复，同时检查回放兼容性。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证据化选模  记录固定开发种子的均值 中位数 标准差和低分比例，不把最后节点或单局展示当作最终结论。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这些工作使项目从一个训练脚本扩展为完整的实验流程。即使某项改进没有提升，日志、配置和早停记录也能够说明实验条件与失败边界，这对强化学习课程中的可复现分析尤为重要。</w:t>
      </w:r>
    </w:p>
    <w:p>
      <w:pPr>
        <w:pStyle w:val="Heading1"/>
      </w:pPr>
      <w:r>
        <w:t>九 局限与后续计划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当前最重要的局限是最终留出测试尚未完成。开发集被用于选择节点、调整续训参数和比较候选模型，因而283.48和260.27都不应解释为无偏的最终成绩。虽然随机评估脚本已经实现，仓库现有材料也没有给出同协议Random与DQN的最终统计对照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第二个局限是训练过程的重复性证据不足。多个评估种子只能检验同一个策略对不同开局的适应性，不能替代多个训练种子。DQN训练可能因初始化、探索轨迹和回放抽样而产生较大差异，因此后续至少需要重复若干次完整训练，并报告均值和离散程度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后续工作将按以下顺序推进。先冻结推荐模型和评估协议，完成Random同种子对照；再使用未参与选模的留出种子进行最终测试；随后整理低分局和失败轨迹，分析挡板移动过晚、方向判断错误或特定开局适应不足等行为；最后在固定协议下开展学习率、回放容量和多步回报的单因素消融。</w:t>
      </w:r>
    </w:p>
    <w:p>
      <w:pPr>
        <w:pStyle w:val="Heading1"/>
      </w:pPr>
      <w:r>
        <w:t>十 结论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本项目完成了从环境重建、强化学习建模、DQN训练到开发评估和网页展示的完整流程。智能体仅依据连续游戏画面和击砖得分学习控制挡板，训练系统通过经验回放、目标网络和epsilon greedy实现离策略价值学习。工程上进一步加入环境契约、检查点、回放保存、起点评估和早停，保证实验能够恢复并追溯。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当前推荐模型在50局开发评估中的最高均分为283.48，在额外30个开发种子上的均分为260.27、中位数为257.00，优于上一轮最终模型的122.40。与此同时，后续训练多次出现退化，三步回报和扩大回放也未超过起点。这些结果表明模型已经形成可用策略，但DQN训练仍存在明显波动。最终结论需要在冻结模型后完成随机基线和留出测试。</w:t>
      </w:r>
    </w:p>
    <w:sectPr w:rsidR="00FC693F" w:rsidRPr="0006063C" w:rsidSect="00034616">
      <w:footerReference w:type="default" r:id="rId9"/>
      <w:pgSz w:w="11906" w:h="16838"/>
      <w:pgMar w:top="1276" w:right="1332" w:bottom="1134" w:left="1332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color w:val="666666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https://doi.org/10.1038/nature14236" TargetMode="External"/><Relationship Id="rId20" Type="http://schemas.openxmlformats.org/officeDocument/2006/relationships/hyperlink" Target="https://stable-baselines3.readthedocs.io/en/master/modules/dqn.html" TargetMode="External"/><Relationship Id="rId21" Type="http://schemas.openxmlformats.org/officeDocument/2006/relationships/hyperlink" Target="https://gymnasium.farama.org/" TargetMode="External"/><Relationship Id="rIdReportGame" Type="http://schemas.openxmlformats.org/officeDocument/2006/relationships/image" Target="media/report_game_live.png"/><Relationship Id="rIdReportBehavior" Type="http://schemas.openxmlformats.org/officeDocument/2006/relationships/image" Target="media/report_behavior_sequence.png"/><Relationship Id="rIdReportDiagnostics" Type="http://schemas.openxmlformats.org/officeDocument/2006/relationships/image" Target="media/report_training_diagnostics.png"/><Relationship Id="rIdReportRobustness" Type="http://schemas.openxmlformats.org/officeDocument/2006/relationships/image" Target="media/report_score_robustnes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基于DQN的Breakout智能体课程报告</dc:title>
  <dc:subject>强化学习课程项目</dc:subject>
  <dc:creator/>
  <cp:keywords>DQN, Breakout, 强化学习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