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Arial Unicode MS" w:hAnsi="Arial Unicode MS" w:eastAsia="Arial Unicode MS" w:cs="Arial Unicode MS"/>
          <w:b/>
          <w:color w:val="000000"/>
          <w:sz w:val="30"/>
        </w:rPr>
        <w:t>强化学习课程项目报告</w:t>
      </w:r>
    </w:p>
    <w:p>
      <w:pPr>
        <w:pStyle w:val="Title"/>
        <w:jc w:val="center"/>
      </w:pPr>
      <w:r>
        <w:t>基于DQN的Breakout智能体课程报告</w:t>
      </w:r>
    </w:p>
    <w:p>
      <w:pPr>
        <w:spacing w:after="48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24"/>
        </w:rPr>
        <w:t>从自制环境建模到训练评估与交互展示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2727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</w:p>
    <w:p>
      <w:pPr>
        <w:spacing w:after="180"/>
        <w:jc w:val="center"/>
      </w:pPr>
      <w:r>
        <w:rPr>
          <w:rFonts w:ascii="Arial Unicode MS" w:hAnsi="Arial Unicode MS" w:eastAsia="Arial Unicode MS" w:cs="Arial Unicode MS"/>
          <w:b w:val="0"/>
          <w:color w:val="000000"/>
          <w:sz w:val="23"/>
        </w:rPr>
        <w:t>课程名称  强化学习</w:t>
      </w:r>
    </w:p>
    <w:p>
      <w:pPr>
        <w:spacing w:after="180"/>
        <w:jc w:val="center"/>
      </w:pPr>
      <w:r>
        <w:rPr>
          <w:rFonts w:ascii="Arial Unicode MS" w:hAnsi="Arial Unicode MS" w:eastAsia="Arial Unicode MS" w:cs="Arial Unicode MS"/>
          <w:b w:val="0"/>
          <w:color w:val="000000"/>
          <w:sz w:val="23"/>
        </w:rPr>
        <w:t>学生姓名  ____________________</w:t>
      </w:r>
    </w:p>
    <w:p>
      <w:pPr>
        <w:spacing w:after="180"/>
        <w:jc w:val="center"/>
      </w:pPr>
      <w:r>
        <w:rPr>
          <w:rFonts w:ascii="Arial Unicode MS" w:hAnsi="Arial Unicode MS" w:eastAsia="Arial Unicode MS" w:cs="Arial Unicode MS"/>
          <w:b w:val="0"/>
          <w:color w:val="000000"/>
          <w:sz w:val="23"/>
        </w:rPr>
        <w:t>学号  ____________________</w:t>
      </w:r>
    </w:p>
    <w:p>
      <w:pPr>
        <w:spacing w:after="180"/>
        <w:jc w:val="center"/>
      </w:pPr>
      <w:r>
        <w:rPr>
          <w:rFonts w:ascii="Arial Unicode MS" w:hAnsi="Arial Unicode MS" w:eastAsia="Arial Unicode MS" w:cs="Arial Unicode MS"/>
          <w:b w:val="0"/>
          <w:color w:val="000000"/>
          <w:sz w:val="23"/>
        </w:rPr>
        <w:t>提交日期  2026年10月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本课程项目实现了一套基于深度Q网络的Breakout智能体。项目没有直接调用ALE或游戏ROM，而是依据固定规则重建了一个可重复的打砖块环境，并使用Gymnasium接口统一封装。智能体只接收连续游戏画面，不获得小球坐标、速度或人工动作标签；奖励仅来自击碎砖块的原生得分。训练部分基于Stable Baselines3的DQN实现，采用卷积神经网络、经验回放、目标网络和epsilon greedy探索，并补充了模型检查点、开发集评估、续训预热、早停保护、回放持久化和网页演示等工程模块。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在当前物理版本下，从头训练500k决策步的最佳开发均分为174.00。以该阶段候选模型为起点，采用更低学习率进行一步回报续训后，开发均分最高达到283.48；同一模型在额外30个开发种子上的复测均分为260.27，中位数为257.00。三步回报和扩大回放的后续实验均未超过续训起点，因此触发早停。以上成绩均用于开发和选模，最终留出测试尚未完成。报告据此总结了已实现的系统、训练结果和现阶段结论，并给出后续验证计划。</w:t>
      </w:r>
    </w:p>
    <w:p>
      <w:pPr>
        <w:spacing w:before="80" w:after="200"/>
      </w:pPr>
      <w:r>
        <w:rPr>
          <w:rFonts w:ascii="Arial Unicode MS" w:hAnsi="Arial Unicode MS" w:eastAsia="Arial Unicode MS" w:cs="Arial Unicode MS"/>
          <w:b/>
          <w:color w:val="000000"/>
          <w:sz w:val="21"/>
        </w:rPr>
        <w:t xml:space="preserve">关键词  </w:t>
      </w: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深度Q网络  Breakout  图像强化学习  经验回放  模型评估</w:t>
      </w:r>
    </w:p>
    <w:p>
      <w:pPr>
        <w:pStyle w:val="Heading1"/>
      </w:pPr>
      <w:r>
        <w:t>项目工作概览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41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工作模块</w:t>
            </w:r>
          </w:p>
        </w:tc>
        <w:tc>
          <w:tcPr>
            <w:tcW w:type="dxa" w:w="3969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已完成内容</w:t>
            </w:r>
          </w:p>
        </w:tc>
        <w:tc>
          <w:tcPr>
            <w:tcW w:type="dxa" w:w="340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项目意义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环境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自制固定球速Breakout 物理版本3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控制规则和随机性 便于复现实验</w:t>
            </w:r>
          </w:p>
        </w:tc>
      </w:tr>
      <w:tr>
        <w:tc>
          <w:tcPr>
            <w:tcW w:type="dxa" w:w="1417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建模</w:t>
            </w:r>
          </w:p>
        </w:tc>
        <w:tc>
          <w:tcPr>
            <w:tcW w:type="dxa" w:w="3969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四帧堆叠图像输入 四个离散动作 原生得分奖励</w:t>
            </w:r>
          </w:p>
        </w:tc>
        <w:tc>
          <w:tcPr>
            <w:tcW w:type="dxa" w:w="3402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将像素控制任务转化为DQN可学习问题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训练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500k基础训练 200k续训配置 检查点和回放保存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支持从头训练 恢复实验和失败保护</w:t>
            </w:r>
          </w:p>
        </w:tc>
      </w:tr>
      <w:tr>
        <w:tc>
          <w:tcPr>
            <w:tcW w:type="dxa" w:w="1417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评估</w:t>
            </w:r>
          </w:p>
        </w:tc>
        <w:tc>
          <w:tcPr>
            <w:tcW w:type="dxa" w:w="3969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固定开发种子 均值和中位数选模 逐局记录</w:t>
            </w:r>
          </w:p>
        </w:tc>
        <w:tc>
          <w:tcPr>
            <w:tcW w:type="dxa" w:w="3402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避免仅凭单局演示或最后模型判断效果</w:t>
            </w:r>
          </w:p>
        </w:tc>
      </w:tr>
      <w:t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展示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网页实时播放 模型选择 暂停 倍率和全屏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方便课堂演示和行为观察</w:t>
            </w:r>
          </w:p>
        </w:tc>
      </w:tr>
    </w:tbl>
    <w:p>
      <w:pPr>
        <w:spacing w:after="2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6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4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18"/>
        </w:rPr>
        <w:t>图1  从连续画面到动作价值的整体处理路径</w:t>
      </w:r>
    </w:p>
    <w:p>
      <w:pPr>
        <w:pStyle w:val="Heading1"/>
      </w:pPr>
      <w:r>
        <w:t>一 项目背景与目标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Breakout的动作空间很小，但控制过程同时包含视觉感知、延迟奖励和连续决策。挡板的一次移动通常不会立即得分，接球本身也没有奖励；只有小球随后击中砖块时，环境才返回正奖励。智能体必须根据连续画面判断运动趋势，并把后续得分与之前的移动联系起来。这个任务能够集中体现强化学习中的状态表示、信用分配、探索利用权衡和离策略学习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本项目的目标不是复现原版Atari基准成绩，也不把工程改动包装成新的强化学习算法。项目重点是完成一条可运行、可评估、可展示的课程实验链路，包括重建规则一致的游戏环境、建立DQN训练接口、保存训练证据、比较候选策略，以及分析继续训练为何可能退化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围绕这一目标，本次工作完成了五项主要内容。第一，重建固定物理规则并编写测试，避免实验期间球速、挡板宽度和反弹规则漂移。第二，统一训练、评估、视频和网页演示的预处理契约。第三，构建支持检查点、回放缓冲区和中断保存的DQN训练流程。第四，在开发种子上进行定期评估并同时记录均分、中位数和低分比例。第五，实现网页端实时展示，使训练产物能够直接用于课堂演示。</w:t>
      </w:r>
    </w:p>
    <w:p>
      <w:pPr>
        <w:pStyle w:val="Heading1"/>
      </w:pPr>
      <w:r>
        <w:t>二 环境设计与强化学习建模</w:t>
      </w:r>
    </w:p>
    <w:p>
      <w:pPr>
        <w:pStyle w:val="Heading2"/>
      </w:pPr>
      <w:r>
        <w:t>游戏规则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环境采用五条生命、每面6行18列砖块、两面砖墙。六行砖块的单块分值依次为7、7、4、4、1和1，两面砖墙的理论最高分为864。物理时间固定为60帧每秒，小球速度固定为每物理帧2像素，即120像素每秒；挡板宽度固定为16像素。挡板接球位置会改变反弹方向，但反弹角度不随击球次数变化。开局和失球后自动发球，避免把发球操作混入主要控制目标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该环境是对规则的工程重建，而不是对Atari 2600 ROM的逐周期复现。因此，分数只能用于本项目同一物理版本下的策略比较，不能与公开ALE排行榜直接对照。代码还把物理版本、球速、预处理参数和终止规则写入模型契约，旧规则模型会被明确拒绝加载。</w:t>
      </w:r>
    </w:p>
    <w:p>
      <w:pPr>
        <w:pStyle w:val="Heading2"/>
      </w:pPr>
      <w:r>
        <w:t>状态动作与奖励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113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515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本项目定义</w:t>
            </w:r>
          </w:p>
        </w:tc>
        <w:tc>
          <w:tcPr>
            <w:tcW w:type="dxa" w:w="4139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设计理由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观测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连续四帧灰度图像 形状4乘84乘84</w:t>
            </w:r>
          </w:p>
        </w:tc>
        <w:tc>
          <w:tcPr>
            <w:tcW w:type="dxa" w:w="413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保留小球位置变化和近期运动信息</w:t>
            </w:r>
          </w:p>
        </w:tc>
      </w:tr>
      <w:tr>
        <w:tc>
          <w:tcPr>
            <w:tcW w:type="dxa" w:w="113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动作</w:t>
            </w:r>
          </w:p>
        </w:tc>
        <w:tc>
          <w:tcPr>
            <w:tcW w:type="dxa" w:w="351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等待 发球 向右 向左</w:t>
            </w:r>
          </w:p>
        </w:tc>
        <w:tc>
          <w:tcPr>
            <w:tcW w:type="dxa" w:w="4139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对应环境提供的四个离散控制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奖励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击碎砖块获得的原生分数</w:t>
            </w:r>
          </w:p>
        </w:tc>
        <w:tc>
          <w:tcPr>
            <w:tcW w:type="dxa" w:w="413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不引入接球奖励或失球惩罚</w:t>
            </w:r>
          </w:p>
        </w:tc>
      </w:tr>
      <w:tr>
        <w:tc>
          <w:tcPr>
            <w:tcW w:type="dxa" w:w="113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终止</w:t>
            </w:r>
          </w:p>
        </w:tc>
        <w:tc>
          <w:tcPr>
            <w:tcW w:type="dxa" w:w="351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五条生命耗尽或两面砖墙清空</w:t>
            </w:r>
          </w:p>
        </w:tc>
        <w:tc>
          <w:tcPr>
            <w:tcW w:type="dxa" w:w="4139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一局对应完整游戏而非单条生命</w:t>
            </w:r>
          </w:p>
        </w:tc>
      </w:tr>
      <w:tr>
        <w:tc>
          <w:tcPr>
            <w:tcW w:type="dxa" w:w="113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截断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最多108000个物理帧</w:t>
            </w:r>
          </w:p>
        </w:tc>
        <w:tc>
          <w:tcPr>
            <w:tcW w:type="dxa" w:w="413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防止异常长回合无限运行</w:t>
            </w:r>
          </w:p>
        </w:tc>
      </w:tr>
    </w:tbl>
    <w:p>
      <w:pPr>
        <w:spacing w:after="20"/>
      </w:pP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原始观测为210乘160的RGB图像。预处理先让同一动作重复4个物理帧并对首尾帧做最大池化，再执行灰度化和84乘84缩放，最后堆叠最近4个观测。动作重复降低决策频率，帧堆叠为网络提供短期运动线索，两者承担不同作用。训练、评估、录像和展示均调用同一环境工厂，避免出现输入分布不一致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031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31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4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18"/>
        </w:rPr>
        <w:t>图2  连续画面中的小球位移为网络提供运动方向线索</w:t>
      </w:r>
    </w:p>
    <w:p>
      <w:pPr>
        <w:pStyle w:val="Heading2"/>
      </w:pPr>
      <w:r>
        <w:t>长期回报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强化学习优化的是未来奖励的折扣累计值，而不是当前一步是否得分。对于时刻t，回报定义如下。折扣因子gamma控制未来奖励对当前决策的影响，本项目设置为0.99。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561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61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4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18"/>
        </w:rPr>
        <w:t>式1  折扣累计回报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不设置失球惩罚并不意味着模型不会学习避开失球。失去生命会减少后续击砖机会，这种影响可以通过长期价值传播到更早的动作。不过，奖励仅在击砖时出现也会使早期有效样本较稀疏，增加训练难度。</w:t>
      </w:r>
    </w:p>
    <w:p>
      <w:pPr>
        <w:pStyle w:val="Heading1"/>
      </w:pPr>
      <w:r>
        <w:t>三 DQN方法</w:t>
      </w:r>
    </w:p>
    <w:p>
      <w:pPr>
        <w:pStyle w:val="Heading2"/>
      </w:pPr>
      <w:r>
        <w:t>动作价值与神经网络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DQN使用神经网络Qθ估计每个离散动作的长期价值。卷积部分从四帧图像中提取球、挡板和砖块之间的空间与运动特征，输出层给出四个动作对应的Q值。评估时选择Q值最大的动作；训练时通过epsilon greedy在随机探索和贪心动作之间切换。由于图像状态组合极多，神经网络能够在相似画面之间共享特征，取代无法枚举的Q表。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一次训练更新从经验回放池中抽取转移样本，并用目标网络计算一步Bellman目标。真正终止时d等于1，目标中不再包含未来价值；时间上限截断则与真正终止区分处理。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420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llm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4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18"/>
        </w:rPr>
        <w:t>式2  一步DQN学习目标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在线网络的估计通过Huber损失向目标值靠近。Huber损失在误差较小时采用二次形式，在大误差区域采用线性增长，可以减弱少量大TD误差对单次梯度更新的影响。优化器使用Adam。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0" cy="4051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0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4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18"/>
        </w:rPr>
        <w:t>式3  本项目使用的价值学习损失</w:t>
      </w:r>
    </w:p>
    <w:p>
      <w:pPr>
        <w:pStyle w:val="Heading2"/>
      </w:pPr>
      <w:r>
        <w:t>经验回放与目标网络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相邻游戏画面高度相关，直接按时间顺序训练容易让参数更新过度依赖近期轨迹。项目将转移样本存入容量为50000的经验回放池，再随机抽取批量大小为32的样本更新网络。失败、低分和成功经验都会进入回放池。目标网络则作为在线网络的延迟副本，每10000个决策步同步一次，用于降低学习目标变化过快带来的不稳定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项目还实现了回放缓冲区的压缩保存和恢复校验。模型ZIP本身不包含回放数据；若恢复训练时没有匹配回放，系统会重新预热经验池，并明确提示这不是精确续训。回放文件会校验环境契约、容量和多步回报跨度，减少错误组合导致的静默偏差。</w:t>
      </w:r>
    </w:p>
    <w:p>
      <w:pPr>
        <w:pStyle w:val="Heading2"/>
      </w:pPr>
      <w:r>
        <w:t>探索策略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从头训练阶段的epsilon从1.0开始，在前60%的训练预算内线性下降到0.05，之后维持该水平。续训阶段已经存在可用策略，因此探索率从0.05缓慢下降到0.02。开发评估使用确定性贪心策略，从而把带随机探索的训练表现和模型本身的决策能力区分开。</w:t>
      </w:r>
    </w:p>
    <w:p>
      <w:pPr>
        <w:pStyle w:val="Heading1"/>
      </w:pPr>
      <w:r>
        <w:t>四 系统实现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920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4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18"/>
        </w:rPr>
        <w:t>图3  训练 评估 选模与模型保存构成完整工程流程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系统由环境、训练、评估、回放管理和网页展示五类模块组成。环境模块负责物理模拟和图像观测；训练模块调用Stable Baselines3的DQN并记录元数据；回调模块负责健康检查、定期评估和最佳模型选择；评估脚本在相同种子上对策略进行逐局统计；网页端则通过CPU推理展示随机策略或已保存模型。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835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5953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src fixed_breakout py</w:t>
            </w:r>
          </w:p>
        </w:tc>
        <w:tc>
          <w:tcPr>
            <w:tcW w:type="dxa" w:w="5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游戏几何 碰撞 计分 生命和固定速度物理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src env py</w:t>
            </w:r>
          </w:p>
        </w:tc>
        <w:tc>
          <w:tcPr>
            <w:tcW w:type="dxa" w:w="5953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统一预处理 模型环境契约和Gymnasium接口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src train py</w:t>
            </w:r>
          </w:p>
        </w:tc>
        <w:tc>
          <w:tcPr>
            <w:tcW w:type="dxa" w:w="5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配置解析 DQN训练 恢复 中断保存和早停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src callbacks py</w:t>
            </w:r>
          </w:p>
        </w:tc>
        <w:tc>
          <w:tcPr>
            <w:tcW w:type="dxa" w:w="5953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训练健康检查 开发评估 均值和稳定性选模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src replay_io py</w:t>
            </w:r>
          </w:p>
        </w:tc>
        <w:tc>
          <w:tcPr>
            <w:tcW w:type="dxa" w:w="5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回放压缩 保存 加载和一致性验证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src evaluate py</w:t>
            </w:r>
          </w:p>
        </w:tc>
        <w:tc>
          <w:tcPr>
            <w:tcW w:type="dxa" w:w="5953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多局评估 随机对照 逐局记录和统计汇总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src dashboard py 及 src web</w:t>
            </w:r>
          </w:p>
        </w:tc>
        <w:tc>
          <w:tcPr>
            <w:tcW w:type="dxa" w:w="59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网页演示 模型选择 暂停 倍率和全屏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tests</w:t>
            </w:r>
          </w:p>
        </w:tc>
        <w:tc>
          <w:tcPr>
            <w:tcW w:type="dxa" w:w="5953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物理规则 模型接口 回放 回调 预热和网页测试</w:t>
            </w:r>
          </w:p>
        </w:tc>
      </w:tr>
    </w:tbl>
    <w:p>
      <w:pPr>
        <w:spacing w:after="20"/>
      </w:pPr>
    </w:p>
    <w:p>
      <w:pPr>
        <w:pStyle w:val="Heading2"/>
      </w:pPr>
      <w:r>
        <w:t>训练可靠性设计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每次实验必须使用新的运行名称，日志和模型目录不允许静默覆盖。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训练前写入配置快照、软件版本、设备信息和环境契约，便于追溯实验条件。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训练中保存周期检查点，并分别保留开发均分最佳和中位数优先的稳定模型。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续训开始前评估原策略，预热阶段不消耗早停耐心，连续三次没有提升时终止实验。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Ctrl C或SIGTERM触发中断保存，减少长时间训练因意外退出而丢失产物的风险。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这些设计不改变DQN算法本身，但显著提高了实验可追溯性。课程项目中的主要困难并不只在于启动训练，还在于保证不同阶段使用同一任务定义、正确区分开发与测试，并能解释为什么某个模型被选为最终候选。</w:t>
      </w:r>
    </w:p>
    <w:p>
      <w:pPr>
        <w:pStyle w:val="Heading1"/>
      </w:pPr>
      <w:r>
        <w:t>五 实验设置</w:t>
      </w:r>
    </w:p>
    <w:p>
      <w:pPr>
        <w:pStyle w:val="Heading2"/>
      </w:pPr>
      <w:r>
        <w:t>基础训练配置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2835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835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从头训练</w:t>
            </w:r>
          </w:p>
        </w:tc>
        <w:tc>
          <w:tcPr>
            <w:tcW w:type="dxa" w:w="311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低学习率续训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新增决策步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500000</w:t>
            </w:r>
          </w:p>
        </w:tc>
        <w:tc>
          <w:tcPr>
            <w:tcW w:type="dxa" w:w="311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200000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学习率</w:t>
            </w:r>
          </w:p>
        </w:tc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0.0001</w:t>
            </w:r>
          </w:p>
        </w:tc>
        <w:tc>
          <w:tcPr>
            <w:tcW w:type="dxa" w:w="311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0.00003线性降至0.00001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回放容量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50000</w:t>
            </w:r>
          </w:p>
        </w:tc>
        <w:tc>
          <w:tcPr>
            <w:tcW w:type="dxa" w:w="311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50000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预热步数</w:t>
            </w:r>
          </w:p>
        </w:tc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20000</w:t>
            </w:r>
          </w:p>
        </w:tc>
        <w:tc>
          <w:tcPr>
            <w:tcW w:type="dxa" w:w="311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20000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批量大小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311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折扣因子</w:t>
            </w:r>
          </w:p>
        </w:tc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0.99</w:t>
            </w:r>
          </w:p>
        </w:tc>
        <w:tc>
          <w:tcPr>
            <w:tcW w:type="dxa" w:w="311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0.99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目标网络同步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每10000步</w:t>
            </w:r>
          </w:p>
        </w:tc>
        <w:tc>
          <w:tcPr>
            <w:tcW w:type="dxa" w:w="311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每10000步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探索率</w:t>
            </w:r>
          </w:p>
        </w:tc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1.0降至0.05</w:t>
            </w:r>
          </w:p>
        </w:tc>
        <w:tc>
          <w:tcPr>
            <w:tcW w:type="dxa" w:w="311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0.05降至0.02</w:t>
            </w:r>
          </w:p>
        </w:tc>
      </w:tr>
      <w:tr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评估频率</w:t>
            </w:r>
          </w:p>
        </w:tc>
        <w:tc>
          <w:tcPr>
            <w:tcW w:type="dxa" w:w="283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每50000步</w:t>
            </w:r>
          </w:p>
        </w:tc>
        <w:tc>
          <w:tcPr>
            <w:tcW w:type="dxa" w:w="311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每25000步</w:t>
            </w:r>
          </w:p>
        </w:tc>
      </w:tr>
      <w:tr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每次评估局数</w:t>
            </w:r>
          </w:p>
        </w:tc>
        <w:tc>
          <w:tcPr>
            <w:tcW w:type="dxa" w:w="2835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118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50</w:t>
            </w:r>
          </w:p>
        </w:tc>
      </w:tr>
    </w:tbl>
    <w:p>
      <w:pPr>
        <w:spacing w:after="20"/>
      </w:pP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动作重复为4个物理帧，因此500k决策步不等于500k物理帧。训练预算是计算约束，不代表算法必然收敛。50k图像回放约占2.8GB系统内存，压缩保存主要降低磁盘占用，并不会减少训练时的内存需求。</w:t>
      </w:r>
    </w:p>
    <w:p>
      <w:pPr>
        <w:pStyle w:val="Heading2"/>
      </w:pPr>
      <w:r>
        <w:t>评估协议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训练期间使用从31000开始的固定开发种子序列评估候选模型。从头训练每次评估20局，续训每次评估50局。均分用于保存主要最佳模型，中位数再结合均分用于保存稳定模型。额外复测采用42000至42029共30个开发种子，并让不同候选策略使用相同种子。这样的配对比较能够减少开局差异，但仍属于开发数据，因为结果已经用于候选模型分析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随机策略评估脚本已经实现，并支持让Random和DQN在相同环境、相同局数和逐局种子下比较。当前仓库文档尚未记录最终随机基线和留出测试结果，因此本报告不把开发分数表述为最终泛化成绩。</w:t>
      </w:r>
    </w:p>
    <w:p>
      <w:pPr>
        <w:pStyle w:val="Heading1"/>
      </w:pPr>
      <w:r>
        <w:t>六 实验结果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type="dxa" w:w="249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1871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最佳节点</w:t>
            </w:r>
          </w:p>
        </w:tc>
        <w:tc>
          <w:tcPr>
            <w:tcW w:type="dxa" w:w="141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最佳均分</w:t>
            </w:r>
          </w:p>
        </w:tc>
        <w:tc>
          <w:tcPr>
            <w:tcW w:type="dxa" w:w="1417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结束均分</w:t>
            </w:r>
          </w:p>
        </w:tc>
        <w:tc>
          <w:tcPr>
            <w:tcW w:type="dxa" w:w="130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8"/>
              </w:rPr>
              <w:t>评估局数</w:t>
            </w:r>
          </w:p>
        </w:tc>
      </w:tr>
      <w:tr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从头训练500k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350k</w:t>
            </w:r>
          </w:p>
        </w:tc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174.00</w:t>
            </w:r>
          </w:p>
        </w:tc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133.30</w:t>
            </w:r>
          </w:p>
        </w:tc>
        <w:tc>
          <w:tcPr>
            <w:tcW w:type="dxa" w:w="1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49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一步低学习率续训200k</w:t>
            </w:r>
          </w:p>
        </w:tc>
        <w:tc>
          <w:tcPr>
            <w:tcW w:type="dxa" w:w="1871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本阶段25k</w:t>
            </w:r>
          </w:p>
        </w:tc>
        <w:tc>
          <w:tcPr>
            <w:tcW w:type="dxa" w:w="1417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283.48</w:t>
            </w:r>
          </w:p>
        </w:tc>
        <w:tc>
          <w:tcPr>
            <w:tcW w:type="dxa" w:w="1417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113.12</w:t>
            </w:r>
          </w:p>
        </w:tc>
        <w:tc>
          <w:tcPr>
            <w:tcW w:type="dxa" w:w="130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50</w:t>
            </w:r>
          </w:p>
        </w:tc>
      </w:tr>
      <w:tr>
        <w:tc>
          <w:tcPr>
            <w:tcW w:type="dxa" w:w="249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三步回报恢复</w:t>
            </w:r>
          </w:p>
        </w:tc>
        <w:tc>
          <w:tcPr>
            <w:tcW w:type="dxa" w:w="187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起点 50k早停</w:t>
            </w:r>
          </w:p>
        </w:tc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283.48</w:t>
            </w:r>
          </w:p>
        </w:tc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187.78</w:t>
            </w:r>
          </w:p>
        </w:tc>
        <w:tc>
          <w:tcPr>
            <w:tcW w:type="dxa" w:w="1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50</w:t>
            </w:r>
          </w:p>
        </w:tc>
      </w:tr>
      <w:tr>
        <w:tc>
          <w:tcPr>
            <w:tcW w:type="dxa" w:w="249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一步扩大回放</w:t>
            </w:r>
          </w:p>
        </w:tc>
        <w:tc>
          <w:tcPr>
            <w:tcW w:type="dxa" w:w="1871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起点 50k早停</w:t>
            </w:r>
          </w:p>
        </w:tc>
        <w:tc>
          <w:tcPr>
            <w:tcW w:type="dxa" w:w="1417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283.48</w:t>
            </w:r>
          </w:p>
        </w:tc>
        <w:tc>
          <w:tcPr>
            <w:tcW w:type="dxa" w:w="1417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216.94</w:t>
            </w:r>
          </w:p>
        </w:tc>
        <w:tc>
          <w:tcPr>
            <w:tcW w:type="dxa" w:w="1304"/>
            <w:shd w:fill="EAF2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8"/>
              </w:rPr>
              <w:t>50</w:t>
            </w:r>
          </w:p>
        </w:tc>
      </w:tr>
    </w:tbl>
    <w:p>
      <w:pPr>
        <w:spacing w:after="2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92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ment_resul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4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18"/>
        </w:rPr>
        <w:t>图4  四个训练阶段的开发集最佳均分与结束均分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从头训练阶段的最佳结果出现在350k节点，开发均分为174.00，而500k结束时回落到133.30。这说明训练终点不能自动视为最佳策略。低学习率续训在本阶段25k时将开发均分提高到283.48，但阶段结束均分降至113.12，波动幅度更大。因此，项目保留历史最佳模型，并在后续实验中把续训起点作为必须保护的基线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三步回报恢复和扩大回放两项实验都没有超过283.48的起点成绩，分别在50k新增步后早停。它们的结束均分为187.78和216.94。后者虽然高于三步回报实验的结束值，但仍不足以替代起点模型。由于这些实验同时涉及经验分布、训练步数和回报跨度，当前证据不能把差异归因于单一参数。</w:t>
      </w:r>
    </w:p>
    <w:p>
      <w:pPr>
        <w:pStyle w:val="Heading2"/>
      </w:pPr>
      <w:r>
        <w:t>同种子复测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28492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sion_aud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49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40"/>
        <w:jc w:val="center"/>
      </w:pPr>
      <w:r>
        <w:rPr>
          <w:rFonts w:ascii="Arial Unicode MS" w:hAnsi="Arial Unicode MS" w:eastAsia="Arial Unicode MS" w:cs="Arial Unicode MS"/>
          <w:b w:val="0"/>
          <w:color w:val="666666"/>
          <w:sz w:val="18"/>
        </w:rPr>
        <w:t>图5  同一组30个开发种子上的候选模型复测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在42000至42029的30个开发种子上，推荐模型的均分为260.27，中位数为257.00；上一轮最终模型的均分为122.40。相同种子下的均分提高137.87，约为上一轮模型的2.13倍。这个结果支持选用低学习率续训阶段的最佳检查点，而不是使用上一轮训练终点。由于该复测仍用于模型选择，它不能代替最终留出测试。</w:t>
      </w:r>
    </w:p>
    <w:p>
      <w:pPr>
        <w:pStyle w:val="Heading1"/>
      </w:pPr>
      <w:r>
        <w:t>七 结果分析</w:t>
      </w:r>
    </w:p>
    <w:p>
      <w:pPr>
        <w:pStyle w:val="Heading2"/>
      </w:pPr>
      <w:r>
        <w:t>模型确实形成了可用策略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开发评估和网页演示共同说明，模型已经形成了能够接球并持续击砖的控制行为。与上一轮最终模型相比，推荐模型在同一组30个开发种子上的均分和中位数都明显更高，提升并非只来自一局偶然高分。训练、评估和演示均使用相同物理版本和图像预处理，因此该比较没有混入环境规则变化。</w:t>
      </w:r>
    </w:p>
    <w:p>
      <w:pPr>
        <w:pStyle w:val="Heading2"/>
      </w:pPr>
      <w:r>
        <w:t>继续训练可能导致退化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四项实验都显示结束均分低于各自阶段的最佳均分，续训阶段尤其明显。可能因素包括网络参数持续变化、经验池分布随策略改变、较少探索限制新的有效轨迹，以及价值估计误差累积。现有数据只能确认表现退化，尚不足以判定唯一原因。项目采用起点评估、最佳模型保存和早停来控制损失，但这些措施只能保护产物，不能从理论上消除DQN的不稳定。</w:t>
      </w:r>
    </w:p>
    <w:p>
      <w:pPr>
        <w:pStyle w:val="Heading2"/>
      </w:pPr>
      <w:r>
        <w:t>多步回报未带来收益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三步回报原本希望让击砖奖励更直接地影响早期动作，但当前实验没有超过一步回报起点。多步目标包含更多真实奖励，也引入更长轨迹上的随机性和离策略偏差。该结果说明改进思路必须通过同协议实验验证，不能仅凭直觉认定更长回报跨度会更好。若继续研究，应固定其他条件并增加训练种子，避免把单次训练波动误判为结构性结论。</w:t>
      </w:r>
    </w:p>
    <w:p>
      <w:pPr>
        <w:pStyle w:val="Heading1"/>
      </w:pPr>
      <w:r>
        <w:t>八 本次项目工作的特点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本项目采用经典DQN，并未提出新的强化学习算法。课程项目的主要工作量体现在任务重建和实验系统设计。与只运行一个现成环境相比，本项目需要同时维护游戏物理、观测预处理、模型契约、训练恢复和交互展示。以下四点构成了本次工作的主要特点。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可控环境  固定球速 挡板宽度和反弹规则，并用物理版本阻止旧模型混用。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统一输入契约  训练 评估 视频和网页共用同一预处理链，输入固定为4乘84乘84。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可恢复训练  支持模型与回放分离保存 策略预热 多步回报和中断恢复，同时检查回放兼容性。</w:t>
      </w:r>
    </w:p>
    <w:p>
      <w:pPr>
        <w:pStyle w:val="ListBullet"/>
        <w:spacing w:after="60" w:line="312" w:lineRule="auto"/>
        <w:ind w:left="425" w:hanging="142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证据化选模  记录固定开发种子的均值 中位数 标准差和低分比例，不把最后节点或单局展示当作最终结论。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这些工作使项目从一个训练脚本扩展为完整的实验流程。即使某项改进没有提升，日志、配置和早停记录也能够说明实验条件与失败边界，这对强化学习课程中的可复现分析尤为重要。</w:t>
      </w:r>
    </w:p>
    <w:p>
      <w:pPr>
        <w:pStyle w:val="Heading1"/>
      </w:pPr>
      <w:r>
        <w:t>九 局限与后续计划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当前最重要的局限是最终留出测试尚未完成。开发集被用于选择节点、调整续训参数和比较候选模型，因而283.48和260.27都不应解释为无偏的最终成绩。虽然随机评估脚本已经实现，仓库现有材料也没有给出同协议Random与DQN的最终统计对照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第二个局限是训练过程的重复性证据不足。多个评估种子只能检验同一个策略对不同开局的适应性，不能替代多个训练种子。DQN训练可能因初始化、探索轨迹和回放抽样而产生较大差异，因此后续至少需要重复若干次完整训练，并报告均值和离散程度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后续工作将按以下顺序推进。先冻结推荐模型和评估协议，完成Random同种子对照；再使用未参与选模的留出种子进行最终测试；随后整理低分局和失败轨迹，分析挡板移动过晚、方向判断错误或特定开局适应不足等行为；最后在固定协议下开展学习率、回放容量和多步回报的单因素消融。</w:t>
      </w:r>
    </w:p>
    <w:p>
      <w:pPr>
        <w:pStyle w:val="Heading1"/>
      </w:pPr>
      <w:r>
        <w:t>十 结论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本项目完成了从环境重建、强化学习建模、DQN训练到开发评估和网页展示的完整流程。智能体仅依据连续游戏画面和击砖得分学习控制挡板，训练系统通过经验回放、目标网络和epsilon greedy实现离策略价值学习。工程上进一步加入环境契约、检查点、回放保存、起点评估和早停，保证实验能够恢复并追溯。</w:t>
      </w:r>
    </w:p>
    <w:p>
      <w:pPr>
        <w:spacing w:after="100" w:line="348" w:lineRule="auto"/>
        <w:ind w:firstLine="420"/>
        <w:jc w:val="both"/>
      </w:pPr>
      <w:r>
        <w:rPr>
          <w:rFonts w:ascii="Arial Unicode MS" w:hAnsi="Arial Unicode MS" w:eastAsia="Arial Unicode MS" w:cs="Arial Unicode MS"/>
          <w:b w:val="0"/>
          <w:color w:val="000000"/>
          <w:sz w:val="21"/>
        </w:rPr>
        <w:t>当前推荐模型在50局开发评估中的最高均分为283.48，在额外30个开发种子上的均分为260.27、中位数为257.00，优于上一轮最终模型的122.40。与此同时，后续训练多次出现退化，三步回报和扩大回放也未超过起点。这些结果表明模型已经形成可用策略，但DQN训练仍存在明显波动。最终结论需要在冻结模型后完成随机基线和留出测试。</w:t>
      </w:r>
    </w:p>
    <w:p>
      <w:pPr>
        <w:pStyle w:val="Heading1"/>
      </w:pPr>
      <w:r>
        <w:t>参考文献</w:t>
      </w:r>
    </w:p>
    <w:p>
      <w:pPr>
        <w:spacing w:after="100"/>
        <w:ind w:left="312" w:hanging="312"/>
      </w:pPr>
      <w:r>
        <w:rPr>
          <w:rFonts w:ascii="Arial Unicode MS" w:hAnsi="Arial Unicode MS" w:eastAsia="Arial Unicode MS" w:cs="Arial Unicode MS"/>
          <w:b w:val="0"/>
          <w:color w:val="000000"/>
          <w:sz w:val="19"/>
        </w:rPr>
        <w:t xml:space="preserve">[1] Mnih V et al. Human level control through deep reinforcement learning. Nature 518, 529–533, 2015. </w:t>
      </w:r>
      <w:hyperlink r:id="rId19">
        <w:r>
          <w:rPr>
            <w:color w:val="1F4E78"/>
            <w:u w:val="single"/>
            <w:rFonts w:ascii="Arial Unicode MS" w:hAnsi="Arial Unicode MS" w:eastAsia="Arial Unicode MS"/>
          </w:rPr>
          <w:t>https://doi.org/10.1038/nature14236</w:t>
        </w:r>
      </w:hyperlink>
    </w:p>
    <w:p>
      <w:pPr>
        <w:spacing w:after="100"/>
        <w:ind w:left="312" w:hanging="312"/>
      </w:pPr>
      <w:r>
        <w:rPr>
          <w:rFonts w:ascii="Arial Unicode MS" w:hAnsi="Arial Unicode MS" w:eastAsia="Arial Unicode MS" w:cs="Arial Unicode MS"/>
          <w:b w:val="0"/>
          <w:color w:val="000000"/>
          <w:sz w:val="19"/>
        </w:rPr>
        <w:t xml:space="preserve">[2] Stable Baselines3 Documentation. DQN. </w:t>
      </w:r>
      <w:hyperlink r:id="rId20">
        <w:r>
          <w:rPr>
            <w:color w:val="1F4E78"/>
            <w:u w:val="single"/>
            <w:rFonts w:ascii="Arial Unicode MS" w:hAnsi="Arial Unicode MS" w:eastAsia="Arial Unicode MS"/>
          </w:rPr>
          <w:t>https://stable-baselines3.readthedocs.io/en/master/modules/dqn.html</w:t>
        </w:r>
      </w:hyperlink>
    </w:p>
    <w:p>
      <w:pPr>
        <w:spacing w:after="100"/>
        <w:ind w:left="312" w:hanging="312"/>
      </w:pPr>
      <w:r>
        <w:rPr>
          <w:rFonts w:ascii="Arial Unicode MS" w:hAnsi="Arial Unicode MS" w:eastAsia="Arial Unicode MS" w:cs="Arial Unicode MS"/>
          <w:b w:val="0"/>
          <w:color w:val="000000"/>
          <w:sz w:val="19"/>
        </w:rPr>
        <w:t xml:space="preserve">[3] Gymnasium Documentation. </w:t>
      </w:r>
      <w:hyperlink r:id="rId21">
        <w:r>
          <w:rPr>
            <w:color w:val="1F4E78"/>
            <w:u w:val="single"/>
            <w:rFonts w:ascii="Arial Unicode MS" w:hAnsi="Arial Unicode MS" w:eastAsia="Arial Unicode MS"/>
          </w:rPr>
          <w:t>https://gymnasium.farama.org/</w:t>
        </w:r>
      </w:hyperlink>
    </w:p>
    <w:p>
      <w:pPr>
        <w:spacing w:after="100"/>
        <w:ind w:left="312" w:hanging="312"/>
      </w:pPr>
      <w:r>
        <w:rPr>
          <w:rFonts w:ascii="Arial Unicode MS" w:hAnsi="Arial Unicode MS" w:eastAsia="Arial Unicode MS" w:cs="Arial Unicode MS"/>
          <w:b w:val="0"/>
          <w:color w:val="000000"/>
          <w:sz w:val="19"/>
        </w:rPr>
        <w:t>[4] 项目README与修改汇总. README.md CHANGE_SUMMARY.md.</w:t>
      </w:r>
    </w:p>
    <w:p>
      <w:pPr>
        <w:spacing w:after="100"/>
        <w:ind w:left="312" w:hanging="312"/>
      </w:pPr>
      <w:r>
        <w:rPr>
          <w:rFonts w:ascii="Arial Unicode MS" w:hAnsi="Arial Unicode MS" w:eastAsia="Arial Unicode MS" w:cs="Arial Unicode MS"/>
          <w:b w:val="0"/>
          <w:color w:val="000000"/>
          <w:sz w:val="19"/>
        </w:rPr>
        <w:t>[5] 项目源代码与配置. src目录 configs目录 tests目录.</w:t>
      </w:r>
    </w:p>
    <w:sectPr w:rsidR="00FC693F" w:rsidRPr="0006063C" w:rsidSect="00034616">
      <w:footerReference w:type="default" r:id="rId9"/>
      <w:pgSz w:w="11906" w:h="16838"/>
      <w:pgMar w:top="1276" w:right="1332" w:bottom="1134" w:left="1332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b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hyperlink" Target="https://doi.org/10.1038/nature14236" TargetMode="External"/><Relationship Id="rId20" Type="http://schemas.openxmlformats.org/officeDocument/2006/relationships/hyperlink" Target="https://stable-baselines3.readthedocs.io/en/master/modules/dqn.html" TargetMode="External"/><Relationship Id="rId21" Type="http://schemas.openxmlformats.org/officeDocument/2006/relationships/hyperlink" Target="https://gymnasium.farama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基于DQN的Breakout智能体课程报告</dc:title>
  <dc:subject>强化学习课程项目</dc:subject>
  <dc:creator/>
  <cp:keywords>DQN, Breakout, 强化学习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