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0"/>
        <w:jc w:val="center"/>
      </w:pPr>
      <w:r>
        <w:rPr>
          <w:rFonts w:ascii="Arial Unicode MS" w:hAnsi="Arial Unicode MS" w:eastAsia="Arial Unicode MS" w:cs="Arial Unicode MS"/>
          <w:b/>
          <w:color w:val="000000"/>
          <w:sz w:val="30"/>
        </w:rPr>
        <w:t>强化学习课程项目报告</w:t>
      </w:r>
    </w:p>
    <w:p>
      <w:pPr>
        <w:pStyle w:val="Title"/>
        <w:jc w:val="center"/>
      </w:pPr>
      <w:r>
        <w:t>基于DQN与PPO的Breakout智能体课程报告</w:t>
      </w:r>
    </w:p>
    <w:p>
      <w:pPr>
        <w:spacing w:after="48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24"/>
        </w:rPr>
        <w:t>从自制环境建模到训练评估与交互展示</w:t>
      </w:r>
    </w:p>
    <w:p>
      <w:pPr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846320" cy="27275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727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</w:pPr>
    </w:p>
    <w:p>
      <w:pPr>
        <w:spacing w:after="180"/>
        <w:jc w:val="center"/>
      </w:pPr>
      <w:r>
        <w:rPr>
          <w:rFonts w:ascii="Arial Unicode MS" w:hAnsi="Arial Unicode MS" w:eastAsia="Arial Unicode MS" w:cs="Arial Unicode MS"/>
          <w:b w:val="0"/>
          <w:color w:val="000000"/>
          <w:sz w:val="23"/>
        </w:rPr>
        <w:t>课程名称  强化学习</w:t>
      </w:r>
    </w:p>
    <w:p>
      <w:pPr>
        <w:spacing w:after="180"/>
        <w:jc w:val="center"/>
      </w:pPr>
      <w:r>
        <w:rPr>
          <w:rFonts w:ascii="Arial Unicode MS" w:hAnsi="Arial Unicode MS" w:eastAsia="Arial Unicode MS" w:cs="Arial Unicode MS"/>
          <w:b w:val="0"/>
          <w:color w:val="000000"/>
          <w:sz w:val="23"/>
        </w:rPr>
        <w:t>专业班级  硕2605班</w:t>
      </w:r>
    </w:p>
    <w:p>
      <w:pPr>
        <w:spacing w:after="180"/>
        <w:jc w:val="center"/>
      </w:pPr>
      <w:r>
        <w:rPr>
          <w:rFonts w:ascii="Arial Unicode MS" w:hAnsi="Arial Unicode MS" w:eastAsia="Arial Unicode MS" w:cs="Arial Unicode MS"/>
          <w:b w:val="0"/>
          <w:color w:val="000000"/>
          <w:sz w:val="23"/>
        </w:rPr>
        <w:t>学号  M202674292</w:t>
      </w:r>
    </w:p>
    <w:p>
      <w:pPr>
        <w:spacing w:after="180"/>
        <w:jc w:val="center"/>
      </w:pPr>
      <w:r>
        <w:rPr>
          <w:rFonts w:ascii="Arial Unicode MS" w:hAnsi="Arial Unicode MS" w:eastAsia="Arial Unicode MS" w:cs="Arial Unicode MS"/>
          <w:b w:val="0"/>
          <w:color w:val="000000"/>
          <w:sz w:val="23"/>
        </w:rPr>
        <w:t>学生姓名  赵恒升</w:t>
      </w:r>
    </w:p>
    <w:p>
      <w:pPr>
        <w:spacing w:after="180"/>
        <w:jc w:val="center"/>
      </w:pPr>
      <w:r>
        <w:rPr>
          <w:rFonts w:ascii="Arial Unicode MS" w:hAnsi="Arial Unicode MS" w:eastAsia="Arial Unicode MS" w:cs="Arial Unicode MS"/>
          <w:b w:val="0"/>
          <w:color w:val="000000"/>
          <w:sz w:val="23"/>
        </w:rPr>
        <w:t>指导教师  何琨</w:t>
      </w:r>
    </w:p>
    <w:p>
      <w:pPr>
        <w:spacing w:after="180"/>
        <w:jc w:val="center"/>
      </w:pPr>
      <w:r>
        <w:rPr>
          <w:rFonts w:ascii="Arial Unicode MS" w:hAnsi="Arial Unicode MS" w:eastAsia="Arial Unicode MS" w:cs="Arial Unicode MS"/>
          <w:b w:val="0"/>
          <w:color w:val="000000"/>
          <w:sz w:val="23"/>
        </w:rPr>
        <w:t>提交日期  2026年10月</w:t>
      </w:r>
    </w:p>
    <w:p>
      <w:r>
        <w:br w:type="page"/>
      </w:r>
    </w:p>
    <w:p>
      <w:pPr>
        <w:pStyle w:val="Heading1"/>
      </w:pPr>
      <w:r>
        <w:t>摘要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本课程项目实现了基于DQN与PPO的Breakout图像控制系统。两种方法共用physics-v3固定球速环境、四帧图像输入、原始击砖奖励和完整五生命游戏。DQN使用经验回放、目标Q网络与epsilon-greedy；PPO使用策略/价值网络、GAE、概率比裁剪与熵奖励。项目补充独立梯度裁剪、稳健价值回归、逐局固定开发种子、模型选择、自动测试及网页演示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原DQN开发最佳均分283.48及30局复测260.27仍作为开发诊断保留。本次另冻结模型，在121000—121049共50个相同种子上测试：DQN均分273.36，PPO λ=0.98为196.54，λ=0.99为203.42，随机策略为0.88。主PPO候选按开发均分选定，未按测试成绩更换。两种算法具有不同多阶段训练历史，本次比较固定模型，不构成同预算的普遍算法排名。</w:t>
      </w:r>
    </w:p>
    <w:p>
      <w:pPr>
        <w:spacing w:before="80" w:after="200"/>
      </w:pPr>
      <w:r>
        <w:rPr>
          <w:rFonts w:ascii="Arial Unicode MS" w:hAnsi="Arial Unicode MS" w:eastAsia="Arial Unicode MS" w:cs="Arial Unicode MS"/>
          <w:b/>
          <w:color w:val="000000"/>
          <w:sz w:val="21"/>
        </w:rPr>
        <w:t>关键词  DQN  PPO  Breakout  图像强化学习  GAE  模型评估</w:t>
      </w:r>
    </w:p>
    <w:p>
      <w:pPr>
        <w:pStyle w:val="Heading1"/>
      </w:pPr>
      <w:r>
        <w:t>项目工作概览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tblHeader w:val="true"/>
        </w:trPr>
        <w:tc>
          <w:tcPr>
            <w:tcW w:type="dxa" w:w="1417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工作模块</w:t>
            </w:r>
          </w:p>
        </w:tc>
        <w:tc>
          <w:tcPr>
            <w:tcW w:type="dxa" w:w="3969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已完成内容</w:t>
            </w:r>
          </w:p>
        </w:tc>
        <w:tc>
          <w:tcPr>
            <w:tcW w:type="dxa" w:w="3402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项目意义</w:t>
            </w:r>
          </w:p>
        </w:tc>
      </w:tr>
      <w:tr>
        <w:tc>
          <w:tcPr>
            <w:tcW w:type="dxa" w:w="14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环境</w:t>
            </w:r>
          </w:p>
        </w:tc>
        <w:tc>
          <w:tcPr>
            <w:tcW w:type="dxa" w:w="396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自制固定球速Breakout 物理版本3</w:t>
            </w:r>
          </w:p>
        </w:tc>
        <w:tc>
          <w:tcPr>
            <w:tcW w:type="dxa" w:w="340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控制规则和随机性 便于复现实验</w:t>
            </w:r>
          </w:p>
        </w:tc>
      </w:tr>
      <w:tr>
        <w:tc>
          <w:tcPr>
            <w:tcW w:type="dxa" w:w="1417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建模</w:t>
            </w:r>
          </w:p>
        </w:tc>
        <w:tc>
          <w:tcPr>
            <w:tcW w:type="dxa" w:w="3969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四帧堆叠图像输入 四个离散动作 原生得分奖励</w:t>
            </w:r>
          </w:p>
        </w:tc>
        <w:tc>
          <w:tcPr>
            <w:tcW w:type="dxa" w:w="3402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建立DQN与PPO共用的像素控制任务</w:t>
            </w:r>
          </w:p>
        </w:tc>
      </w:tr>
      <w:tr>
        <w:tc>
          <w:tcPr>
            <w:tcW w:type="dxa" w:w="14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训练</w:t>
            </w:r>
          </w:p>
        </w:tc>
        <w:tc>
          <w:tcPr>
            <w:tcW w:type="dxa" w:w="396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DQN多阶段训练、PPO同起点对照与状态保存</w:t>
            </w:r>
          </w:p>
        </w:tc>
        <w:tc>
          <w:tcPr>
            <w:tcW w:type="dxa" w:w="340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支持从头训练 恢复实验和失败保护</w:t>
            </w:r>
          </w:p>
        </w:tc>
      </w:tr>
      <w:tr>
        <w:tc>
          <w:tcPr>
            <w:tcW w:type="dxa" w:w="1417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评估</w:t>
            </w:r>
          </w:p>
        </w:tc>
        <w:tc>
          <w:tcPr>
            <w:tcW w:type="dxa" w:w="3969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开发选模、同种子50局测试和逐局证据</w:t>
            </w:r>
          </w:p>
        </w:tc>
        <w:tc>
          <w:tcPr>
            <w:tcW w:type="dxa" w:w="3402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避免仅凭单局演示或最后模型判断效果</w:t>
            </w:r>
          </w:p>
        </w:tc>
      </w:tr>
      <w:tr>
        <w:tc>
          <w:tcPr>
            <w:tcW w:type="dxa" w:w="14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展示</w:t>
            </w:r>
          </w:p>
        </w:tc>
        <w:tc>
          <w:tcPr>
            <w:tcW w:type="dxa" w:w="396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网页实时播放 模型选择 暂停 倍率和全屏</w:t>
            </w:r>
          </w:p>
        </w:tc>
        <w:tc>
          <w:tcPr>
            <w:tcW w:type="dxa" w:w="3402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方便课堂演示和行为观察</w:t>
            </w:r>
          </w:p>
        </w:tc>
      </w:tr>
    </w:tbl>
    <w:p>
      <w:pPr>
        <w:spacing w:after="20"/>
      </w:pP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2163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6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18"/>
        </w:rPr>
        <w:t>图1  从连续画面到动作价值的整体处理路径</w:t>
      </w:r>
    </w:p>
    <w:p>
      <w:pPr>
        <w:pStyle w:val="Heading1"/>
      </w:pPr>
      <w:r>
        <w:t>一 项目背景与目标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Breakout的动作空间很小，但控制过程同时包含视觉感知、延迟奖励和连续决策。挡板的一次移动通常不会立即得分，接球本身也没有奖励；只有小球随后击中砖块时，环境才返回正奖励。智能体必须根据连续画面判断运动趋势，并把后续得分与之前的移动联系起来。这个任务能够集中体现强化学习中的状态表示、信用分配、探索利用权衡和离策略学习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本项目在统一自制环境中实现DQN与PPO两条训练链路，比较价值学习与策略优化的原理、工程实现、训练波动和固定模型测试结果。项目不复现原版Atari基准，也不把实现技巧作为新算法；重点是可运行、可复核的课程实验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围绕这一目标，项目完成规则重建与测试、统一图像接口、DQN和PPO训练恢复、开发选模与留出测试，以及网页实时展示。DQN回放与PPO当前rollout分别持久化必要状态；比较结果均保留配置、模型散列和逐局分数。</w:t>
      </w:r>
    </w:p>
    <w:p>
      <w:pPr>
        <w:pStyle w:val="Heading1"/>
      </w:pPr>
      <w:r>
        <w:t>二 环境设计与强化学习建模</w:t>
      </w:r>
    </w:p>
    <w:p>
      <w:pPr>
        <w:pStyle w:val="Heading2"/>
      </w:pPr>
      <w:r>
        <w:t>游戏规则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环境采用五条生命、每面6行18列砖块、两面砖墙。六行砖块的单块分值依次为7、7、4、4、1和1，两面砖墙的理论最高分为864。物理时间固定为60帧每秒，小球速度固定为每物理帧2像素，即120像素每秒；挡板宽度固定为16像素。挡板接球位置会改变反弹方向，但反弹角度不随击球次数变化。开局和失球后自动发球，避免把发球操作混入主要控制目标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该环境是对规则的工程重建，而不是对Atari 2600 ROM的逐周期复现。因此，分数只能用于本项目同一物理版本下的策略比较，不能与公开ALE排行榜直接对照。代码还把物理版本、球速、预处理参数和终止规则写入模型契约，旧规则模型会被明确拒绝加载。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901193"/>
            <wp:docPr id="101" name="game_live.png" descr="图2  Breakout网页实际运行界面：种子42000、得分20、剩余5条生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game_live.png" descr="图2  Breakout网页实际运行界面：种子42000、得分20、剩余5条生命"/>
                    <pic:cNvPicPr/>
                  </pic:nvPicPr>
                  <pic:blipFill>
                    <a:blip r:embed="rIdReportGame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1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18"/>
        </w:rPr>
        <w:t>图2  Breakout网页实际运行界面：种子42000、得分20、剩余5条生命</w:t>
      </w:r>
    </w:p>
    <w:p>
      <w:pPr>
        <w:pStyle w:val="Heading2"/>
      </w:pPr>
      <w:r>
        <w:t>状态动作与奖励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tblHeader w:val="true"/>
        </w:trPr>
        <w:tc>
          <w:tcPr>
            <w:tcW w:type="dxa" w:w="1134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要素</w:t>
            </w:r>
          </w:p>
        </w:tc>
        <w:tc>
          <w:tcPr>
            <w:tcW w:type="dxa" w:w="3515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本项目定义</w:t>
            </w:r>
          </w:p>
        </w:tc>
        <w:tc>
          <w:tcPr>
            <w:tcW w:type="dxa" w:w="4139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设计理由</w:t>
            </w:r>
          </w:p>
        </w:tc>
      </w:tr>
      <w:tr>
        <w:tc>
          <w:tcPr>
            <w:tcW w:type="dxa" w:w="113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观测</w:t>
            </w:r>
          </w:p>
        </w:tc>
        <w:tc>
          <w:tcPr>
            <w:tcW w:type="dxa" w:w="351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连续四帧灰度图像 形状4乘84乘84</w:t>
            </w:r>
          </w:p>
        </w:tc>
        <w:tc>
          <w:tcPr>
            <w:tcW w:type="dxa" w:w="413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保留小球位置变化和近期运动信息</w:t>
            </w:r>
          </w:p>
        </w:tc>
      </w:tr>
      <w:tr>
        <w:tc>
          <w:tcPr>
            <w:tcW w:type="dxa" w:w="1134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动作</w:t>
            </w:r>
          </w:p>
        </w:tc>
        <w:tc>
          <w:tcPr>
            <w:tcW w:type="dxa" w:w="351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等待 发球 向右 向左</w:t>
            </w:r>
          </w:p>
        </w:tc>
        <w:tc>
          <w:tcPr>
            <w:tcW w:type="dxa" w:w="4139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对应环境提供的四个离散控制</w:t>
            </w:r>
          </w:p>
        </w:tc>
      </w:tr>
      <w:tr>
        <w:tc>
          <w:tcPr>
            <w:tcW w:type="dxa" w:w="113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奖励</w:t>
            </w:r>
          </w:p>
        </w:tc>
        <w:tc>
          <w:tcPr>
            <w:tcW w:type="dxa" w:w="351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击碎砖块获得的原生分数</w:t>
            </w:r>
          </w:p>
        </w:tc>
        <w:tc>
          <w:tcPr>
            <w:tcW w:type="dxa" w:w="413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不引入接球奖励或失球惩罚</w:t>
            </w:r>
          </w:p>
        </w:tc>
      </w:tr>
      <w:tr>
        <w:tc>
          <w:tcPr>
            <w:tcW w:type="dxa" w:w="1134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终止</w:t>
            </w:r>
          </w:p>
        </w:tc>
        <w:tc>
          <w:tcPr>
            <w:tcW w:type="dxa" w:w="351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五条生命耗尽或两面砖墙清空</w:t>
            </w:r>
          </w:p>
        </w:tc>
        <w:tc>
          <w:tcPr>
            <w:tcW w:type="dxa" w:w="4139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一局对应完整游戏而非单条生命</w:t>
            </w:r>
          </w:p>
        </w:tc>
      </w:tr>
      <w:tr>
        <w:tc>
          <w:tcPr>
            <w:tcW w:type="dxa" w:w="113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截断</w:t>
            </w:r>
          </w:p>
        </w:tc>
        <w:tc>
          <w:tcPr>
            <w:tcW w:type="dxa" w:w="351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最多108000个物理帧</w:t>
            </w:r>
          </w:p>
        </w:tc>
        <w:tc>
          <w:tcPr>
            <w:tcW w:type="dxa" w:w="413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防止异常长回合无限运行</w:t>
            </w:r>
          </w:p>
        </w:tc>
      </w:tr>
    </w:tbl>
    <w:p>
      <w:pPr>
        <w:spacing w:after="20"/>
      </w:pP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原始观测为210乘160的RGB图像。预处理先让同一动作重复4个物理帧并对实际产生的最后两帧做最大池化，再执行灰度化和84乘84缩放，最后堆叠最近4个观测。动作重复降低决策频率，帧堆叠为网络提供短期运动线索，两者承担不同作用。训练、评估、录像和展示均调用同一环境工厂，避免出现输入分布不一致。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9010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1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18"/>
        </w:rPr>
        <w:t>图3  共享环境工厂中的真实RGB、最大池化结果与四帧灰度输入</w:t>
      </w:r>
    </w:p>
    <w:p>
      <w:pPr>
        <w:pStyle w:val="Heading2"/>
      </w:pPr>
      <w:r>
        <w:t>长期回报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强化学习优化的是未来奖励的折扣累计值，而不是当前一步是否得分。对于时刻t，回报定义如下。折扣因子gamma控制未来奖励对当前决策的影响，本项目设置为0.99。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468880" cy="5613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ur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561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18"/>
        </w:rPr>
        <w:t>式1  折扣累计回报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不设置失球惩罚并不意味着模型不会学习避开失球。失去生命会减少后续击砖机会，这种影响可以通过长期价值传播到更早的动作。不过，奖励仅在击砖时出现也会使早期有效样本较稀疏，增加训练难度。</w:t>
      </w:r>
    </w:p>
    <w:p>
      <w:pPr>
        <w:pStyle w:val="Heading1"/>
      </w:pPr>
      <w:r>
        <w:t>三 DQN与PPO方法</w:t>
      </w:r>
    </w:p>
    <w:p>
      <w:pPr>
        <w:pStyle w:val="Heading2"/>
      </w:pPr>
      <w:r>
        <w:t>动作价值与神经网络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DQN使用神经网络Qθ估计每个离散动作的长期价值。卷积部分从四帧图像中提取球、挡板和砖块之间的空间与运动特征，输出层给出四个动作对应的Q值。评估时选择Q值最大的动作；训练时通过epsilon greedy在随机探索和贪心动作之间切换。由于图像状态组合极多，神经网络能够在相似画面之间共享特征，取代无法枚举的Q表。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一次训练更新从经验回放池中抽取转移样本，并用目标网络计算一步Bellman目标。真正终止时d等于1，目标中不再包含未来价值；时间上限截断则与真正终止区分处理。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57600" cy="420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llm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20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18"/>
        </w:rPr>
        <w:t>式2  一步DQN学习目标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在线网络的估计通过Huber损失向目标值靠近。Huber损失在误差较小时采用二次形式，在大误差区域采用线性增长，可以减弱少量大TD误差对单次梯度更新的影响。优化器使用Adam。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931920" cy="4051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40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18"/>
        </w:rPr>
        <w:t>式3  本项目使用的价值学习损失</w:t>
      </w:r>
    </w:p>
    <w:p>
      <w:pPr>
        <w:pStyle w:val="Heading2"/>
      </w:pPr>
      <w:r>
        <w:t>经验回放与目标网络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相邻游戏画面高度相关，直接按时间顺序训练容易让参数更新过度依赖近期轨迹。项目将转移样本存入容量为50000的经验回放池，再随机抽取批量大小为32的样本更新网络。失败、低分和成功经验都会进入回放池。目标网络则作为在线网络的延迟副本，每10000个决策步同步一次，用于降低学习目标变化过快带来的不稳定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项目还实现了回放缓冲区的压缩保存和恢复校验。模型ZIP本身不包含回放数据；若恢复训练时没有匹配回放，系统会重新预热经验池，并明确提示这不是精确续训。回放文件会校验环境契约、容量和多步回报跨度，减少错误组合导致的静默偏差。</w:t>
      </w:r>
    </w:p>
    <w:p>
      <w:pPr>
        <w:pStyle w:val="Heading2"/>
      </w:pPr>
      <w:r>
        <w:t>探索策略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从头训练阶段的epsilon从1.0开始，在前60%的训练预算内线性下降到0.05，之后维持该水平。续训阶段已经存在可用策略，因此探索率从0.05缓慢下降到0.02。开发评估使用确定性贪心策略，从而把带随机探索的训练表现和模型本身的决策能力区分开。</w:t>
      </w:r>
    </w:p>
    <w:sdt>
      <w:sdtPr>
        <w:tag w:val="ppo-report:theory"/>
      </w:sdtPr>
      <w:sdtContent>
        <w:p>
          <w:pPr>
            <w:pStyle w:val="Heading2"/>
          </w:pPr>
          <w:r>
            <w:t>PPO策略与价值学习</w:t>
          </w:r>
        </w:p>
        <w:p>
          <w:pPr>
            <w:spacing w:after="100" w:line="348" w:lineRule="auto"/>
            <w:ind w:firstLine="420"/>
            <w:jc w:val="both"/>
          </w:pPr>
          <w:r>
            <w:rPr>
              <w:rFonts w:ascii="Arial Unicode MS" w:hAnsi="Arial Unicode MS" w:eastAsia="Arial Unicode MS" w:cs="Arial Unicode MS"/>
              <w:b w:val="0"/>
              <w:color w:val="000000"/>
              <w:sz w:val="21"/>
            </w:rPr>
            <w:t>PPO直接学习四动作分布πθ(a|s)，以状态价值Vφ(s)作为基线。训练采样动作，确定性评估取最大动作概率。它按旧策略收集当前rollout，再做多轮小批量更新，随后重新采样；不使用DQN的长期回放、目标Q网络或epsilon-greedy。</w:t>
          </w:r>
        </w:p>
        <w:p>
          <w:pPr>
            <w:pStyle w:val="Heading2"/>
          </w:pPr>
          <w:r>
            <w:t>GAE优势估计</w:t>
          </w:r>
        </w:p>
        <w:p>
          <w:pPr>
            <w:spacing w:after="100" w:line="348" w:lineRule="auto"/>
            <w:jc w:val="both"/>
            <w:jc w:val="center"/>
          </w:pPr>
          <w:r>
            <w:rPr>
              <w:rFonts w:ascii="Arial Unicode MS" w:hAnsi="Arial Unicode MS" w:eastAsia="Arial Unicode MS" w:cs="Arial Unicode MS"/>
              <w:b w:val="0"/>
              <w:color w:val="000000"/>
              <w:sz w:val="21"/>
            </w:rPr>
            <w:t/>
          </w:r>
          <m:oMathPara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t>ᴠ = 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  <m:r>
                <m:t> + γ(1 − </m:t>
              </m:r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  <m:r>
                <m:t>)Vφ,old(</m:t>
              </m:r>
              <m:sSub>
                <m:e>
                  <m:r>
                    <m:t>s</m:t>
                  </m:r>
                </m:e>
                <m:sub>
                  <m:r>
                    <m:t>t+1</m:t>
                  </m:r>
                </m:sub>
              </m:sSub>
              <m:r>
                <m:t>) − Vφ,old(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t>)</m:t>
              </m:r>
            </m:oMath>
          </m:oMathPara>
        </w:p>
        <w:p>
          <w:pPr>
            <w:spacing w:after="100" w:line="348" w:lineRule="auto"/>
            <w:jc w:val="both"/>
            <w:jc w:val="center"/>
          </w:pPr>
          <w:r>
            <w:rPr>
              <w:rFonts w:ascii="Arial Unicode MS" w:hAnsi="Arial Unicode MS" w:eastAsia="Arial Unicode MS" w:cs="Arial Unicode MS"/>
              <w:b w:val="0"/>
              <w:color w:val="000000"/>
              <w:sz w:val="21"/>
            </w:rPr>
            <w:t/>
          </w:r>
          <m:oMathPara>
            <m:oMath>
              <m:sSub>
                <m:e>
                  <m:r>
                    <m:t>Â</m:t>
                  </m:r>
                </m:e>
                <m:sub>
                  <m:r>
                    <m:t>t</m:t>
                  </m:r>
                </m:sub>
              </m:sSub>
              <m:r>
                <m:t> = ∑ₗ₌₀ᴷ⁻¹(γλ)ˡ</m:t>
              </m:r>
              <m:sSub>
                <m:e>
                  <m:r>
                    <m:t>δ</m:t>
                  </m:r>
                </m:e>
                <m:sub>
                  <m:r>
                    <m:t>t+l</m:t>
                  </m:r>
                </m:sub>
              </m:sSub>
              <m:r>
                <m:t>ᴠ，  </m:t>
              </m:r>
              <m:sSub>
                <m:e>
                  <m:r>
                    <m:t>R̂</m:t>
                  </m:r>
                </m:e>
                <m:sub>
                  <m:r>
                    <m:t>t</m:t>
                  </m:r>
                </m:sub>
              </m:sSub>
              <m:r>
                <m:t> = </m:t>
              </m:r>
              <m:sSub>
                <m:e>
                  <m:r>
                    <m:t>Â</m:t>
                  </m:r>
                </m:e>
                <m:sub>
                  <m:r>
                    <m:t>t</m:t>
                  </m:r>
                </m:sub>
              </m:sSub>
              <m:r>
                <m:t> + Vφ,old(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t>)</m:t>
              </m:r>
            </m:oMath>
          </m:oMathPara>
        </w:p>
        <w:p>
          <w:pPr>
            <w:spacing w:after="100" w:line="348" w:lineRule="auto"/>
            <w:ind w:firstLine="420"/>
            <w:jc w:val="both"/>
          </w:pPr>
          <w:r>
            <w:rPr>
              <w:rFonts w:ascii="Arial Unicode MS" w:hAnsi="Arial Unicode MS" w:eastAsia="Arial Unicode MS" w:cs="Arial Unicode MS"/>
              <w:b w:val="0"/>
              <w:color w:val="000000"/>
              <w:sz w:val="21"/>
            </w:rPr>
            <w:t>求和到真正终止或rollout边界；时间截断使用实际终止观测自举。GAE目标保持固定，小批量优势标准化不改变评估得分。γ=0.995时，λ从0.98变为0.99使权重衰减尺度约从40增至67步，也可能增大方差；这不是硬截断。</w:t>
          </w:r>
        </w:p>
        <w:p>
          <w:pPr>
            <w:pStyle w:val="Heading2"/>
          </w:pPr>
          <w:r>
            <w:t>概率比裁剪和总损失</w:t>
          </w:r>
        </w:p>
        <w:p>
          <w:pPr>
            <w:spacing w:after="100" w:line="348" w:lineRule="auto"/>
            <w:jc w:val="both"/>
            <w:jc w:val="center"/>
          </w:pPr>
          <w:r>
            <w:rPr>
              <w:rFonts w:ascii="Arial Unicode MS" w:hAnsi="Arial Unicode MS" w:eastAsia="Arial Unicode MS" w:cs="Arial Unicode MS"/>
              <w:b w:val="0"/>
              <w:color w:val="000000"/>
              <w:sz w:val="21"/>
            </w:rPr>
            <w:t/>
          </w:r>
          <m:oMathPara>
            <m:oMath>
              <m:sSub>
                <m:e>
                  <m:r>
                    <m:t>ρ</m:t>
                  </m:r>
                </m:e>
                <m:sub>
                  <m:r>
                    <m:t>t</m:t>
                  </m:r>
                </m:sub>
              </m:sSub>
              <m:r>
                <m:t>(θ) = </m:t>
              </m:r>
              <m:f>
                <m:num>
                  <m:r>
                    <m:t>πθ(aₜ | sₜ)</m:t>
                  </m:r>
                </m:num>
                <m:den>
                  <m:r>
                    <m:t>πθ,old(aₜ | sₜ)</m:t>
                  </m:r>
                </m:den>
              </m:f>
            </m:oMath>
          </m:oMathPara>
        </w:p>
        <w:p>
          <w:pPr>
            <w:spacing w:after="100" w:line="348" w:lineRule="auto"/>
            <w:jc w:val="both"/>
            <w:jc w:val="center"/>
          </w:pPr>
          <w:r>
            <w:rPr>
              <w:rFonts w:ascii="Arial Unicode MS" w:hAnsi="Arial Unicode MS" w:eastAsia="Arial Unicode MS" w:cs="Arial Unicode MS"/>
              <w:b w:val="0"/>
              <w:color w:val="000000"/>
              <w:sz w:val="21"/>
            </w:rPr>
            <w:t/>
          </w:r>
          <m:oMathPara>
            <m:oMath>
              <m:r>
                <m:t>Lᶜˡⁱᵖ(θ) = E[min(ρₜÂₜ, clip(ρₜ, 1−ε, 1+ε)Âₜ)]</m:t>
              </m:r>
            </m:oMath>
          </m:oMathPara>
        </w:p>
        <w:p>
          <w:pPr>
            <w:spacing w:after="100" w:line="348" w:lineRule="auto"/>
            <w:jc w:val="both"/>
            <w:jc w:val="center"/>
          </w:pPr>
          <w:r>
            <w:rPr>
              <w:rFonts w:ascii="Arial Unicode MS" w:hAnsi="Arial Unicode MS" w:eastAsia="Arial Unicode MS" w:cs="Arial Unicode MS"/>
              <w:b w:val="0"/>
              <w:color w:val="000000"/>
              <w:sz w:val="21"/>
            </w:rPr>
            <w:t/>
          </w:r>
          <m:oMathPara>
            <m:oMath>
              <m:r>
                <m:t>ℒ = −Lᶜˡⁱᵖ + cᵥ E[ℓᵥ(R̂−Vφ(s))] − cₕ E[H(πθ)]</m:t>
              </m:r>
            </m:oMath>
          </m:oMathPara>
        </w:p>
        <w:p>
          <w:pPr>
            <w:spacing w:after="100" w:line="348" w:lineRule="auto"/>
            <w:ind w:firstLine="420"/>
            <w:jc w:val="both"/>
          </w:pPr>
          <w:r>
            <w:rPr>
              <w:rFonts w:ascii="Arial Unicode MS" w:hAnsi="Arial Unicode MS" w:eastAsia="Arial Unicode MS" w:cs="Arial Unicode MS"/>
              <w:b w:val="0"/>
              <w:color w:val="000000"/>
              <w:sz w:val="21"/>
            </w:rPr>
            <w:t>ε控制概率比裁剪范围，价值损失拟合固定returns，熵奖励保留探索。裁剪不保证每次更新提分，项目还保留近似KL保护。独立梯度裁剪与稳健价值回归属于实现变体，不能替代同条件实验验证。</w:t>
          </w:r>
        </w:p>
      </w:sdtContent>
    </w:sdt>
    <w:p>
      <w:pPr>
        <w:pStyle w:val="Heading1"/>
      </w:pPr>
      <w:r>
        <w:t>四 系统实现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19202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18"/>
        </w:rPr>
        <w:t>图4  训练 评估 选模与模型保存构成完整工程流程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系统由环境、训练、评估、回放管理和网页展示五类模块组成。环境模块负责物理模拟和图像观测；训练模块调用Stable Baselines3的DQN并记录元数据；回调模块负责健康检查、定期评估和最佳模型选择；评估脚本在相同种子上对策略进行逐局统计；网页端则通过CPU推理展示随机策略或已保存模型。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21"/>
        <w:gridCol w:w="4621"/>
      </w:tblGrid>
      <w:tr>
        <w:trPr>
          <w:tblHeader w:val="true"/>
        </w:trPr>
        <w:tc>
          <w:tcPr>
            <w:tcW w:type="dxa" w:w="2835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文件或目录</w:t>
            </w:r>
          </w:p>
        </w:tc>
        <w:tc>
          <w:tcPr>
            <w:tcW w:type="dxa" w:w="5953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主要职责</w:t>
            </w:r>
          </w:p>
        </w:tc>
      </w:tr>
      <w:tr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src fixed_breakout py</w:t>
            </w:r>
          </w:p>
        </w:tc>
        <w:tc>
          <w:tcPr>
            <w:tcW w:type="dxa" w:w="595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游戏几何 碰撞 计分 生命和固定速度物理</w:t>
            </w:r>
          </w:p>
        </w:tc>
      </w:tr>
      <w:tr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src env py</w:t>
            </w:r>
          </w:p>
        </w:tc>
        <w:tc>
          <w:tcPr>
            <w:tcW w:type="dxa" w:w="5953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统一预处理 模型环境契约和Gymnasium接口</w:t>
            </w:r>
          </w:p>
        </w:tc>
      </w:tr>
      <w:tr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src train py</w:t>
            </w:r>
          </w:p>
        </w:tc>
        <w:tc>
          <w:tcPr>
            <w:tcW w:type="dxa" w:w="595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配置解析 DQN训练 恢复 中断保存和早停</w:t>
            </w:r>
          </w:p>
        </w:tc>
      </w:tr>
      <w:tr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src callbacks py</w:t>
            </w:r>
          </w:p>
        </w:tc>
        <w:tc>
          <w:tcPr>
            <w:tcW w:type="dxa" w:w="5953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训练健康检查 开发评估 均值和稳定性选模</w:t>
            </w:r>
          </w:p>
        </w:tc>
      </w:tr>
      <w:tr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src replay_io py</w:t>
            </w:r>
          </w:p>
        </w:tc>
        <w:tc>
          <w:tcPr>
            <w:tcW w:type="dxa" w:w="595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回放压缩 保存 加载和一致性验证</w:t>
            </w:r>
          </w:p>
        </w:tc>
      </w:tr>
      <w:tr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src evaluate py</w:t>
            </w:r>
          </w:p>
        </w:tc>
        <w:tc>
          <w:tcPr>
            <w:tcW w:type="dxa" w:w="5953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多局评估 随机对照 逐局记录和统计汇总</w:t>
            </w:r>
          </w:p>
        </w:tc>
      </w:tr>
      <w:tr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src dashboard py 及 src web</w:t>
            </w:r>
          </w:p>
        </w:tc>
        <w:tc>
          <w:tcPr>
            <w:tcW w:type="dxa" w:w="5953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网页演示 模型选择 暂停 倍率和全屏</w:t>
            </w:r>
          </w:p>
        </w:tc>
      </w:tr>
      <w:tr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tests</w:t>
            </w:r>
          </w:p>
        </w:tc>
        <w:tc>
          <w:tcPr>
            <w:tcW w:type="dxa" w:w="5953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物理规则 模型接口 回放 回调 预热和网页测试</w:t>
            </w:r>
          </w:p>
        </w:tc>
      </w:tr>
    </w:tbl>
    <w:p>
      <w:pPr>
        <w:spacing w:after="20"/>
      </w:pPr>
    </w:p>
    <w:p>
      <w:pPr>
        <w:pStyle w:val="Heading2"/>
      </w:pPr>
      <w:r>
        <w:t>训练可靠性设计</w:t>
      </w:r>
    </w:p>
    <w:p>
      <w:pPr>
        <w:pStyle w:val="ListBullet"/>
        <w:spacing w:after="60" w:line="312" w:lineRule="auto"/>
        <w:ind w:left="425" w:hanging="142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每次实验必须使用新的运行名称，日志和模型目录不允许静默覆盖。</w:t>
      </w:r>
    </w:p>
    <w:p>
      <w:pPr>
        <w:pStyle w:val="ListBullet"/>
        <w:spacing w:after="60" w:line="312" w:lineRule="auto"/>
        <w:ind w:left="425" w:hanging="142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训练前写入配置快照、软件版本、设备信息和环境契约，便于追溯实验条件。</w:t>
      </w:r>
    </w:p>
    <w:p>
      <w:pPr>
        <w:pStyle w:val="ListBullet"/>
        <w:spacing w:after="60" w:line="312" w:lineRule="auto"/>
        <w:ind w:left="425" w:hanging="142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训练中保存周期检查点，并分别保留开发均分最佳和中位数优先的稳定模型。</w:t>
      </w:r>
    </w:p>
    <w:p>
      <w:pPr>
        <w:pStyle w:val="ListBullet"/>
        <w:spacing w:after="60" w:line="312" w:lineRule="auto"/>
        <w:ind w:left="425" w:hanging="142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续训开始前评估原策略，预热阶段不消耗早停耐心，连续三次没有提升时终止实验。</w:t>
      </w:r>
    </w:p>
    <w:p>
      <w:pPr>
        <w:pStyle w:val="ListBullet"/>
        <w:spacing w:after="60" w:line="312" w:lineRule="auto"/>
        <w:ind w:left="425" w:hanging="142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Ctrl C或SIGTERM触发中断保存，减少长时间训练因意外退出而丢失产物的风险。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这些设计不改变DQN算法本身，但显著提高了实验可追溯性。课程项目中的主要困难并不只在于启动训练，还在于保证不同阶段使用同一任务定义、正确区分开发与测试，并能解释为什么某个模型被选为最终候选。</w:t>
      </w:r>
    </w:p>
    <w:sdt>
      <w:sdtPr>
        <w:tag w:val="ppo-report:implementation"/>
      </w:sdtPr>
      <w:sdtContent>
        <w:p>
          <w:pPr>
            <w:pStyle w:val="Heading2"/>
          </w:pPr>
          <w:r>
            <w:t>PPO双网络与训练管理</w:t>
          </w:r>
        </w:p>
        <w:p>
          <w:pPr>
            <w:spacing w:after="100" w:line="348" w:lineRule="auto"/>
            <w:ind w:firstLine="420"/>
            <w:jc w:val="both"/>
          </w:pPr>
          <w:r>
            <w:rPr>
              <w:rFonts w:ascii="Arial Unicode MS" w:hAnsi="Arial Unicode MS" w:eastAsia="Arial Unicode MS" w:cs="Arial Unicode MS"/>
              <w:b w:val="0"/>
              <w:color w:val="000000"/>
              <w:sz w:val="21"/>
            </w:rPr>
            <w:t>标准PPO共享NatureCNN，改进版使用独立策略/价值CNN：每个分支提取512维特征，策略头输出4个logits，价值头输出1个标量。迁移复制原权重，初始动作概率与价值预测不变；参数组改变后重置Adam，匹配对照也重置。推理只使用策略分支。</w:t>
          </w:r>
        </w:p>
        <w:p>
          <w:pPr>
            <w:spacing w:after="100" w:line="348" w:lineRule="auto"/>
            <w:ind w:firstLine="420"/>
            <w:jc w:val="both"/>
          </w:pPr>
          <w:r>
            <w:rPr>
              <w:rFonts w:ascii="Arial Unicode MS" w:hAnsi="Arial Unicode MS" w:eastAsia="Arial Unicode MS" w:cs="Arial Unicode MS"/>
              <w:b w:val="0"/>
              <w:color w:val="000000"/>
              <w:sz w:val="21"/>
            </w:rPr>
            <w:t>Balanced PPO对策略、价值梯度分别按0.5和1.0裁剪，价值损失为2×Huber(delta=10)，小误差区与MSE相同，大误差区减弱异常残差影响。DualRate的额外价值拟合保留原returns、advantages和旧概率，策略梯度设为None，冻结策略权重及其Adam状态。</w:t>
          </w:r>
        </w:p>
        <w:tbl>
          <w:tblPr>
            <w:tblW w:w="9242" w:type="dxa"/>
            <w:tblLayout w:type="fixed"/>
            <w:tblBorders>
              <w:top w:val="single" w:sz="4" w:color="CCD5DF"/>
              <w:bottom w:val="single" w:sz="4" w:color="CCD5DF"/>
              <w:insideH w:val="single" w:sz="4" w:color="CCD5DF"/>
            </w:tblBorders>
          </w:tblPr>
          <w:tblGrid>
            <w:gridCol w:w="4621"/>
            <w:gridCol w:w="4621"/>
          </w:tblGrid>
          <w:tr>
            <w:trPr>
              <w:tblHeader/>
            </w:trPr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模块</w:t>
                </w:r>
              </w:p>
            </w:tc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PPO职责</w:t>
                </w:r>
              </w:p>
            </w:tc>
          </w:tr>
          <w:tr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train_ppo.py</w:t>
                </w:r>
              </w:p>
            </w:tc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轨迹采样、退火、保存和自动测试</w:t>
                </w:r>
              </w:p>
            </w:tc>
          </w:tr>
          <w:tr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balanced_ppo.py / dual_rate_ppo.py</w:t>
                </w:r>
              </w:p>
            </w:tc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独立裁剪、Huber、双学习率消融</w:t>
                </w:r>
              </w:p>
            </w:tc>
          </w:tr>
          <w:tr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episode_seeds.py / callbacks.py</w:t>
                </w:r>
              </w:p>
            </w:tc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逐局固定种子、开发诊断和心跳</w:t>
                </w:r>
              </w:p>
            </w:tc>
          </w:tr>
          <w:tr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checkpoint_selection.py / model_io.py</w:t>
                </w:r>
              </w:p>
            </w:tc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带均分约束的选模与模型变体加载</w:t>
                </w:r>
              </w:p>
            </w:tc>
          </w:tr>
        </w:tbl>
        <w:p>
          <w:pPr>
            <w:spacing w:after="100" w:line="348" w:lineRule="auto"/>
            <w:ind w:firstLine="420"/>
            <w:jc w:val="both"/>
          </w:pPr>
          <w:r>
            <w:rPr>
              <w:rFonts w:ascii="Arial Unicode MS" w:hAnsi="Arial Unicode MS" w:eastAsia="Arial Unicode MS" w:cs="Arial Unicode MS"/>
              <w:b w:val="0"/>
              <w:color w:val="000000"/>
              <w:sz w:val="21"/>
            </w:rPr>
            <w:t>DQN与PPO共用游戏和4×84×84像素输入。PPO续训重新采集rollout，DQN则需要检查回放是否匹配；展示时分别选最大动作概率或最大Q值。辅助奖励仅用于单独消融，所有最终测试均为原生分数。</w:t>
          </w:r>
        </w:p>
        <w:p>
          <w:pPr>
            <w:keepNext/>
            <w:spacing w:before="80"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5760720" cy="2477110"/>
                <wp:docPr id="201" name="ppo_actor_critic.png" descr="图1001  PPO独立策略与价值网络：共同输入，分别裁剪梯度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201" name="ppo_actor_critic.png" descr="图1001  PPO独立策略与价值网络：共同输入，分别裁剪梯度"/>
                        <pic:cNvPicPr/>
                      </pic:nvPicPr>
                      <pic:blipFill>
                        <a:blip r:embed="rIdPPOReportArchitecture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247711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pStyle w:val="Caption"/>
            <w:keepNext w:val="0"/>
            <w:spacing w:before="60" w:after="140"/>
            <w:jc w:val="center"/>
          </w:pPr>
          <w:r>
            <w:rPr>
              <w:rFonts w:ascii="Arial Unicode MS" w:hAnsi="Arial Unicode MS" w:eastAsia="Arial Unicode MS" w:cs="Arial Unicode MS"/>
              <w:b w:val="0"/>
              <w:color w:val="666666"/>
              <w:sz w:val="18"/>
            </w:rPr>
            <w:t>图5  PPO独立策略与价值网络：共同输入，分别裁剪梯度</w:t>
          </w:r>
        </w:p>
      </w:sdtContent>
    </w:sdt>
    <w:p>
      <w:pPr>
        <w:pStyle w:val="Heading1"/>
      </w:pPr>
      <w:r>
        <w:t>五 实验设置</w:t>
      </w:r>
    </w:p>
    <w:p>
      <w:pPr>
        <w:pStyle w:val="Heading2"/>
      </w:pPr>
      <w:r>
        <w:t>基础训练配置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rPr>
          <w:tblHeader w:val="true"/>
        </w:trPr>
        <w:tc>
          <w:tcPr>
            <w:tcW w:type="dxa" w:w="2835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2835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从头训练</w:t>
            </w:r>
          </w:p>
        </w:tc>
        <w:tc>
          <w:tcPr>
            <w:tcW w:type="dxa" w:w="3118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低学习率续训</w:t>
            </w:r>
          </w:p>
        </w:tc>
      </w:tr>
      <w:tr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新增决策步</w:t>
            </w:r>
          </w:p>
        </w:tc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500000</w:t>
            </w:r>
          </w:p>
        </w:tc>
        <w:tc>
          <w:tcPr>
            <w:tcW w:type="dxa" w:w="311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200000</w:t>
            </w:r>
          </w:p>
        </w:tc>
      </w:tr>
      <w:tr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学习率</w:t>
            </w:r>
          </w:p>
        </w:tc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0.0001</w:t>
            </w:r>
          </w:p>
        </w:tc>
        <w:tc>
          <w:tcPr>
            <w:tcW w:type="dxa" w:w="3118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0.00003线性降至0.00001</w:t>
            </w:r>
          </w:p>
        </w:tc>
      </w:tr>
      <w:tr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回放容量</w:t>
            </w:r>
          </w:p>
        </w:tc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50000</w:t>
            </w:r>
          </w:p>
        </w:tc>
        <w:tc>
          <w:tcPr>
            <w:tcW w:type="dxa" w:w="311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50000</w:t>
            </w:r>
          </w:p>
        </w:tc>
      </w:tr>
      <w:tr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预热步数</w:t>
            </w:r>
          </w:p>
        </w:tc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20000</w:t>
            </w:r>
          </w:p>
        </w:tc>
        <w:tc>
          <w:tcPr>
            <w:tcW w:type="dxa" w:w="3118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20000</w:t>
            </w:r>
          </w:p>
        </w:tc>
      </w:tr>
      <w:tr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批量大小</w:t>
            </w:r>
          </w:p>
        </w:tc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311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32</w:t>
            </w:r>
          </w:p>
        </w:tc>
      </w:tr>
      <w:tr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折扣因子</w:t>
            </w:r>
          </w:p>
        </w:tc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0.99</w:t>
            </w:r>
          </w:p>
        </w:tc>
        <w:tc>
          <w:tcPr>
            <w:tcW w:type="dxa" w:w="3118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0.99</w:t>
            </w:r>
          </w:p>
        </w:tc>
      </w:tr>
      <w:tr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目标网络同步</w:t>
            </w:r>
          </w:p>
        </w:tc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每10000步</w:t>
            </w:r>
          </w:p>
        </w:tc>
        <w:tc>
          <w:tcPr>
            <w:tcW w:type="dxa" w:w="311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每10000步</w:t>
            </w:r>
          </w:p>
        </w:tc>
      </w:tr>
      <w:tr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探索率</w:t>
            </w:r>
          </w:p>
        </w:tc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1.0降至0.05</w:t>
            </w:r>
          </w:p>
        </w:tc>
        <w:tc>
          <w:tcPr>
            <w:tcW w:type="dxa" w:w="3118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0.05降至0.02</w:t>
            </w:r>
          </w:p>
        </w:tc>
      </w:tr>
      <w:tr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评估频率</w:t>
            </w:r>
          </w:p>
        </w:tc>
        <w:tc>
          <w:tcPr>
            <w:tcW w:type="dxa" w:w="2835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每50000步</w:t>
            </w:r>
          </w:p>
        </w:tc>
        <w:tc>
          <w:tcPr>
            <w:tcW w:type="dxa" w:w="311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每25000步</w:t>
            </w:r>
          </w:p>
        </w:tc>
      </w:tr>
      <w:tr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每次评估局数</w:t>
            </w:r>
          </w:p>
        </w:tc>
        <w:tc>
          <w:tcPr>
            <w:tcW w:type="dxa" w:w="2835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3118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50</w:t>
            </w:r>
          </w:p>
        </w:tc>
      </w:tr>
    </w:tbl>
    <w:p>
      <w:pPr>
        <w:spacing w:after="20"/>
      </w:pP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动作重复为4个物理帧，因此500k决策步不等于500k物理帧。训练预算是计算约束，不代表算法必然收敛。50k图像回放约占2.8GB系统内存，压缩保存主要降低磁盘占用，并不会减少训练时的内存需求。</w:t>
      </w:r>
    </w:p>
    <w:p>
      <w:pPr>
        <w:pStyle w:val="Heading2"/>
      </w:pPr>
      <w:r>
        <w:t>评估协议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训练期间使用从31000开始的固定开发种子序列评估候选模型。从头训练每次评估20局，续训每次评估50局。均分用于保存主要最佳模型，中位数再结合均分用于保存稳定模型。额外复测采用42000至42029共30个开发种子，并让不同候选策略使用相同种子。这样的配对比较能够减少开局差异，但仍属于开发数据，因为结果已经用于候选模型分析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随机策略评估脚本已经实现，并支持让Random和DQN在相同环境、相同局数和逐局种子下比较。当前仓库文档尚未记录最终随机基线和留出测试结果，因此本报告不把开发分数表述为最终泛化成绩。</w:t>
      </w:r>
    </w:p>
    <w:p>
      <w:pPr>
        <w:pStyle w:val="Heading2"/>
      </w:pPr>
      <w:r>
        <w:t>探索率与损失日志诊断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补充图直接读取基础训练和低学习率续训的progress.csv。损失缺失值不插值，平滑曲线采用相邻20个有效日志点的滚动中位数；日志间隔不完全一致，因此该窗口不代表固定的决策步数。预热期间尚未更新参数，损失曲线保留为空白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基础训练的探索率在300k降至0.05，对应开发均分173.55；350k为174.00。此后探索率保持不变，400k和450k的开发均分仍分别回落至70.20与68.10，说明后期回退不能仅用探索率继续下降解释。续训探索率缓慢下降，最佳结果却出现在25k，探索安排与策略得分之间同样没有简单的单调关系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基础训练20k至100k的损失日志点中位数约为0.000425，400k至500k约为0.0402。早期较小的拟合误差并未对应较强控制能力。回放样本与TD目标会随策略变化，损失需要结合经验分布理解；模型选择应依据独立开发得分，日志不足以单独确定回退原因。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802075"/>
            <wp:docPr id="103" name="training_diagnostics.png" descr="图5  探索率与损失日志诊断：红虚线标记开发最佳节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training_diagnostics.png" descr="图5  探索率与损失日志诊断：红虚线标记开发最佳节点"/>
                    <pic:cNvPicPr/>
                  </pic:nvPicPr>
                  <pic:blipFill>
                    <a:blip r:embed="rIdReportDiagnostics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2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18"/>
        </w:rPr>
        <w:t>图6  探索率与损失日志诊断：红虚线标记开发最佳节点</w:t>
      </w:r>
    </w:p>
    <w:sdt>
      <w:sdtPr>
        <w:tag w:val="ppo-report:settings"/>
      </w:sdtPr>
      <w:sdtContent>
        <w:p>
          <w:pPr>
            <w:pStyle w:val="Heading2"/>
          </w:pPr>
          <w:r>
            <w:t>PPO训练配置与数据隔离</w:t>
          </w:r>
        </w:p>
        <w:tbl>
          <w:tblPr>
            <w:tblW w:w="9242" w:type="dxa"/>
            <w:tblLayout w:type="fixed"/>
            <w:tblBorders>
              <w:top w:val="single" w:sz="4" w:color="CCD5DF"/>
              <w:bottom w:val="single" w:sz="4" w:color="CCD5DF"/>
              <w:insideH w:val="single" w:sz="4" w:color="CCD5DF"/>
            </w:tblBorders>
          </w:tblPr>
          <w:tblGrid>
            <w:gridCol w:w="4621"/>
            <w:gridCol w:w="4621"/>
          </w:tblGrid>
          <w:tr>
            <w:trPr>
              <w:tblHeader/>
            </w:trPr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参数</w:t>
                </w:r>
              </w:p>
            </w:tc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两组共同设置</w:t>
                </w:r>
              </w:p>
            </w:tc>
          </w:tr>
          <w:tr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新增预算 / 实际步数</w:t>
                </w:r>
              </w:p>
            </w:tc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500000 / 503808</w:t>
                </w:r>
              </w:p>
            </w:tc>
          </w:tr>
          <w:tr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环境数×rollout / batch / epoch</w:t>
                </w:r>
              </w:p>
            </w:tc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16×256=4096 / 256 / 4</w:t>
                </w:r>
              </w:p>
            </w:tc>
          </w:tr>
          <w:tr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学习率</w:t>
                </w:r>
              </w:p>
            </w:tc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2e−5 → 5e−6</w:t>
                </w:r>
              </w:p>
            </w:tc>
          </w:tr>
          <w:tr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γ / λ</w:t>
                </w:r>
              </w:p>
            </w:tc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0.995 / 0.98或0.99（唯一训练差异）</w:t>
                </w:r>
              </w:p>
            </w:tc>
          </w:tr>
          <w:tr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clip / KL目标</w:t>
                </w:r>
              </w:p>
            </w:tc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0.06 → 0.03 / 0.0075</w:t>
                </w:r>
              </w:p>
            </w:tc>
          </w:tr>
          <w:tr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熵系数 / 价值权重</w:t>
                </w:r>
              </w:p>
            </w:tc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0.0003 → 0.0001 / 0.25</w:t>
                </w:r>
              </w:p>
            </w:tc>
          </w:tr>
          <w:tr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梯度上限 / 训练种子</w:t>
                </w:r>
              </w:p>
            </w:tc>
            <w:tc>
              <w:tcPr>
                <w:tcW w:w="4621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策略0.5、价值1.0 / 47</w:t>
                </w:r>
              </w:p>
            </w:tc>
          </w:tr>
        </w:tbl>
        <w:p>
          <w:pPr>
            <w:spacing w:after="100" w:line="348" w:lineRule="auto"/>
            <w:ind w:firstLine="420"/>
            <w:jc w:val="both"/>
          </w:pPr>
          <w:r>
            <w:rPr>
              <w:rFonts w:ascii="Arial Unicode MS" w:hAnsi="Arial Unicode MS" w:eastAsia="Arial Unicode MS" w:cs="Arial Unicode MS"/>
              <w:b w:val="0"/>
              <w:color w:val="000000"/>
              <w:sz w:val="21"/>
            </w:rPr>
            <w:t>源选择使用101000—101031；开发使用111000—111031，每100k评估32局；最终测试为121000—121049共50局。开发环境按局固定seed，不受前局RNG消耗影响。两组从同一验证选定的Balanced检查点开始，均重置Adam，执行完整预算。</w:t>
          </w:r>
        </w:p>
        <w:p>
          <w:pPr>
            <w:spacing w:after="100" w:line="348" w:lineRule="auto"/>
            <w:ind w:firstLine="420"/>
            <w:jc w:val="both"/>
          </w:pPr>
          <w:r>
            <w:rPr>
              <w:rFonts w:ascii="Arial Unicode MS" w:hAnsi="Arial Unicode MS" w:eastAsia="Arial Unicode MS" w:cs="Arial Unicode MS"/>
              <w:b w:val="0"/>
              <w:color w:val="000000"/>
              <w:sz w:val="21"/>
            </w:rPr>
            <w:t>最终保留开发均分最佳；中位数最佳仅在均分达到前者95%且中位数更高时替换。最后一轮两个稳定候选都未通过均分约束，实际选中均分最佳。完整更新后KL与小批量KL汇总区分记录；评估每约5秒或每完成一局更新心跳。</w:t>
          </w:r>
        </w:p>
        <w:p>
          <w:pPr>
            <w:keepNext/>
            <w:spacing w:before="80"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5760720" cy="3744468"/>
                <wp:docPr id="202" name="ppo_training_curves.png" descr="图1002  PPO同起点GAE对照：训练、开发评估与更新后的KL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202" name="ppo_training_curves.png" descr="图1002  PPO同起点GAE对照：训练、开发评估与更新后的KL"/>
                        <pic:cNvPicPr/>
                      </pic:nvPicPr>
                      <pic:blipFill>
                        <a:blip r:embed="rIdPPOReportTraining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374446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pStyle w:val="Caption"/>
            <w:keepNext w:val="0"/>
            <w:spacing w:before="60" w:after="140"/>
            <w:jc w:val="center"/>
          </w:pPr>
          <w:r>
            <w:rPr>
              <w:rFonts w:ascii="Arial Unicode MS" w:hAnsi="Arial Unicode MS" w:eastAsia="Arial Unicode MS" w:cs="Arial Unicode MS"/>
              <w:b w:val="0"/>
              <w:color w:val="666666"/>
              <w:sz w:val="18"/>
            </w:rPr>
            <w:t>图7  PPO同起点GAE对照：训练、开发评估与更新后的KL</w:t>
          </w:r>
        </w:p>
      </w:sdtContent>
    </w:sdt>
    <w:p>
      <w:pPr>
        <w:pStyle w:val="Heading1"/>
      </w:pPr>
      <w:r>
        <w:t>六 实验结果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48"/>
        <w:gridCol w:w="1848"/>
        <w:gridCol w:w="1848"/>
        <w:gridCol w:w="1848"/>
        <w:gridCol w:w="1848"/>
      </w:tblGrid>
      <w:tr>
        <w:trPr>
          <w:tblHeader w:val="true"/>
        </w:trPr>
        <w:tc>
          <w:tcPr>
            <w:tcW w:type="dxa" w:w="2494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实验</w:t>
            </w:r>
          </w:p>
        </w:tc>
        <w:tc>
          <w:tcPr>
            <w:tcW w:type="dxa" w:w="1871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最佳节点</w:t>
            </w:r>
          </w:p>
        </w:tc>
        <w:tc>
          <w:tcPr>
            <w:tcW w:type="dxa" w:w="1417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最佳均分</w:t>
            </w:r>
          </w:p>
        </w:tc>
        <w:tc>
          <w:tcPr>
            <w:tcW w:type="dxa" w:w="1417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结束均分</w:t>
            </w:r>
          </w:p>
        </w:tc>
        <w:tc>
          <w:tcPr>
            <w:tcW w:type="dxa" w:w="1304"/>
            <w:shd w:fill="1F4E7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FFFFFF"/>
                <w:sz w:val="18"/>
              </w:rPr>
              <w:t>评估局数</w:t>
            </w:r>
          </w:p>
        </w:tc>
      </w:tr>
      <w:tr>
        <w:tc>
          <w:tcPr>
            <w:tcW w:type="dxa" w:w="249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从头训练500k</w:t>
            </w:r>
          </w:p>
        </w:tc>
        <w:tc>
          <w:tcPr>
            <w:tcW w:type="dxa" w:w="187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350k</w:t>
            </w:r>
          </w:p>
        </w:tc>
        <w:tc>
          <w:tcPr>
            <w:tcW w:type="dxa" w:w="14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174.00</w:t>
            </w:r>
          </w:p>
        </w:tc>
        <w:tc>
          <w:tcPr>
            <w:tcW w:type="dxa" w:w="14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133.30</w:t>
            </w:r>
          </w:p>
        </w:tc>
        <w:tc>
          <w:tcPr>
            <w:tcW w:type="dxa" w:w="130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20</w:t>
            </w:r>
          </w:p>
        </w:tc>
      </w:tr>
      <w:tr>
        <w:tc>
          <w:tcPr>
            <w:tcW w:type="dxa" w:w="2494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一步低学习率续训200k</w:t>
            </w:r>
          </w:p>
        </w:tc>
        <w:tc>
          <w:tcPr>
            <w:tcW w:type="dxa" w:w="1871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本阶段25k</w:t>
            </w:r>
          </w:p>
        </w:tc>
        <w:tc>
          <w:tcPr>
            <w:tcW w:type="dxa" w:w="1417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283.48</w:t>
            </w:r>
          </w:p>
        </w:tc>
        <w:tc>
          <w:tcPr>
            <w:tcW w:type="dxa" w:w="1417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113.12</w:t>
            </w:r>
          </w:p>
        </w:tc>
        <w:tc>
          <w:tcPr>
            <w:tcW w:type="dxa" w:w="1304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50</w:t>
            </w:r>
          </w:p>
        </w:tc>
      </w:tr>
      <w:tr>
        <w:tc>
          <w:tcPr>
            <w:tcW w:type="dxa" w:w="249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三步回报恢复</w:t>
            </w:r>
          </w:p>
        </w:tc>
        <w:tc>
          <w:tcPr>
            <w:tcW w:type="dxa" w:w="1871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起点 50k早停</w:t>
            </w:r>
          </w:p>
        </w:tc>
        <w:tc>
          <w:tcPr>
            <w:tcW w:type="dxa" w:w="14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283.48</w:t>
            </w:r>
          </w:p>
        </w:tc>
        <w:tc>
          <w:tcPr>
            <w:tcW w:type="dxa" w:w="1417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187.78</w:t>
            </w:r>
          </w:p>
        </w:tc>
        <w:tc>
          <w:tcPr>
            <w:tcW w:type="dxa" w:w="1304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50</w:t>
            </w:r>
          </w:p>
        </w:tc>
      </w:tr>
      <w:tr>
        <w:tc>
          <w:tcPr>
            <w:tcW w:type="dxa" w:w="2494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一步扩大回放</w:t>
            </w:r>
          </w:p>
        </w:tc>
        <w:tc>
          <w:tcPr>
            <w:tcW w:type="dxa" w:w="1871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起点 50k早停</w:t>
            </w:r>
          </w:p>
        </w:tc>
        <w:tc>
          <w:tcPr>
            <w:tcW w:type="dxa" w:w="1417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283.48</w:t>
            </w:r>
          </w:p>
        </w:tc>
        <w:tc>
          <w:tcPr>
            <w:tcW w:type="dxa" w:w="1417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216.94</w:t>
            </w:r>
          </w:p>
        </w:tc>
        <w:tc>
          <w:tcPr>
            <w:tcW w:type="dxa" w:w="1304"/>
            <w:shd w:fill="EAF2F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50</w:t>
            </w:r>
          </w:p>
        </w:tc>
      </w:tr>
    </w:tbl>
    <w:p>
      <w:pPr>
        <w:spacing w:after="20"/>
      </w:pP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7444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elopment_resul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4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18"/>
        </w:rPr>
        <w:t>图8  四阶段实际训练回合奖励与开发评估曲线（星号为最佳节点）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从头训练阶段的最佳结果出现在350k节点，开发均分为174.00，而500k结束时回落到133.30。这说明训练终点不能自动视为最佳策略。低学习率续训在本阶段25k时将开发均分提高到283.48，但阶段结束均分降至113.12，波动幅度更大。因此，项目保留历史最佳模型，并在后续实验中把续训起点作为必须保护的基线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三步回报恢复和扩大回放两项实验都没有超过283.48的起点成绩，分别在50k新增步后早停。它们的结束均分为187.78和216.94。后者虽然高于三步回报实验的结束值，但仍不足以替代起点模型。由于这些实验同时涉及经验分布、训练步数和回报跨度，当前证据不能把差异归因于单一参数。</w:t>
      </w:r>
    </w:p>
    <w:p>
      <w:pPr>
        <w:pStyle w:val="Heading2"/>
      </w:pPr>
      <w:r>
        <w:t>同种子复测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64993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ression_audi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9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18"/>
        </w:rPr>
        <w:t>图9  同一组30个开发种子的真实配对得分与分布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在42000至42029的30个开发种子上，本次固定已有权重并重新运行CPU贪心推理。推荐最佳模型的均分为260.27、中位数为257.00，续训最终模型的均分为122.40、中位数为101.50，与原记录的均分一致。最佳模型在28/30局胜出，平均配对差为137.87分。图9直接使用逐局实测分数，原始评估CSV保存在results/evaluation/report_best_30及report_final_30，配对表保存在report/data/paired_scores.csv。这些种子仍属于开发数据，不能代替最终留出测试。</w:t>
      </w:r>
    </w:p>
    <w:p>
      <w:pPr>
        <w:pStyle w:val="Heading2"/>
      </w:pPr>
      <w:r>
        <w:t>低分风险与配对差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在相同30个开发种子上，最佳模型低于50分的局数为1/30（3.33%），续训最终模型为9/30（30.00%），相差26.67个百分点。第25百分位得分分别为210.00和36.75，说明提升也体现在低分尾部。50分是描述性比较阈值，不是环境终止条件；分位数采用线性插值。</w:t>
      </w:r>
    </w:p>
    <w:tbl>
      <w:tblPr>
        <w:tblW w:w="9242" w:type="dxa"/>
        <w:tblBorders>
          <w:top w:val="single" w:sz="4" w:color="CCD5DF"/>
          <w:bottom w:val="single" w:sz="4" w:color="CCD5DF"/>
          <w:insideH w:val="single" w:sz="4" w:color="CCD5DF"/>
        </w:tblBorders>
      </w:tblPr>
      <w:tblGrid>
        <w:gridCol w:w="4242"/>
        <w:gridCol w:w="2500"/>
        <w:gridCol w:w="2500"/>
      </w:tblGrid>
      <w:tr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指标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推荐最佳模型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续训最终模型</w:t>
            </w:r>
          </w:p>
        </w:tc>
      </w:tr>
      <w:tr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得分标准差（总体形式）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103.75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90.63</w:t>
            </w:r>
          </w:p>
        </w:tc>
      </w:tr>
      <w:tr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第10百分位得分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111.90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19.90</w:t>
            </w:r>
          </w:p>
        </w:tc>
      </w:tr>
      <w:tr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第25百分位得分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210.00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36.75</w:t>
            </w:r>
          </w:p>
        </w:tc>
      </w:tr>
      <w:tr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低于50分的局数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1/30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9/30</w:t>
            </w:r>
          </w:p>
        </w:tc>
      </w:tr>
      <w:tr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低于50分的比例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3.33%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30.00%</w:t>
            </w:r>
          </w:p>
        </w:tc>
      </w:tr>
      <w:tr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最低分至最高分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36至444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3至345</w:t>
            </w:r>
          </w:p>
        </w:tc>
      </w:tr>
      <w:tr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时间截断局数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0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0</w:t>
            </w:r>
          </w:p>
        </w:tc>
      </w:tr>
      <w:tr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完整通关局数（864分）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0</w:t>
            </w:r>
          </w:p>
        </w:tc>
        <w:tc>
          <w:p>
            <w:pPr>
              <w:jc w:val="both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21"/>
              </w:rPr>
              <w:t>0</w:t>
            </w:r>
          </w:p>
        </w:tc>
      </w:tr>
    </w:tbl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最佳模型的绝对标准差仍达到103.75，且两模型均没有完整通关。因此，低分风险下降仍伴随局间波动，不能表述为稳定通关。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逐种子配对差显示最佳模型胜出28/30局，但在种子42001和42013上分别少得198分和9分。均值差为137.87分，改善未覆盖每个开局。按完整种子对重采样20000次，百分位Bootstrap 95%区间为[95.77,177.43]分，随机数种子为20261017。该区间仅描述固定两模型在当前开发样本上的配对差变异，不覆盖独立重复训练的变异，也不替代最终留出测试。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822753"/>
            <wp:docPr id="104" name="score_robustness.png" descr="图8  低分风险与排序配对差：经验累积分布和逐种子收益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4" name="score_robustness.png" descr="图8  低分风险与排序配对差：经验累积分布和逐种子收益"/>
                    <pic:cNvPicPr/>
                  </pic:nvPicPr>
                  <pic:blipFill>
                    <a:blip r:embed="rIdReportRobustness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18"/>
        </w:rPr>
        <w:t>图10  低分风险与排序配对差：经验累积分布和逐种子收益</w:t>
      </w:r>
    </w:p>
    <w:sdt>
      <w:sdtPr>
        <w:tag w:val="ppo-report:results"/>
      </w:sdtPr>
      <w:sdtContent>
        <w:p>
          <w:pPr>
            <w:pStyle w:val="Heading2"/>
          </w:pPr>
          <w:r>
            <w:t>PPO迭代结果与最终独立测试</w:t>
          </w:r>
        </w:p>
        <w:p>
          <w:pPr>
            <w:spacing w:after="100" w:line="348" w:lineRule="auto"/>
            <w:ind w:firstLine="420"/>
            <w:jc w:val="both"/>
          </w:pPr>
          <w:r>
            <w:rPr>
              <w:rFonts w:ascii="Arial Unicode MS" w:hAnsi="Arial Unicode MS" w:eastAsia="Arial Unicode MS" w:cs="Arial Unicode MS"/>
              <w:b w:val="0"/>
              <w:color w:val="000000"/>
              <w:sz w:val="21"/>
            </w:rPr>
            <w:t>首轮标准PPO在20局测试均分35.00；稳定续训技巧的新30局为43.33，未超过仅续训的53.00。长回报原奖励、辅助奖励在另一组50局分别为88.54和57.34；Balanced后续50局为100.76，对照81.84，但差值区间跨零。这些来自不同测试集，不直接串成提升曲线。</w:t>
          </w:r>
        </w:p>
        <w:p>
          <w:pPr>
            <w:spacing w:after="100" w:line="348" w:lineRule="auto"/>
            <w:ind w:firstLine="420"/>
            <w:jc w:val="both"/>
          </w:pPr>
          <w:r>
            <w:rPr>
              <w:rFonts w:ascii="Arial Unicode MS" w:hAnsi="Arial Unicode MS" w:eastAsia="Arial Unicode MS" w:cs="Arial Unicode MS"/>
              <w:b w:val="0"/>
              <w:color w:val="000000"/>
              <w:sz w:val="21"/>
            </w:rPr>
            <w:t>价值学习率3倍且额外拟合2遍的组合，在97条更新中有96.9%降低训练MSE，相对降幅中位数约19%，但最终按开发均分仍选中起点，测试128.12与起点相同，对照134.00。更低训练误差不等于更高策略得分。300k稳定模型开发均分只比起点低0.0625，中位数却从80.5升至132.5，已在新验证集复核。</w:t>
          </w:r>
        </w:p>
        <w:tbl>
          <w:tblPr>
            <w:tblW w:w="9242" w:type="dxa"/>
            <w:tblLayout w:type="fixed"/>
            <w:tblBorders>
              <w:top w:val="single" w:sz="4" w:color="CCD5DF"/>
              <w:bottom w:val="single" w:sz="4" w:color="CCD5DF"/>
              <w:insideH w:val="single" w:sz="4" w:color="CCD5DF"/>
            </w:tblBorders>
          </w:tblPr>
          <w:tblGrid>
            <w:gridCol w:w="1848"/>
            <w:gridCol w:w="1848"/>
            <w:gridCol w:w="1848"/>
            <w:gridCol w:w="1848"/>
            <w:gridCol w:w="1848"/>
          </w:tblGrid>
          <w:tr>
            <w:trPr>
              <w:tblHeader/>
            </w:trPr>
            <w:tc>
              <w:tcPr>
                <w:tcW w:w="1848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同种子50局</w:t>
                </w:r>
              </w:p>
            </w:tc>
            <w:tc>
              <w:tcPr>
                <w:tcW w:w="1848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均分</w:t>
                </w:r>
              </w:p>
            </w:tc>
            <w:tc>
              <w:tcPr>
                <w:tcW w:w="1848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中位数</w:t>
                </w:r>
              </w:p>
            </w:tc>
            <w:tc>
              <w:tcPr>
                <w:tcW w:w="1848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25%分位</w:t>
                </w:r>
              </w:p>
            </w:tc>
            <w:tc>
              <w:tcPr>
                <w:tcW w:w="1848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截断</w:t>
                </w:r>
              </w:p>
            </w:tc>
          </w:tr>
          <w:tr>
            <w:tc>
              <w:tcPr>
                <w:tcW w:w="1848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PPO 共同起点</w:t>
                </w:r>
              </w:p>
            </w:tc>
            <w:tc>
              <w:tcPr>
                <w:tcW w:w="1848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129.98</w:t>
                </w:r>
              </w:p>
            </w:tc>
            <w:tc>
              <w:tcPr>
                <w:tcW w:w="1848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84.00</w:t>
                </w:r>
              </w:p>
            </w:tc>
            <w:tc>
              <w:tcPr>
                <w:tcW w:w="1848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41.00</w:t>
                </w:r>
              </w:p>
            </w:tc>
            <w:tc>
              <w:tcPr>
                <w:tcW w:w="1848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0/50</w:t>
                </w:r>
              </w:p>
            </w:tc>
          </w:tr>
          <w:tr>
            <w:tc>
              <w:tcPr>
                <w:tcW w:w="1848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PPO λ=0.98</w:t>
                </w:r>
              </w:p>
            </w:tc>
            <w:tc>
              <w:tcPr>
                <w:tcW w:w="1848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196.54</w:t>
                </w:r>
              </w:p>
            </w:tc>
            <w:tc>
              <w:tcPr>
                <w:tcW w:w="1848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166.50</w:t>
                </w:r>
              </w:p>
            </w:tc>
            <w:tc>
              <w:tcPr>
                <w:tcW w:w="1848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80.00</w:t>
                </w:r>
              </w:p>
            </w:tc>
            <w:tc>
              <w:tcPr>
                <w:tcW w:w="1848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5/50</w:t>
                </w:r>
              </w:p>
            </w:tc>
          </w:tr>
          <w:tr>
            <w:tc>
              <w:tcPr>
                <w:tcW w:w="1848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PPO λ=0.99</w:t>
                </w:r>
              </w:p>
            </w:tc>
            <w:tc>
              <w:tcPr>
                <w:tcW w:w="1848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203.42</w:t>
                </w:r>
              </w:p>
            </w:tc>
            <w:tc>
              <w:tcPr>
                <w:tcW w:w="1848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191.50</w:t>
                </w:r>
              </w:p>
            </w:tc>
            <w:tc>
              <w:tcPr>
                <w:tcW w:w="1848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69.75</w:t>
                </w:r>
              </w:p>
            </w:tc>
            <w:tc>
              <w:tcPr>
                <w:tcW w:w="1848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3/50</w:t>
                </w:r>
              </w:p>
            </w:tc>
          </w:tr>
        </w:tbl>
        <w:p>
          <w:pPr>
            <w:spacing w:after="100" w:line="348" w:lineRule="auto"/>
            <w:ind w:firstLine="420"/>
            <w:jc w:val="both"/>
          </w:pPr>
          <w:r>
            <w:rPr>
              <w:rFonts w:ascii="Arial Unicode MS" w:hAnsi="Arial Unicode MS" w:eastAsia="Arial Unicode MS" w:cs="Arial Unicode MS"/>
              <w:b w:val="0"/>
              <w:color w:val="000000"/>
              <w:sz w:val="21"/>
            </w:rPr>
            <w:t>最后一轮λ=0.99减0.98的配对均分差为6.88，95%回合bootstrap区间[-41.08, 54.68]。两组各只有一个训练种子，应结合低分风险和截断分析，不能仅凭样本均分较高推断普遍优势。</w:t>
          </w:r>
        </w:p>
      </w:sdtContent>
    </w:sdt>
    <w:p>
      <w:pPr>
        <w:pStyle w:val="Heading1"/>
      </w:pPr>
      <w:r>
        <w:t>七 结果分析</w:t>
      </w:r>
    </w:p>
    <w:p>
      <w:pPr>
        <w:pStyle w:val="Heading2"/>
      </w:pPr>
      <w:r>
        <w:t>模型确实形成了可用策略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开发评估和网页演示共同说明，模型已经形成了能够接球并持续击砖的控制行为。与上一轮最终模型相比，推荐模型在同一组30个开发种子上的均分和中位数都明显更高，提升并非只来自一局偶然高分。训练、评估和演示均使用相同物理版本和图像预处理，因此该比较没有混入环境规则变化。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65146"/>
            <wp:docPr id="102" name="behavior_sequence.png" descr="图7  同一局中的成功接球与失球连续帧（种子42000，采样间隔0.2秒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behavior_sequence.png" descr="图7  同一局中的成功接球与失球连续帧（种子42000，采样间隔0.2秒）"/>
                    <pic:cNvPicPr/>
                  </pic:nvPicPr>
                  <pic:blipFill>
                    <a:blip r:embed="rIdReportBehavior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5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60" w:after="140"/>
        <w:jc w:val="center"/>
      </w:pPr>
      <w:r>
        <w:rPr>
          <w:rFonts w:ascii="Arial Unicode MS" w:hAnsi="Arial Unicode MS" w:eastAsia="Arial Unicode MS" w:cs="Arial Unicode MS"/>
          <w:b w:val="0"/>
          <w:color w:val="666666"/>
          <w:sz w:val="18"/>
        </w:rPr>
        <w:t>图11  同一局中的成功接球与失球连续帧（种子42000，采样间隔0.2秒）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图11取自推荐最佳模型的同一局游戏。上排小球下降时挡板向接触位置移动，随后小球反弹向上；下排小球靠近右边界时超出挡板覆盖范围，落到挡板下方，生命由5减为4。画面裁取y=135至210区域，黄圈标注小球，蓝箭头表示相邻采样间的挡板位移。单个成功片段不能证明模型具备精确落点预测能力，这些帧也不足以解释所有失球原因。</w:t>
      </w:r>
    </w:p>
    <w:p>
      <w:pPr>
        <w:pStyle w:val="Heading2"/>
      </w:pPr>
      <w:r>
        <w:t>继续训练可能导致退化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四项实验都显示结束均分低于各自阶段的最佳均分，续训阶段尤其明显。可能因素包括网络参数持续变化、经验池分布随策略改变、较少探索限制新的有效轨迹，以及价值估计误差累积。现有数据只能确认表现退化，尚不足以判定唯一原因。项目采用起点评估、最佳模型保存和早停来控制损失，但这些措施只能保护产物，不能从理论上消除DQN的不稳定。</w:t>
      </w:r>
    </w:p>
    <w:p>
      <w:pPr>
        <w:pStyle w:val="Heading2"/>
      </w:pPr>
      <w:r>
        <w:t>多步回报未带来收益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三步回报原本希望让击砖奖励更直接地影响早期动作，但当前实验没有超过一步回报起点。多步目标包含更多真实奖励，也引入更长轨迹上的随机性和离策略偏差。该结果说明改进思路必须通过同协议实验验证，不能仅凭直觉认定更长回报跨度会更好。若继续研究，应固定其他条件并增加训练种子，避免把单次训练波动误判为结构性结论。</w:t>
      </w:r>
    </w:p>
    <w:p>
      <w:pPr>
        <w:pStyle w:val="Heading1"/>
      </w:pPr>
      <w:r>
        <w:t>八 本次项目工作的特点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本项目实现经典DQN和PPO及若干可配置实现变体，未提出新的强化学习算法。主要工作包括任务重建、统一实验系统、同起点消融、负结果保留与可复核的同种子模型比较。</w:t>
      </w:r>
    </w:p>
    <w:p>
      <w:pPr>
        <w:pStyle w:val="ListBullet"/>
        <w:spacing w:after="60" w:line="312" w:lineRule="auto"/>
        <w:ind w:left="425" w:hanging="142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可控环境  固定球速 挡板宽度和反弹规则，并用物理版本阻止旧模型混用。</w:t>
      </w:r>
    </w:p>
    <w:p>
      <w:pPr>
        <w:pStyle w:val="ListBullet"/>
        <w:spacing w:after="60" w:line="312" w:lineRule="auto"/>
        <w:ind w:left="425" w:hanging="142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统一输入契约  训练 评估 视频和网页共用同一预处理链，输入固定为4乘84乘84。</w:t>
      </w:r>
    </w:p>
    <w:p>
      <w:pPr>
        <w:pStyle w:val="ListBullet"/>
        <w:spacing w:after="60" w:line="312" w:lineRule="auto"/>
        <w:ind w:left="425" w:hanging="142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可恢复训练  支持模型与回放分离保存 策略预热 多步回报和中断恢复，同时检查回放兼容性。</w:t>
      </w:r>
    </w:p>
    <w:p>
      <w:pPr>
        <w:pStyle w:val="ListBullet"/>
        <w:spacing w:after="60" w:line="312" w:lineRule="auto"/>
        <w:ind w:left="425" w:hanging="142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证据化选模  记录固定开发种子的均值 中位数 标准差和低分比例，不把最后节点或单局展示当作最终结论。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这些工作使项目从一个训练脚本扩展为完整的实验流程。即使某项改进没有提升，日志、配置和早停记录也能够说明实验条件与失败边界，这对强化学习课程中的可复现分析尤为重要。</w:t>
      </w:r>
    </w:p>
    <w:p>
      <w:pPr>
        <w:pStyle w:val="Heading1"/>
      </w:pPr>
      <w:r>
        <w:t>九 局限与后续计划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本次已经完成相同50个种子的Random、DQN与PPO测试，原283.48和260.27仍属于开发分数，不作为最终测试成绩。主要局限转为训练种子数量不足、各算法多阶段训练预算和搜索历史不同，以及尚未验证跨规则泛化。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第二个局限是训练过程的重复性证据不足。多个评估种子只能检验同一个策略对不同开局的适应性，不能替代多个训练种子。DQN训练可能因初始化、探索轨迹和回放抽样而产生较大差异，因此后续至少需要重复若干次完整训练，并报告均值和离散程度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后续先对入围参数使用至少3个独立训练种子重复，再在未参与调参的新测试集检验。随后分析低分局、边缘反弹、第二面墙与无进展长局，分别消融策略学习率、GAE、回放容量和表征结构；继续报告低分位、截断率和配对区间。</w:t>
      </w:r>
    </w:p>
    <w:p>
      <w:pPr>
        <w:pStyle w:val="Heading1"/>
      </w:pPr>
      <w:r>
        <w:t>十 结论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本项目完成了环境重建、DQN与PPO训练、开发选模、固定模型测试和网页展示。DQN用回放和目标网络学习动作价值，PPO用新轨迹与裁剪目标更新策略。统一输入和游戏契约使差异可以在相同任务下检验；原理、实现、训练过程和局限均保留证据。</w:t>
      </w:r>
    </w:p>
    <w:p>
      <w:pPr>
        <w:spacing w:after="100" w:line="348" w:lineRule="auto"/>
        <w:ind w:firstLine="420"/>
        <w:jc w:val="both"/>
      </w:pPr>
      <w:r>
        <w:rPr>
          <w:rFonts w:ascii="Arial Unicode MS" w:hAnsi="Arial Unicode MS" w:eastAsia="Arial Unicode MS" w:cs="Arial Unicode MS"/>
          <w:b w:val="0"/>
          <w:color w:val="000000"/>
          <w:sz w:val="21"/>
        </w:rPr>
        <w:t>原DQN开发最佳均分为283.48；新50局测试中DQN、PPO λ=0.98和λ=0.99的均分分别为273.36、196.54和203.42。两条链路均学会有效控制，但训练和局间波动仍明显。最后一部分进一步比较两种方法的机制、低分风险和配对差，并说明预算不匹配带来的解释边界。</w:t>
      </w:r>
    </w:p>
    <w:sdt>
      <w:sdtPr>
        <w:tag w:val="ppo-report:comparison"/>
      </w:sdtPr>
      <w:sdtContent>
        <w:p>
          <w:pPr>
            <w:pStyle w:val="Heading1"/>
          </w:pPr>
          <w:r>
            <w:t>十一 DQN与PPO方法比较</w:t>
          </w:r>
        </w:p>
        <w:p>
          <w:pPr>
            <w:pStyle w:val="Heading2"/>
          </w:pPr>
          <w:r>
            <w:t>学习机制与工程取舍</w:t>
          </w:r>
        </w:p>
        <w:tbl>
          <w:tblPr>
            <w:tblW w:w="9242" w:type="dxa"/>
            <w:tblLayout w:type="fixed"/>
            <w:tblBorders>
              <w:top w:val="single" w:sz="4" w:color="CCD5DF"/>
              <w:bottom w:val="single" w:sz="4" w:color="CCD5DF"/>
              <w:insideH w:val="single" w:sz="4" w:color="CCD5DF"/>
            </w:tblBorders>
          </w:tblPr>
          <w:tblGrid>
            <w:gridCol w:w="3080"/>
            <w:gridCol w:w="3080"/>
            <w:gridCol w:w="3080"/>
          </w:tblGrid>
          <w:tr>
            <w:trPr>
              <w:tblHeader/>
            </w:trPr>
            <w:tc>
              <w:tcPr>
                <w:tcW w:w="308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方面</w:t>
                </w:r>
              </w:p>
            </w:tc>
            <w:tc>
              <w:tcPr>
                <w:tcW w:w="308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DQN</w:t>
                </w:r>
              </w:p>
            </w:tc>
            <w:tc>
              <w:tcPr>
                <w:tcW w:w="308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PPO</w:t>
                </w:r>
              </w:p>
            </w:tc>
          </w:tr>
          <w:tr>
            <w:tc>
              <w:tcPr>
                <w:tcW w:w="308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优化对象</w:t>
                </w:r>
              </w:p>
            </w:tc>
            <w:tc>
              <w:tcPr>
                <w:tcW w:w="308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四动作Q值的TD回归</w:t>
                </w:r>
              </w:p>
            </w:tc>
            <w:tc>
              <w:tcPr>
                <w:tcW w:w="308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裁剪策略目标与状态价值</w:t>
                </w:r>
              </w:p>
            </w:tc>
          </w:tr>
          <w:tr>
            <w:tc>
              <w:tcPr>
                <w:tcW w:w="308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数据利用</w:t>
                </w:r>
              </w:p>
            </w:tc>
            <w:tc>
              <w:tcPr>
                <w:tcW w:w="308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离策略，长期回放复用</w:t>
                </w:r>
              </w:p>
            </w:tc>
            <w:tc>
              <w:tcPr>
                <w:tcW w:w="308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同策略，当前rollout内多轮更新</w:t>
                </w:r>
              </w:p>
            </w:tc>
          </w:tr>
          <w:tr>
            <w:tc>
              <w:tcPr>
                <w:tcW w:w="308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稳定机制</w:t>
                </w:r>
              </w:p>
            </w:tc>
            <w:tc>
              <w:tcPr>
                <w:tcW w:w="308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目标网络、回放、Huber</w:t>
                </w:r>
              </w:p>
            </w:tc>
            <w:tc>
              <w:tcPr>
                <w:tcW w:w="308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概率比裁剪、优势标准化、KL</w:t>
                </w:r>
              </w:p>
            </w:tc>
          </w:tr>
          <w:tr>
            <w:tc>
              <w:tcPr>
                <w:tcW w:w="308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探索</w:t>
                </w:r>
              </w:p>
            </w:tc>
            <w:tc>
              <w:tcPr>
                <w:tcW w:w="308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epsilon-greedy</w:t>
                </w:r>
              </w:p>
            </w:tc>
            <w:tc>
              <w:tcPr>
                <w:tcW w:w="308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动作分布采样与熵奖励</w:t>
                </w:r>
              </w:p>
            </w:tc>
          </w:tr>
          <w:tr>
            <w:tc>
              <w:tcPr>
                <w:tcW w:w="308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网络和推理</w:t>
                </w:r>
              </w:p>
            </w:tc>
            <w:tc>
              <w:tcPr>
                <w:tcW w:w="308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在线Q网络及目标网络</w:t>
                </w:r>
              </w:p>
            </w:tc>
            <w:tc>
              <w:tcPr>
                <w:tcW w:w="308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独立策略/价值CNN，推理仅策略</w:t>
                </w:r>
              </w:p>
            </w:tc>
          </w:tr>
          <w:tr>
            <w:tc>
              <w:tcPr>
                <w:tcW w:w="308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恢复</w:t>
                </w:r>
              </w:p>
            </w:tc>
            <w:tc>
              <w:tcPr>
                <w:tcW w:w="308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模型和回放分离保存</w:t>
                </w:r>
              </w:p>
            </w:tc>
            <w:tc>
              <w:tcPr>
                <w:tcW w:w="308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模型与优化器保存，重新采样</w:t>
                </w:r>
              </w:p>
            </w:tc>
          </w:tr>
        </w:tbl>
        <w:p>
          <w:pPr>
            <w:spacing w:after="100" w:line="348" w:lineRule="auto"/>
            <w:ind w:firstLine="420"/>
            <w:jc w:val="both"/>
          </w:pPr>
          <w:r>
            <w:rPr>
              <w:rFonts w:ascii="Arial Unicode MS" w:hAnsi="Arial Unicode MS" w:eastAsia="Arial Unicode MS" w:cs="Arial Unicode MS"/>
              <w:b w:val="0"/>
              <w:color w:val="000000"/>
              <w:sz w:val="21"/>
            </w:rPr>
            <w:t>两者均需要独立开发选模；DQN回放复用历史经验但占用图像内存，PPO限制旧轨迹复用而及时反映当前策略。损失目标和尺度不同，不直接比较损失绝对值，也不能说裁剪或回放保证了训练稳定。</w:t>
          </w:r>
        </w:p>
        <w:p>
          <w:pPr>
            <w:pStyle w:val="Heading2"/>
          </w:pPr>
          <w:r>
            <w:t>统一测试协议与定量比较</w:t>
          </w:r>
        </w:p>
        <w:p>
          <w:pPr>
            <w:spacing w:after="100" w:line="348" w:lineRule="auto"/>
            <w:ind w:firstLine="420"/>
            <w:jc w:val="both"/>
          </w:pPr>
          <w:r>
            <w:rPr>
              <w:rFonts w:ascii="Arial Unicode MS" w:hAnsi="Arial Unicode MS" w:eastAsia="Arial Unicode MS" w:cs="Arial Unicode MS"/>
              <w:b w:val="0"/>
              <w:color w:val="000000"/>
              <w:sz w:val="21"/>
            </w:rPr>
            <w:t>冻结DQN开发流程推荐模型及两种PPO设置，在同一physics-v3、原始奖励、完整五生命游戏、4×84×84输入和121000—121049种子上各测试50局。均为CPU确定性动作，随机策略均匀采样。主PPO按开发均分196.00高于171.09375选定λ=0.98，λ=0.99仅作补充，不依据测试均分更换主候选。</w:t>
          </w:r>
        </w:p>
        <w:tbl>
          <w:tblPr>
            <w:tblW w:w="9242" w:type="dxa"/>
            <w:tblLayout w:type="fixed"/>
            <w:tblBorders>
              <w:top w:val="single" w:sz="4" w:color="CCD5DF"/>
              <w:bottom w:val="single" w:sz="4" w:color="CCD5DF"/>
              <w:insideH w:val="single" w:sz="4" w:color="CCD5DF"/>
            </w:tblBorders>
          </w:tblPr>
          <w:tblGrid>
            <w:gridCol w:w="1540"/>
            <w:gridCol w:w="1540"/>
            <w:gridCol w:w="1540"/>
            <w:gridCol w:w="1540"/>
            <w:gridCol w:w="1540"/>
            <w:gridCol w:w="1540"/>
          </w:tblGrid>
          <w:tr>
            <w:trPr>
              <w:tblHeader/>
            </w:trPr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固定模型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均分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标准差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中位数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&lt;50分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截断</w:t>
                </w:r>
              </w:p>
            </w:tc>
          </w:tr>
          <w:tr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随机策略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0.88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1.03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1.00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50/50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0/50</w:t>
                </w:r>
              </w:p>
            </w:tc>
          </w:tr>
          <w:tr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DQN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273.36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84.28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266.00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0/50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0/50</w:t>
                </w:r>
              </w:p>
            </w:tc>
          </w:tr>
          <w:tr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PPO λ=0.98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196.54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138.91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166.50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9/50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5/50</w:t>
                </w:r>
              </w:p>
            </w:tc>
          </w:tr>
          <w:tr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PPO λ=0.99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203.42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126.34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191.50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6/50</w:t>
                </w:r>
              </w:p>
            </w:tc>
            <w:tc>
              <w:tcPr>
                <w:tcW w:w="1540" w:type="dxa"/>
              </w:tcPr>
              <w:p>
                <w:pPr>
                  <w:jc w:val="both"/>
                </w:pPr>
                <w:r>
                  <w:rPr>
                    <w:rFonts w:ascii="Arial Unicode MS" w:hAnsi="Arial Unicode MS" w:eastAsia="Arial Unicode MS" w:cs="Arial Unicode MS"/>
                    <w:b w:val="0"/>
                    <w:color w:val="000000"/>
                    <w:sz w:val="21"/>
                    <w:szCs w:val="21"/>
                  </w:rPr>
                  <w:t>3/50</w:t>
                </w:r>
              </w:p>
            </w:tc>
          </w:tr>
        </w:tbl>
        <w:p>
          <w:pPr>
            <w:spacing w:after="100" w:line="348" w:lineRule="auto"/>
            <w:ind w:firstLine="420"/>
            <w:jc w:val="both"/>
          </w:pPr>
          <w:r>
            <w:rPr>
              <w:rFonts w:ascii="Arial Unicode MS" w:hAnsi="Arial Unicode MS" w:eastAsia="Arial Unicode MS" w:cs="Arial Unicode MS"/>
              <w:b w:val="0"/>
              <w:color w:val="000000"/>
              <w:sz w:val="21"/>
            </w:rPr>
            <w:t>DQN减PPO λ=0.98的配对均分差为76.82，胜/平/负为31/0/19。按完整种子对重采样20000次，随机数种子20261022，95%区间[28.02, 125.24]。区间描述固定模型在当前样本上的差异，不覆盖重复训练波动。</w:t>
          </w:r>
        </w:p>
        <w:p>
          <w:pPr>
            <w:keepNext/>
            <w:spacing w:before="80"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5760720" cy="2765146"/>
                <wp:docPr id="203" name="dqn_ppo_comparison.png" descr="图1003  DQN与PPO在相同50个测试种子上的得分分布与配对差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203" name="dqn_ppo_comparison.png" descr="图1003  DQN与PPO在相同50个测试种子上的得分分布与配对差"/>
                        <pic:cNvPicPr/>
                      </pic:nvPicPr>
                      <pic:blipFill>
                        <a:blip r:embed="rIdPPOReportComparison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276514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pStyle w:val="Caption"/>
            <w:keepNext w:val="0"/>
            <w:spacing w:before="60" w:after="140"/>
            <w:jc w:val="center"/>
          </w:pPr>
          <w:r>
            <w:rPr>
              <w:rFonts w:ascii="Arial Unicode MS" w:hAnsi="Arial Unicode MS" w:eastAsia="Arial Unicode MS" w:cs="Arial Unicode MS"/>
              <w:b w:val="0"/>
              <w:color w:val="666666"/>
              <w:sz w:val="18"/>
            </w:rPr>
            <w:t>图12  DQN与PPO在相同50个测试种子上的得分分布与配对差</w:t>
          </w:r>
        </w:p>
        <w:p>
          <w:pPr>
            <w:pStyle w:val="Heading2"/>
          </w:pPr>
          <w:r>
            <w:t>比较结论与适用范围</w:t>
          </w:r>
        </w:p>
        <w:p>
          <w:pPr>
            <w:spacing w:after="100" w:line="348" w:lineRule="auto"/>
            <w:ind w:firstLine="420"/>
            <w:jc w:val="both"/>
          </w:pPr>
          <w:r>
            <w:rPr>
              <w:rFonts w:ascii="Arial Unicode MS" w:hAnsi="Arial Unicode MS" w:eastAsia="Arial Unicode MS" w:cs="Arial Unicode MS"/>
              <w:b w:val="0"/>
              <w:color w:val="000000"/>
              <w:sz w:val="21"/>
            </w:rPr>
            <w:t>相同50局的DQN均分为273.36，PPO主候选为196.54，补充GAE设置为203.42。应结合中位数、低分位、截断和逐局配对差评价，而非最高分。时间截断并非通关，局长增加也不必然意味着单位交互得分效率提高。</w:t>
          </w:r>
        </w:p>
        <w:p>
          <w:pPr>
            <w:spacing w:after="100" w:line="348" w:lineRule="auto"/>
            <w:ind w:firstLine="420"/>
            <w:jc w:val="both"/>
          </w:pPr>
          <w:r>
            <w:rPr>
              <w:rFonts w:ascii="Arial Unicode MS" w:hAnsi="Arial Unicode MS" w:eastAsia="Arial Unicode MS" w:cs="Arial Unicode MS"/>
              <w:b w:val="0"/>
              <w:color w:val="000000"/>
              <w:sz w:val="21"/>
            </w:rPr>
            <w:t>本次比较不是同预算算法排名：DQN与PPO具有不同的多阶段训练起点、累计交互和超参数搜索。结果仅支持这些固定模型在当前任务上的比较。后续需统一从头预算、多训练种子及未参与调参的新测试集；本报告的贡献是两种方法在同一环境中的可运行实现、完整证据及工程取舍。</w:t>
          </w:r>
        </w:p>
      </w:sdtContent>
    </w:sdt>
    <w:sectPr w:rsidR="00FC693F" w:rsidRPr="0006063C" w:rsidSect="00034616">
      <w:footerReference w:type="default" r:id="rId9"/>
      <w:pgSz w:w="11906" w:h="16838"/>
      <w:pgMar w:top="1276" w:right="1332" w:bottom="1134" w:left="1332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 w:cs="Arial Unicode MS"/>
        <w:b w:val="0"/>
        <w:color w:val="666666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Arial Unicode MS" w:hAnsi="Arial Unicode MS" w:eastAsia="Arial Unicode MS" w:cs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 Unicode MS" w:hAnsi="Arial Unicode MS" w:eastAsia="Arial Unicode MS" w:cs="Arial Unicode MS"/>
      <w:b/>
      <w:bCs/>
      <w:color w:val="66666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hyperlink" Target="https://doi.org/10.1038/nature14236" TargetMode="External"/><Relationship Id="rId20" Type="http://schemas.openxmlformats.org/officeDocument/2006/relationships/hyperlink" Target="https://stable-baselines3.readthedocs.io/en/master/modules/dqn.html" TargetMode="External"/><Relationship Id="rId21" Type="http://schemas.openxmlformats.org/officeDocument/2006/relationships/hyperlink" Target="https://gymnasium.farama.org/" TargetMode="External"/><Relationship Id="rIdReportGame" Type="http://schemas.openxmlformats.org/officeDocument/2006/relationships/image" Target="media/report_game_live.png"/><Relationship Id="rIdReportBehavior" Type="http://schemas.openxmlformats.org/officeDocument/2006/relationships/image" Target="media/report_behavior_sequence.png"/><Relationship Id="rIdReportDiagnostics" Type="http://schemas.openxmlformats.org/officeDocument/2006/relationships/image" Target="media/report_training_diagnostics.png"/><Relationship Id="rIdReportRobustness" Type="http://schemas.openxmlformats.org/officeDocument/2006/relationships/image" Target="media/report_score_robustness.png"/><Relationship Id="rIdPPOReportArchitecture" Type="http://schemas.openxmlformats.org/officeDocument/2006/relationships/image" Target="media/report_ppo_actor_critic.png"/><Relationship Id="rIdPPOReportTraining" Type="http://schemas.openxmlformats.org/officeDocument/2006/relationships/image" Target="media/report_ppo_training_curves.png"/><Relationship Id="rIdPPOReportComparison" Type="http://schemas.openxmlformats.org/officeDocument/2006/relationships/image" Target="media/report_dqn_ppo_comparison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基于DQN与PPO的Breakout智能体课程报告</dc:title>
  <dc:subject>强化学习课程项目</dc:subject>
  <dc:creator/>
  <cp:keywords>DQN, Breakout, 强化学习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