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widowControl w:val="1"/>
        <w:jc w:val="left"/>
        <w:rPr>
          <w:lang w:val="zh-TW" w:eastAsia="zh-TW"/>
        </w:rPr>
      </w:pPr>
      <w:r>
        <w:rPr>
          <w:rFonts w:ascii="宋体" w:cs="宋体" w:hAnsi="宋体" w:eastAsia="宋体"/>
          <w:caps w:val="0"/>
          <w:smallCaps w:val="0"/>
          <w:color w:val="000000"/>
          <w:spacing w:val="0"/>
          <w:kern w:val="0"/>
          <w:sz w:val="24"/>
          <w:szCs w:val="24"/>
          <w:u w:val="none" w:color="000000"/>
          <w:rtl w:val="0"/>
          <w:lang w:val="zh-TW" w:eastAsia="zh-TW"/>
        </w:rPr>
        <w:t>信息栈：在信息链中存在的节点，由于这些节点可以进行信息的存储，转换，处理，传递，如同商品流通中的货栈一样，所以这些节点就成为信息栈。</w:t>
      </w:r>
    </w:p>
    <w:p>
      <w:pPr>
        <w:pStyle w:val="Normal.0"/>
      </w:pPr>
      <w:r>
        <w:drawing>
          <wp:inline distT="0" distB="0" distL="0" distR="0">
            <wp:extent cx="3515996" cy="2637790"/>
            <wp:effectExtent l="0" t="0" r="0" b="0"/>
            <wp:docPr id="1073741825" name="officeArt object" descr="2019-11-12 15:45:08.473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2019-11-12 15:45:08.473000" descr="2019-11-12 15:45:08.473000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6" cy="2637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5"/>
      <w:footerReference w:type="default" r:id="rId6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0" w:insDel="1" w:formatting="0"/>
  <w:defaultTabStop w:val="4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1"/>
      <w:szCs w:val="21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