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bidi w:val="0"/>
        <w:jc w:val="center"/>
        <w:rPr>
          <w:rFonts w:hint="eastAsia"/>
          <w:sz w:val="36"/>
          <w:szCs w:val="36"/>
          <w:lang w:val="en-US" w:eastAsia="zh-CN"/>
        </w:rPr>
      </w:pPr>
      <w:r>
        <w:rPr>
          <w:rFonts w:hint="eastAsia"/>
          <w:sz w:val="36"/>
          <w:szCs w:val="36"/>
          <w:lang w:val="en-US" w:eastAsia="zh-CN"/>
        </w:rPr>
        <w:t>面向某医院的淋巴结消退分级（LRG）</w:t>
      </w:r>
    </w:p>
    <w:p>
      <w:pPr>
        <w:pStyle w:val="5"/>
        <w:bidi w:val="0"/>
        <w:jc w:val="center"/>
        <w:rPr>
          <w:rFonts w:hint="eastAsia"/>
          <w:sz w:val="36"/>
          <w:szCs w:val="36"/>
          <w:lang w:val="en-US" w:eastAsia="zh-CN"/>
        </w:rPr>
      </w:pPr>
      <w:r>
        <w:rPr>
          <w:rFonts w:hint="eastAsia"/>
          <w:sz w:val="36"/>
          <w:szCs w:val="36"/>
          <w:lang w:val="en-US" w:eastAsia="zh-CN"/>
        </w:rPr>
        <w:t>非技术性报告</w:t>
      </w:r>
    </w:p>
    <w:p>
      <w:pPr>
        <w:pStyle w:val="5"/>
        <w:bidi w:val="0"/>
        <w:jc w:val="left"/>
        <w:rPr>
          <w:rFonts w:hint="eastAsia" w:eastAsia="宋体" w:cs="Arial"/>
          <w:b w:val="0"/>
          <w:bCs w:val="0"/>
          <w:i w:val="0"/>
          <w:iCs w:val="0"/>
          <w:caps w:val="0"/>
          <w:color w:val="333333"/>
          <w:spacing w:val="0"/>
          <w:sz w:val="24"/>
          <w:szCs w:val="24"/>
          <w:shd w:val="clear" w:fill="FFFFFF"/>
          <w:lang w:val="en-US" w:eastAsia="zh-CN"/>
        </w:rPr>
      </w:pPr>
      <w:r>
        <w:rPr>
          <w:rFonts w:hint="eastAsia" w:ascii="宋体" w:hAnsi="宋体" w:eastAsia="宋体" w:cs="宋体"/>
          <w:b w:val="0"/>
          <w:bCs w:val="0"/>
          <w:sz w:val="24"/>
          <w:szCs w:val="24"/>
          <w:lang w:val="en-US" w:eastAsia="zh-CN"/>
        </w:rPr>
        <w:t xml:space="preserve">    当今</w:t>
      </w:r>
      <w:r>
        <w:rPr>
          <w:rStyle w:val="8"/>
          <w:rFonts w:hint="eastAsia" w:ascii="宋体" w:hAnsi="宋体" w:eastAsia="宋体" w:cs="宋体"/>
          <w:b w:val="0"/>
          <w:bCs w:val="0"/>
          <w:i w:val="0"/>
          <w:iCs w:val="0"/>
          <w:caps w:val="0"/>
          <w:color w:val="2B2B2B"/>
          <w:spacing w:val="0"/>
          <w:sz w:val="24"/>
          <w:szCs w:val="24"/>
          <w:shd w:val="clear" w:fill="FFFFFF"/>
          <w:lang w:val="en-US" w:eastAsia="zh-CN"/>
        </w:rPr>
        <w:t>，直肠癌作为</w:t>
      </w:r>
      <w:r>
        <w:rPr>
          <w:rFonts w:hint="eastAsia" w:ascii="Arial" w:hAnsi="Arial" w:eastAsia="宋体" w:cs="Arial"/>
          <w:b w:val="0"/>
          <w:bCs w:val="0"/>
          <w:i w:val="0"/>
          <w:iCs w:val="0"/>
          <w:caps w:val="0"/>
          <w:color w:val="333333"/>
          <w:spacing w:val="0"/>
          <w:sz w:val="24"/>
          <w:szCs w:val="24"/>
          <w:shd w:val="clear" w:fill="FFFFFF"/>
        </w:rPr>
        <w:t>消化道最常见的恶性肿瘤之一</w:t>
      </w:r>
      <w:r>
        <w:rPr>
          <w:rFonts w:hint="eastAsia" w:ascii="Arial" w:hAnsi="Arial" w:eastAsia="宋体" w:cs="Arial"/>
          <w:b w:val="0"/>
          <w:bCs w:val="0"/>
          <w:i w:val="0"/>
          <w:iCs w:val="0"/>
          <w:caps w:val="0"/>
          <w:color w:val="333333"/>
          <w:spacing w:val="0"/>
          <w:sz w:val="24"/>
          <w:szCs w:val="24"/>
          <w:shd w:val="clear" w:fill="FFFFFF"/>
          <w:lang w:eastAsia="zh-CN"/>
        </w:rPr>
        <w:t>，</w:t>
      </w:r>
      <w:r>
        <w:rPr>
          <w:rFonts w:ascii="Times New Roman" w:hAnsi="Times New Roman" w:eastAsia="宋体" w:cs="Times New Roman"/>
          <w:b w:val="0"/>
          <w:bCs w:val="0"/>
          <w:color w:val="2F2F2F"/>
          <w:kern w:val="0"/>
          <w:sz w:val="24"/>
          <w:szCs w:val="24"/>
          <w:shd w:val="clear" w:color="auto" w:fill="FFFFFF"/>
        </w:rPr>
        <w:t>是我国继肺癌后的第二大癌症</w:t>
      </w:r>
      <w:r>
        <w:rPr>
          <w:rFonts w:hint="eastAsia" w:ascii="Times New Roman" w:hAnsi="Times New Roman" w:eastAsia="宋体" w:cs="Times New Roman"/>
          <w:b w:val="0"/>
          <w:bCs w:val="0"/>
          <w:color w:val="2F2F2F"/>
          <w:kern w:val="0"/>
          <w:sz w:val="24"/>
          <w:szCs w:val="24"/>
          <w:shd w:val="clear" w:color="auto" w:fill="FFFFFF"/>
          <w:lang w:eastAsia="zh-CN"/>
        </w:rPr>
        <w:t>，</w:t>
      </w:r>
      <w:r>
        <w:rPr>
          <w:rFonts w:hint="eastAsia" w:ascii="Times New Roman" w:hAnsi="Times New Roman" w:eastAsia="宋体" w:cs="Times New Roman"/>
          <w:b w:val="0"/>
          <w:bCs w:val="0"/>
          <w:color w:val="2F2F2F"/>
          <w:kern w:val="0"/>
          <w:sz w:val="24"/>
          <w:szCs w:val="24"/>
          <w:shd w:val="clear" w:color="auto" w:fill="FFFFFF"/>
          <w:lang w:val="en-US" w:eastAsia="zh-CN"/>
        </w:rPr>
        <w:t>已</w:t>
      </w:r>
      <w:bookmarkStart w:id="0" w:name="_GoBack"/>
      <w:bookmarkEnd w:id="0"/>
      <w:r>
        <w:rPr>
          <w:rFonts w:hint="eastAsia" w:ascii="Times New Roman" w:hAnsi="Times New Roman" w:eastAsia="宋体" w:cs="Times New Roman"/>
          <w:b w:val="0"/>
          <w:bCs w:val="0"/>
          <w:color w:val="2F2F2F"/>
          <w:kern w:val="0"/>
          <w:sz w:val="24"/>
          <w:szCs w:val="24"/>
          <w:shd w:val="clear" w:color="auto" w:fill="FFFFFF"/>
          <w:lang w:val="en-US" w:eastAsia="zh-CN"/>
        </w:rPr>
        <w:t>对人民的生命健康安全造成了严重威胁。</w:t>
      </w:r>
      <w:r>
        <w:rPr>
          <w:rFonts w:hint="eastAsia" w:eastAsia="宋体" w:cs="Arial"/>
          <w:b w:val="0"/>
          <w:bCs w:val="0"/>
          <w:i w:val="0"/>
          <w:iCs w:val="0"/>
          <w:caps w:val="0"/>
          <w:color w:val="333333"/>
          <w:spacing w:val="0"/>
          <w:sz w:val="24"/>
          <w:szCs w:val="24"/>
          <w:shd w:val="clear" w:fill="FFFFFF"/>
          <w:lang w:val="en-US" w:eastAsia="zh-CN"/>
        </w:rPr>
        <w:t>医院，作为服务人民、保障人民生命健康安全的重要细胞，理应在中国抗击直肠癌过程中承担其相应的使命与责任。</w:t>
      </w:r>
    </w:p>
    <w:p>
      <w:pPr>
        <w:ind w:firstLine="480" w:firstLineChars="200"/>
        <w:rPr>
          <w:rFonts w:ascii="Times New Roman" w:hAnsi="Times New Roman" w:eastAsia="宋体" w:cs="Times New Roman"/>
          <w:bCs/>
          <w:color w:val="000000" w:themeColor="text1"/>
          <w:sz w:val="24"/>
          <w:szCs w:val="24"/>
          <w14:textFill>
            <w14:solidFill>
              <w14:schemeClr w14:val="tx1"/>
            </w14:solidFill>
          </w14:textFill>
        </w:rPr>
      </w:pPr>
      <w:r>
        <w:rPr>
          <w:rFonts w:hint="eastAsia" w:ascii="Arial" w:hAnsi="Arial" w:eastAsia="宋体" w:cs="Arial"/>
          <w:i w:val="0"/>
          <w:iCs w:val="0"/>
          <w:caps w:val="0"/>
          <w:color w:val="333333"/>
          <w:spacing w:val="0"/>
          <w:sz w:val="24"/>
          <w:szCs w:val="24"/>
          <w:shd w:val="clear" w:fill="FFFFFF"/>
          <w:lang w:val="en-US" w:eastAsia="zh-CN"/>
        </w:rPr>
        <w:t>目前，</w:t>
      </w:r>
      <w:r>
        <w:rPr>
          <w:rFonts w:hint="eastAsia" w:ascii="宋体" w:hAnsi="宋体" w:eastAsia="宋体" w:cs="宋体"/>
          <w:bCs/>
          <w:color w:val="000000" w:themeColor="text1"/>
          <w:sz w:val="24"/>
          <w:szCs w:val="24"/>
          <w14:textFill>
            <w14:solidFill>
              <w14:schemeClr w14:val="tx1"/>
            </w14:solidFill>
          </w14:textFill>
        </w:rPr>
        <w:t>局部晚期直肠癌的标准治疗模式</w:t>
      </w:r>
      <w:r>
        <w:rPr>
          <w:rFonts w:hint="eastAsia" w:ascii="宋体" w:hAnsi="宋体" w:eastAsia="宋体" w:cs="宋体"/>
          <w:bCs/>
          <w:color w:val="000000" w:themeColor="text1"/>
          <w:sz w:val="24"/>
          <w:szCs w:val="24"/>
          <w:lang w:val="en-US" w:eastAsia="zh-CN"/>
          <w14:textFill>
            <w14:solidFill>
              <w14:schemeClr w14:val="tx1"/>
            </w14:solidFill>
          </w14:textFill>
        </w:rPr>
        <w:t>已经确定，即“</w:t>
      </w:r>
      <w:r>
        <w:rPr>
          <w:rFonts w:hint="eastAsia" w:ascii="宋体" w:hAnsi="宋体" w:eastAsia="宋体" w:cs="宋体"/>
          <w:bCs/>
          <w:color w:val="000000" w:themeColor="text1"/>
          <w:sz w:val="24"/>
          <w:szCs w:val="24"/>
          <w14:textFill>
            <w14:solidFill>
              <w14:schemeClr w14:val="tx1"/>
            </w14:solidFill>
          </w14:textFill>
        </w:rPr>
        <w:t>新辅助放化疗</w:t>
      </w:r>
      <w:r>
        <w:rPr>
          <w:rFonts w:hint="eastAsia" w:ascii="宋体" w:hAnsi="宋体" w:eastAsia="宋体" w:cs="宋体"/>
          <w:bCs/>
          <w:color w:val="000000" w:themeColor="text1"/>
          <w:sz w:val="24"/>
          <w:szCs w:val="24"/>
          <w:lang w:eastAsia="zh-CN"/>
          <w14:textFill>
            <w14:solidFill>
              <w14:schemeClr w14:val="tx1"/>
            </w14:solidFill>
          </w14:textFill>
        </w:rPr>
        <w:t>（</w:t>
      </w:r>
      <w:r>
        <w:rPr>
          <w:rFonts w:hint="eastAsia" w:ascii="宋体" w:hAnsi="宋体" w:eastAsia="宋体" w:cs="宋体"/>
          <w:bCs/>
          <w:color w:val="000000" w:themeColor="text1"/>
          <w:sz w:val="24"/>
          <w:szCs w:val="24"/>
          <w:lang w:val="en-US" w:eastAsia="zh-CN"/>
          <w14:textFill>
            <w14:solidFill>
              <w14:schemeClr w14:val="tx1"/>
            </w14:solidFill>
          </w14:textFill>
        </w:rPr>
        <w:t>CRT</w:t>
      </w:r>
      <w:r>
        <w:rPr>
          <w:rFonts w:hint="eastAsia" w:ascii="宋体" w:hAnsi="宋体" w:eastAsia="宋体" w:cs="宋体"/>
          <w:bCs/>
          <w:color w:val="000000" w:themeColor="text1"/>
          <w:sz w:val="24"/>
          <w:szCs w:val="24"/>
          <w:lang w:eastAsia="zh-CN"/>
          <w14:textFill>
            <w14:solidFill>
              <w14:schemeClr w14:val="tx1"/>
            </w14:solidFill>
          </w14:textFill>
        </w:rPr>
        <w:t>）</w:t>
      </w:r>
      <w:r>
        <w:rPr>
          <w:rFonts w:hint="eastAsia" w:ascii="宋体" w:hAnsi="宋体" w:eastAsia="宋体" w:cs="宋体"/>
          <w:bCs/>
          <w:color w:val="000000" w:themeColor="text1"/>
          <w:sz w:val="24"/>
          <w:szCs w:val="24"/>
          <w:lang w:val="en-US" w:eastAsia="zh-CN"/>
          <w14:textFill>
            <w14:solidFill>
              <w14:schemeClr w14:val="tx1"/>
            </w14:solidFill>
          </w14:textFill>
        </w:rPr>
        <w:t>+</w:t>
      </w:r>
      <w:r>
        <w:rPr>
          <w:rFonts w:hint="eastAsia" w:ascii="宋体" w:hAnsi="宋体" w:eastAsia="宋体" w:cs="宋体"/>
          <w:bCs/>
          <w:color w:val="000000" w:themeColor="text1"/>
          <w:sz w:val="24"/>
          <w:szCs w:val="24"/>
          <w14:textFill>
            <w14:solidFill>
              <w14:schemeClr w14:val="tx1"/>
            </w14:solidFill>
          </w14:textFill>
        </w:rPr>
        <w:t>全直肠系膜筋膜切除术</w:t>
      </w:r>
      <w:r>
        <w:rPr>
          <w:rFonts w:hint="eastAsia" w:ascii="宋体" w:hAnsi="宋体" w:eastAsia="宋体" w:cs="宋体"/>
          <w:bCs/>
          <w:color w:val="000000" w:themeColor="text1"/>
          <w:sz w:val="24"/>
          <w:szCs w:val="24"/>
          <w:lang w:val="en-US" w:eastAsia="zh-CN"/>
          <w14:textFill>
            <w14:solidFill>
              <w14:schemeClr w14:val="tx1"/>
            </w14:solidFill>
          </w14:textFill>
        </w:rPr>
        <w:t>(TME)”，此法有效改善了直肠癌患者的预后问题，使</w:t>
      </w:r>
      <w:r>
        <w:rPr>
          <w:rFonts w:ascii="Times New Roman" w:hAnsi="Times New Roman" w:eastAsia="宋体" w:cs="Times New Roman"/>
          <w:bCs/>
          <w:color w:val="000000" w:themeColor="text1"/>
          <w:sz w:val="24"/>
          <w:szCs w:val="24"/>
          <w14:textFill>
            <w14:solidFill>
              <w14:schemeClr w14:val="tx1"/>
            </w14:solidFill>
          </w14:textFill>
        </w:rPr>
        <w:t>局部复发率显著降低，同时也提高了低位直肠癌的保肛率。</w:t>
      </w:r>
    </w:p>
    <w:p>
      <w:pPr>
        <w:widowControl/>
        <w:spacing w:before="156" w:beforeLines="50" w:line="360" w:lineRule="atLeast"/>
        <w:ind w:firstLine="480" w:firstLineChars="200"/>
        <w:jc w:val="left"/>
        <w:rPr>
          <w:rFonts w:hint="eastAsia" w:ascii="Times New Roman" w:hAnsi="Times New Roman" w:eastAsia="宋体" w:cs="Times New Roman"/>
          <w:sz w:val="24"/>
          <w:szCs w:val="24"/>
          <w:lang w:eastAsia="zh-CN"/>
        </w:rPr>
      </w:pPr>
      <w:r>
        <w:rPr>
          <w:rFonts w:hint="eastAsia" w:ascii="Times New Roman" w:hAnsi="Times New Roman" w:eastAsia="宋体" w:cs="Times New Roman"/>
          <w:bCs/>
          <w:color w:val="000000" w:themeColor="text1"/>
          <w:sz w:val="24"/>
          <w:szCs w:val="24"/>
          <w:lang w:val="en-US" w:eastAsia="zh-CN"/>
          <w14:textFill>
            <w14:solidFill>
              <w14:schemeClr w14:val="tx1"/>
            </w14:solidFill>
          </w14:textFill>
        </w:rPr>
        <w:t>通常情况下，</w:t>
      </w:r>
      <w:r>
        <w:rPr>
          <w:rFonts w:hint="eastAsia" w:ascii="宋体" w:hAnsi="宋体" w:eastAsia="宋体" w:cs="宋体"/>
          <w:sz w:val="24"/>
          <w:szCs w:val="24"/>
        </w:rPr>
        <w:t>在</w:t>
      </w:r>
      <w:r>
        <w:rPr>
          <w:rFonts w:hint="eastAsia" w:ascii="宋体" w:hAnsi="宋体" w:eastAsia="宋体" w:cs="宋体"/>
          <w:sz w:val="24"/>
          <w:szCs w:val="24"/>
          <w:lang w:val="en-US" w:eastAsia="zh-CN"/>
        </w:rPr>
        <w:t>n</w:t>
      </w:r>
      <w:r>
        <w:rPr>
          <w:rFonts w:hint="eastAsia" w:ascii="宋体" w:hAnsi="宋体" w:eastAsia="宋体" w:cs="宋体"/>
          <w:sz w:val="24"/>
          <w:szCs w:val="24"/>
        </w:rPr>
        <w:t>CRT</w:t>
      </w:r>
      <w:r>
        <w:rPr>
          <w:rFonts w:hint="eastAsia" w:ascii="宋体" w:hAnsi="宋体" w:eastAsia="宋体" w:cs="宋体"/>
          <w:b w:val="0"/>
          <w:bCs w:val="0"/>
          <w:sz w:val="24"/>
          <w:szCs w:val="24"/>
        </w:rPr>
        <w:t>后的</w:t>
      </w:r>
      <w:r>
        <w:rPr>
          <w:rFonts w:hint="eastAsia" w:ascii="宋体" w:hAnsi="宋体" w:eastAsia="宋体" w:cs="宋体"/>
          <w:b w:val="0"/>
          <w:bCs w:val="0"/>
          <w:sz w:val="24"/>
          <w:szCs w:val="24"/>
          <w:highlight w:val="none"/>
        </w:rPr>
        <w:t>6-8周</w:t>
      </w:r>
      <w:r>
        <w:rPr>
          <w:rFonts w:hint="eastAsia" w:ascii="宋体" w:hAnsi="宋体" w:eastAsia="宋体" w:cs="宋体"/>
          <w:b w:val="0"/>
          <w:bCs w:val="0"/>
          <w:sz w:val="24"/>
          <w:szCs w:val="24"/>
          <w:highlight w:val="none"/>
          <w:lang w:val="en-US" w:eastAsia="zh-CN"/>
        </w:rPr>
        <w:t>会</w:t>
      </w:r>
      <w:r>
        <w:rPr>
          <w:rFonts w:hint="eastAsia" w:ascii="宋体" w:hAnsi="宋体" w:eastAsia="宋体" w:cs="宋体"/>
          <w:b w:val="0"/>
          <w:bCs w:val="0"/>
          <w:sz w:val="24"/>
          <w:szCs w:val="24"/>
          <w:lang w:val="en-US" w:eastAsia="zh-CN"/>
        </w:rPr>
        <w:t>采</w:t>
      </w:r>
      <w:r>
        <w:rPr>
          <w:rFonts w:hint="eastAsia" w:ascii="宋体" w:hAnsi="宋体" w:eastAsia="宋体" w:cs="宋体"/>
          <w:b w:val="0"/>
          <w:bCs w:val="0"/>
          <w:sz w:val="24"/>
          <w:szCs w:val="24"/>
        </w:rPr>
        <w:t>用肿瘤消退分级（</w:t>
      </w:r>
      <w:r>
        <w:rPr>
          <w:rFonts w:hint="eastAsia" w:ascii="宋体" w:hAnsi="宋体" w:eastAsia="宋体" w:cs="宋体"/>
          <w:b w:val="0"/>
          <w:bCs w:val="0"/>
          <w:sz w:val="24"/>
          <w:szCs w:val="24"/>
          <w:lang w:val="en-US" w:eastAsia="zh-CN"/>
        </w:rPr>
        <w:t>TRG</w:t>
      </w:r>
      <w:r>
        <w:rPr>
          <w:rFonts w:hint="eastAsia" w:ascii="宋体" w:hAnsi="宋体" w:eastAsia="宋体" w:cs="宋体"/>
          <w:b w:val="0"/>
          <w:bCs w:val="0"/>
          <w:sz w:val="24"/>
          <w:szCs w:val="24"/>
        </w:rPr>
        <w:t>）</w:t>
      </w:r>
      <w:r>
        <w:rPr>
          <w:rFonts w:hint="eastAsia" w:ascii="宋体" w:hAnsi="宋体" w:eastAsia="宋体" w:cs="宋体"/>
          <w:b w:val="0"/>
          <w:bCs w:val="0"/>
          <w:sz w:val="24"/>
          <w:szCs w:val="24"/>
          <w:lang w:val="en-US" w:eastAsia="zh-CN"/>
        </w:rPr>
        <w:t>的方法来</w:t>
      </w:r>
      <w:r>
        <w:rPr>
          <w:rFonts w:ascii="Times New Roman" w:hAnsi="Times New Roman" w:eastAsia="宋体" w:cs="Times New Roman"/>
          <w:sz w:val="24"/>
          <w:szCs w:val="24"/>
        </w:rPr>
        <w:t>评估原发肿瘤</w:t>
      </w:r>
      <w:r>
        <w:rPr>
          <w:rFonts w:hint="eastAsia" w:ascii="Times New Roman" w:hAnsi="Times New Roman" w:eastAsia="宋体" w:cs="Times New Roman"/>
          <w:sz w:val="24"/>
          <w:szCs w:val="24"/>
          <w:lang w:val="en-US" w:eastAsia="zh-CN"/>
        </w:rPr>
        <w:t>对CRT</w:t>
      </w:r>
      <w:r>
        <w:rPr>
          <w:rFonts w:ascii="Times New Roman" w:hAnsi="Times New Roman" w:eastAsia="宋体" w:cs="Times New Roman"/>
          <w:sz w:val="24"/>
          <w:szCs w:val="24"/>
        </w:rPr>
        <w:t>的治疗反应，以判断患者是否需要继续接受手术治疗或选择何种手术方式</w:t>
      </w:r>
      <w:r>
        <w:rPr>
          <w:rFonts w:hint="eastAsia" w:ascii="Times New Roman" w:hAnsi="Times New Roman" w:eastAsia="宋体" w:cs="Times New Roman"/>
          <w:sz w:val="24"/>
          <w:szCs w:val="24"/>
          <w:lang w:eastAsia="zh-CN"/>
        </w:rPr>
        <w:t>。</w:t>
      </w:r>
    </w:p>
    <w:p>
      <w:pPr>
        <w:widowControl/>
        <w:spacing w:before="156" w:beforeLines="50" w:line="360" w:lineRule="atLeast"/>
        <w:ind w:firstLine="480" w:firstLineChars="200"/>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sz w:val="24"/>
          <w:szCs w:val="24"/>
          <w:u w:val="single"/>
          <w:lang w:val="en-US" w:eastAsia="zh-CN"/>
        </w:rPr>
        <w:t>然而，目前所有TRG的分级标准均只考虑了原发肿瘤的消退情况。事实上，新辅助放化疗后淋巴结消退同样存在，而且淋巴结消退分级（LRG）情况在评估新辅助放化疗后直肠癌患者的预后中同样具有重要的临床意义。</w:t>
      </w:r>
      <w:r>
        <w:rPr>
          <w:rFonts w:hint="eastAsia" w:ascii="Times New Roman" w:hAnsi="Times New Roman" w:eastAsia="宋体" w:cs="Times New Roman"/>
          <w:sz w:val="24"/>
          <w:szCs w:val="24"/>
          <w:u w:val="none"/>
          <w:lang w:val="en-US" w:eastAsia="zh-CN"/>
        </w:rPr>
        <w:t>因此，本文有必要探讨并汇报有关淋巴结消退分级的系列问题。</w:t>
      </w:r>
    </w:p>
    <w:p>
      <w:pPr>
        <w:widowControl/>
        <w:numPr>
          <w:ilvl w:val="0"/>
          <w:numId w:val="1"/>
        </w:numPr>
        <w:spacing w:before="156" w:beforeLines="50" w:line="360" w:lineRule="atLeast"/>
        <w:jc w:val="left"/>
        <w:rPr>
          <w:rFonts w:hint="eastAsia" w:ascii="Times New Roman" w:hAnsi="Times New Roman" w:eastAsia="宋体" w:cs="Times New Roman"/>
          <w:sz w:val="24"/>
          <w:szCs w:val="24"/>
          <w:u w:val="none"/>
          <w:lang w:val="en-US" w:eastAsia="zh-CN"/>
        </w:rPr>
      </w:pPr>
      <w:r>
        <w:rPr>
          <w:rFonts w:hint="eastAsia" w:ascii="Times New Roman" w:hAnsi="Times New Roman" w:eastAsia="宋体" w:cs="Times New Roman"/>
          <w:b/>
          <w:bCs/>
          <w:sz w:val="24"/>
          <w:szCs w:val="24"/>
          <w:u w:val="none"/>
          <w:lang w:val="en-US" w:eastAsia="zh-CN"/>
        </w:rPr>
        <w:t>淋巴结消退分级（LRG）相关介绍</w:t>
      </w:r>
    </w:p>
    <w:p>
      <w:pPr>
        <w:widowControl/>
        <w:numPr>
          <w:ilvl w:val="1"/>
          <w:numId w:val="2"/>
        </w:numPr>
        <w:spacing w:before="156" w:beforeLines="50" w:line="360" w:lineRule="atLeast"/>
        <w:jc w:val="left"/>
        <w:rPr>
          <w:rFonts w:hint="eastAsia" w:ascii="Times New Roman" w:hAnsi="Times New Roman" w:eastAsia="宋体" w:cs="Times New Roman"/>
          <w:b/>
          <w:bCs/>
          <w:sz w:val="24"/>
          <w:szCs w:val="24"/>
          <w:u w:val="none"/>
          <w:lang w:val="en-US" w:eastAsia="zh-CN"/>
        </w:rPr>
      </w:pPr>
      <w:r>
        <w:rPr>
          <w:rFonts w:hint="eastAsia" w:ascii="Times New Roman" w:hAnsi="Times New Roman" w:eastAsia="宋体" w:cs="Times New Roman"/>
          <w:b/>
          <w:bCs/>
          <w:sz w:val="24"/>
          <w:szCs w:val="24"/>
          <w:u w:val="none"/>
          <w:lang w:val="en-US" w:eastAsia="zh-CN"/>
        </w:rPr>
        <w:t>影响因素</w:t>
      </w:r>
    </w:p>
    <w:p>
      <w:pPr>
        <w:widowControl/>
        <w:numPr>
          <w:ilvl w:val="0"/>
          <w:numId w:val="0"/>
        </w:numPr>
        <w:spacing w:before="156" w:beforeLines="50" w:line="360" w:lineRule="atLeast"/>
        <w:ind w:leftChars="0"/>
        <w:jc w:val="left"/>
        <w:rPr>
          <w:rFonts w:hint="eastAsia" w:ascii="宋体" w:hAnsi="宋体" w:eastAsia="宋体" w:cs="宋体"/>
          <w:b w:val="0"/>
          <w:bCs w:val="0"/>
          <w:color w:val="000000"/>
          <w:kern w:val="0"/>
          <w:sz w:val="24"/>
          <w:szCs w:val="24"/>
          <w:lang w:val="en-US" w:eastAsia="zh-CN" w:bidi="ar"/>
        </w:rPr>
      </w:pPr>
      <w:r>
        <w:rPr>
          <w:rFonts w:hint="eastAsia" w:ascii="Times New Roman" w:hAnsi="Times New Roman" w:eastAsia="宋体" w:cs="Times New Roman"/>
          <w:sz w:val="24"/>
          <w:szCs w:val="24"/>
          <w:u w:val="none"/>
          <w:lang w:val="en-US" w:eastAsia="zh-CN"/>
        </w:rPr>
        <w:t xml:space="preserve">    影响淋巴结消退分级（LRG）的主要有四个影响因素，它们分别是：</w:t>
      </w:r>
      <w:r>
        <w:rPr>
          <w:rFonts w:hint="eastAsia" w:ascii="宋体" w:hAnsi="宋体" w:eastAsia="宋体" w:cs="宋体"/>
          <w:b/>
          <w:bCs/>
          <w:color w:val="000000"/>
          <w:kern w:val="0"/>
          <w:sz w:val="24"/>
          <w:szCs w:val="24"/>
          <w:lang w:val="en-US" w:eastAsia="zh-CN" w:bidi="ar"/>
        </w:rPr>
        <w:t>诊断结果、放化疗方案、化疗野淋巴结的位置、化疗野淋巴结的数量</w:t>
      </w:r>
      <w:r>
        <w:rPr>
          <w:rFonts w:hint="eastAsia" w:ascii="宋体" w:hAnsi="宋体" w:eastAsia="宋体" w:cs="宋体"/>
          <w:b w:val="0"/>
          <w:bCs w:val="0"/>
          <w:color w:val="000000"/>
          <w:kern w:val="0"/>
          <w:sz w:val="24"/>
          <w:szCs w:val="24"/>
          <w:lang w:val="en-US" w:eastAsia="zh-CN" w:bidi="ar"/>
        </w:rPr>
        <w:t>。</w:t>
      </w:r>
    </w:p>
    <w:p>
      <w:pPr>
        <w:autoSpaceDE w:val="0"/>
        <w:autoSpaceDN w:val="0"/>
        <w:adjustRightInd w:val="0"/>
        <w:spacing w:before="156" w:beforeLines="50" w:line="360" w:lineRule="atLeast"/>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我们认为，淋巴结的消退分级（LRG）与术后淋巴结的转移与淋巴结的位置和数量的前后变化两个关键点有关。</w:t>
      </w:r>
    </w:p>
    <w:p>
      <w:pPr>
        <w:autoSpaceDE w:val="0"/>
        <w:autoSpaceDN w:val="0"/>
        <w:adjustRightInd w:val="0"/>
        <w:spacing w:before="156" w:beforeLines="50" w:line="360" w:lineRule="atLeast"/>
        <w:ind w:firstLine="480" w:firstLineChars="20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前面两个影响因素（诊断结果、放化疗方案），我们采用了卡方模型分别检验了其与术后淋巴结的转移的相关性，结果是相关的，因此证明了这两个因素为有效因素。</w:t>
      </w:r>
    </w:p>
    <w:p>
      <w:pPr>
        <w:autoSpaceDE w:val="0"/>
        <w:autoSpaceDN w:val="0"/>
        <w:adjustRightInd w:val="0"/>
        <w:spacing w:before="156" w:beforeLines="50" w:line="360" w:lineRule="atLeast"/>
        <w:ind w:firstLine="480" w:firstLineChars="200"/>
        <w:jc w:val="left"/>
        <w:rPr>
          <w:rFonts w:hint="default"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后面两个因素（化疗野淋巴结的位置、化疗野淋巴结的数量），前者我们利用前后变化关系判定了两者的相关性，后者我们采用了n*n回归模型判断该因素与淋巴结位置的前后变化的相关性。由此证明了这两个因素也是有效因素。</w:t>
      </w:r>
    </w:p>
    <w:p>
      <w:pPr>
        <w:autoSpaceDE w:val="0"/>
        <w:autoSpaceDN w:val="0"/>
        <w:adjustRightInd w:val="0"/>
        <w:spacing w:before="156" w:beforeLines="50" w:line="360" w:lineRule="atLeast"/>
        <w:ind w:firstLine="480" w:firstLineChars="200"/>
        <w:jc w:val="left"/>
        <w:rPr>
          <w:rFonts w:hint="default" w:ascii="宋体" w:hAnsi="宋体" w:eastAsia="宋体" w:cs="宋体"/>
          <w:b w:val="0"/>
          <w:bCs w:val="0"/>
          <w:color w:val="000000"/>
          <w:kern w:val="0"/>
          <w:sz w:val="24"/>
          <w:szCs w:val="24"/>
          <w:lang w:val="en-US" w:eastAsia="zh-CN" w:bidi="ar"/>
        </w:rPr>
      </w:pPr>
    </w:p>
    <w:p>
      <w:pPr>
        <w:widowControl/>
        <w:numPr>
          <w:ilvl w:val="0"/>
          <w:numId w:val="0"/>
        </w:numPr>
        <w:spacing w:before="156" w:beforeLines="50" w:line="360" w:lineRule="atLeast"/>
        <w:ind w:leftChars="0"/>
        <w:jc w:val="left"/>
        <w:rPr>
          <w:rFonts w:hint="default" w:ascii="宋体" w:hAnsi="宋体" w:eastAsia="宋体" w:cs="宋体"/>
          <w:b w:val="0"/>
          <w:bCs w:val="0"/>
          <w:color w:val="000000"/>
          <w:kern w:val="0"/>
          <w:sz w:val="24"/>
          <w:szCs w:val="24"/>
          <w:lang w:val="en-US" w:eastAsia="zh-CN" w:bidi="ar"/>
        </w:rPr>
      </w:pPr>
    </w:p>
    <w:p>
      <w:pPr>
        <w:widowControl/>
        <w:numPr>
          <w:ilvl w:val="1"/>
          <w:numId w:val="2"/>
        </w:numPr>
        <w:spacing w:before="156" w:beforeLines="50" w:line="360" w:lineRule="atLeast"/>
        <w:jc w:val="left"/>
        <w:rPr>
          <w:rFonts w:hint="eastAsia" w:ascii="Times New Roman" w:hAnsi="Times New Roman" w:eastAsia="宋体" w:cs="Times New Roman"/>
          <w:b/>
          <w:bCs/>
          <w:sz w:val="24"/>
          <w:szCs w:val="24"/>
          <w:u w:val="none"/>
          <w:lang w:val="en-US" w:eastAsia="zh-CN"/>
        </w:rPr>
      </w:pPr>
      <w:r>
        <w:rPr>
          <w:rFonts w:hint="eastAsia" w:ascii="Times New Roman" w:hAnsi="Times New Roman" w:eastAsia="宋体" w:cs="Times New Roman"/>
          <w:b/>
          <w:bCs/>
          <w:sz w:val="24"/>
          <w:szCs w:val="24"/>
          <w:u w:val="none"/>
          <w:lang w:val="en-US" w:eastAsia="zh-CN"/>
        </w:rPr>
        <w:t>淋巴结消退分级的标准</w:t>
      </w:r>
    </w:p>
    <w:p>
      <w:pPr>
        <w:widowControl/>
        <w:numPr>
          <w:ilvl w:val="0"/>
          <w:numId w:val="0"/>
        </w:numPr>
        <w:spacing w:before="156" w:beforeLines="50" w:line="360" w:lineRule="atLeast"/>
        <w:ind w:leftChars="0"/>
        <w:jc w:val="left"/>
        <w:rPr>
          <w:rFonts w:hint="default" w:ascii="Times New Roman" w:hAnsi="Times New Roman" w:eastAsia="宋体" w:cs="Times New Roman"/>
          <w:sz w:val="24"/>
          <w:szCs w:val="24"/>
          <w:u w:val="none"/>
          <w:lang w:val="en-US" w:eastAsia="zh-CN"/>
        </w:rPr>
      </w:pPr>
    </w:p>
    <w:p>
      <w:pPr>
        <w:widowControl/>
        <w:spacing w:before="156" w:beforeLines="50" w:line="360" w:lineRule="atLeast"/>
        <w:ind w:firstLine="480" w:firstLineChars="200"/>
        <w:jc w:val="left"/>
        <w:rPr>
          <w:rFonts w:hint="default" w:ascii="Times New Roman" w:hAnsi="Times New Roman" w:eastAsia="宋体" w:cs="Times New Roman"/>
          <w:sz w:val="24"/>
          <w:szCs w:val="24"/>
          <w:u w:val="single"/>
          <w:lang w:val="en-US" w:eastAsia="zh-CN"/>
        </w:rPr>
      </w:pPr>
    </w:p>
    <w:p>
      <w:pPr>
        <w:rPr>
          <w:rFonts w:hint="default" w:ascii="Times New Roman" w:hAnsi="Times New Roman" w:eastAsia="宋体" w:cs="Times New Roman"/>
          <w:bCs/>
          <w:color w:val="000000" w:themeColor="text1"/>
          <w:sz w:val="24"/>
          <w:szCs w:val="24"/>
          <w:lang w:val="en-US" w:eastAsia="zh-CN"/>
          <w14:textFill>
            <w14:solidFill>
              <w14:schemeClr w14:val="tx1"/>
            </w14:solidFill>
          </w14:textFill>
        </w:rPr>
      </w:pPr>
    </w:p>
    <w:p>
      <w:pPr>
        <w:rPr>
          <w:rFonts w:hint="default"/>
          <w:lang w:val="en-US" w:eastAsia="zh-CN"/>
        </w:rPr>
      </w:pPr>
      <w:r>
        <w:rPr>
          <w:rStyle w:val="8"/>
          <w:rFonts w:hint="eastAsia" w:ascii="宋体" w:hAnsi="宋体" w:eastAsia="宋体" w:cs="宋体"/>
          <w:b w:val="0"/>
          <w:bCs w:val="0"/>
          <w:i w:val="0"/>
          <w:iCs w:val="0"/>
          <w:caps w:val="0"/>
          <w:color w:val="2B2B2B"/>
          <w:spacing w:val="0"/>
          <w:sz w:val="24"/>
          <w:szCs w:val="24"/>
          <w:shd w:val="clear" w:fill="FFFFFF"/>
          <w:lang w:val="en-US" w:eastAsia="zh-CN"/>
        </w:rPr>
        <w:t xml:space="preserve">  </w:t>
      </w:r>
    </w:p>
    <w:p>
      <w:pPr>
        <w:rPr>
          <w:rFonts w:hint="default"/>
          <w:lang w:val="en-US" w:eastAsia="zh-CN"/>
        </w:rPr>
      </w:pPr>
      <w:r>
        <w:rPr>
          <w:rStyle w:val="8"/>
          <w:rFonts w:hint="eastAsia" w:cs="宋体"/>
          <w:b w:val="0"/>
          <w:bCs w:val="0"/>
          <w:i w:val="0"/>
          <w:iCs w:val="0"/>
          <w:caps w:val="0"/>
          <w:color w:val="2B2B2B"/>
          <w:spacing w:val="0"/>
          <w:sz w:val="24"/>
          <w:szCs w:val="24"/>
          <w:shd w:val="clear" w:fill="FFFFFF"/>
          <w:lang w:val="en-US" w:eastAsia="zh-CN"/>
        </w:rPr>
        <w:t xml:space="preserve">  </w:t>
      </w:r>
    </w:p>
    <w:p>
      <w:pPr>
        <w:rPr>
          <w:rFonts w:hint="default"/>
          <w:lang w:val="en-US" w:eastAsia="zh-CN"/>
        </w:rPr>
      </w:pPr>
      <w:r>
        <w:rPr>
          <w:rStyle w:val="8"/>
          <w:rFonts w:hint="eastAsia" w:cs="宋体"/>
          <w:b w:val="0"/>
          <w:bCs w:val="0"/>
          <w:i w:val="0"/>
          <w:iCs w:val="0"/>
          <w:caps w:val="0"/>
          <w:color w:val="2B2B2B"/>
          <w:spacing w:val="0"/>
          <w:sz w:val="24"/>
          <w:szCs w:val="24"/>
          <w:shd w:val="clear" w:fill="FFFFFF"/>
          <w:lang w:val="en-US" w:eastAsia="zh-CN"/>
        </w:rPr>
        <w:t xml:space="preserve">  </w:t>
      </w:r>
    </w:p>
    <w:p>
      <w:pPr>
        <w:rPr>
          <w:rFonts w:hint="default"/>
          <w:b w:val="0"/>
          <w:bCs w:val="0"/>
          <w:lang w:val="en-US" w:eastAsia="zh-CN"/>
        </w:rPr>
      </w:pPr>
    </w:p>
    <w:p>
      <w:pPr>
        <w:rPr>
          <w:rFonts w:hint="default"/>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E20F8C"/>
    <w:multiLevelType w:val="multilevel"/>
    <w:tmpl w:val="82E20F8C"/>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D3F53995"/>
    <w:multiLevelType w:val="singleLevel"/>
    <w:tmpl w:val="D3F53995"/>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8BC7507"/>
    <w:rsid w:val="28BC7507"/>
    <w:rsid w:val="4ED970EC"/>
    <w:rsid w:val="68C93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2021-05-22T13:00:00Z</dcterms:created>
  <dc:creator>小竹子</dc:creator>
  <cp:lastModifiedBy>小竹子</cp:lastModifiedBy>
  <dcterms:modified xsi:type="dcterms:W3CDTF">2021-05-23T07:41:59Z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510245871F9548DEAC560E27D90D37AE</vt:lpwstr>
  </property>
</Properties>
</file>