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559"/>
          <w:tab w:val="left" w:pos="1119"/>
        </w:tabs>
        <w:spacing w:before="60"/>
        <w:ind w:left="0" w:right="536" w:firstLine="0"/>
        <w:jc w:val="center"/>
        <w:rPr>
          <w:sz w:val="32"/>
          <w:szCs w:val="32"/>
        </w:rPr>
      </w:pPr>
      <w:bookmarkStart w:id="96" w:name="_GoBack"/>
      <w:bookmarkEnd w:id="96"/>
      <w:r>
        <w:rPr>
          <w:sz w:val="32"/>
          <w:szCs w:val="32"/>
        </w:rPr>
        <w:t>承</w:t>
      </w:r>
      <w:r>
        <w:rPr>
          <w:sz w:val="32"/>
          <w:szCs w:val="32"/>
        </w:rPr>
        <w:tab/>
      </w:r>
      <w:r>
        <w:rPr>
          <w:sz w:val="32"/>
          <w:szCs w:val="32"/>
        </w:rPr>
        <w:t>诺</w:t>
      </w:r>
      <w:r>
        <w:rPr>
          <w:sz w:val="32"/>
          <w:szCs w:val="32"/>
        </w:rPr>
        <w:tab/>
      </w:r>
      <w:r>
        <w:rPr>
          <w:sz w:val="32"/>
          <w:szCs w:val="32"/>
        </w:rPr>
        <w:t>书</w:t>
      </w:r>
    </w:p>
    <w:p>
      <w:pPr>
        <w:pStyle w:val="7"/>
        <w:spacing w:before="215"/>
        <w:ind w:left="1120"/>
        <w:rPr>
          <w:rFonts w:ascii="Times New Roman" w:eastAsia="Times New Roman"/>
        </w:rPr>
      </w:pPr>
      <w:r>
        <w:t>我们仔细阅读了中国大学生数学建模竞赛的竞赛规则</w:t>
      </w:r>
      <w:r>
        <w:rPr>
          <w:rFonts w:ascii="Times New Roman" w:eastAsia="Times New Roman"/>
        </w:rPr>
        <w:t>.</w:t>
      </w:r>
    </w:p>
    <w:p>
      <w:pPr>
        <w:pStyle w:val="7"/>
        <w:spacing w:before="160" w:line="364" w:lineRule="auto"/>
        <w:ind w:left="700" w:right="1236" w:firstLine="420"/>
        <w:jc w:val="both"/>
      </w:pPr>
      <w:r>
        <w:rPr>
          <w:spacing w:val="-3"/>
        </w:rPr>
        <w:t>我们完全明白，在竞赛开始后参赛队员不能以任何方式</w:t>
      </w:r>
      <w:r>
        <w:t>（</w:t>
      </w:r>
      <w:r>
        <w:rPr>
          <w:spacing w:val="-5"/>
        </w:rPr>
        <w:t>包括电话、电子邮件、网上咨询等</w:t>
      </w:r>
      <w:r>
        <w:rPr>
          <w:spacing w:val="-20"/>
        </w:rPr>
        <w:t>）</w:t>
      </w:r>
      <w:r>
        <w:rPr>
          <w:spacing w:val="-3"/>
        </w:rPr>
        <w:t>与队外的任何人</w:t>
      </w:r>
      <w:r>
        <w:t>（包括指导教师</w:t>
      </w:r>
      <w:r>
        <w:rPr>
          <w:spacing w:val="-20"/>
        </w:rPr>
        <w:t>）</w:t>
      </w:r>
      <w:r>
        <w:rPr>
          <w:spacing w:val="-5"/>
        </w:rPr>
        <w:t>研究、讨论与赛题有关的问题。</w:t>
      </w:r>
    </w:p>
    <w:p>
      <w:pPr>
        <w:pStyle w:val="7"/>
        <w:spacing w:before="2" w:line="364" w:lineRule="auto"/>
        <w:ind w:left="700" w:right="1239" w:firstLine="420"/>
        <w:jc w:val="both"/>
      </w:pPr>
      <w:r>
        <w:t>我们知道，抄袭别人的成果是违反竞赛规则的</w:t>
      </w:r>
      <w:r>
        <w:rPr>
          <w:rFonts w:ascii="Times New Roman" w:eastAsia="Times New Roman"/>
          <w:spacing w:val="1"/>
        </w:rPr>
        <w:t xml:space="preserve">, </w:t>
      </w:r>
      <w:r>
        <w:t>如果引用别人的成果或其他公开的资料（包括网上查到的资料</w:t>
      </w:r>
      <w:r>
        <w:rPr>
          <w:spacing w:val="-119"/>
        </w:rPr>
        <w:t>）</w:t>
      </w:r>
      <w:r>
        <w:t>，必须按照规定的参考文献的表述方式在正文引用处和参考文献中明确列出。</w:t>
      </w:r>
    </w:p>
    <w:p>
      <w:pPr>
        <w:pStyle w:val="7"/>
        <w:spacing w:before="2" w:line="364" w:lineRule="auto"/>
        <w:ind w:left="700" w:right="1189" w:firstLine="420"/>
      </w:pPr>
      <w:r>
        <w:t>我们郑重承诺，严格遵守竞赛规则，以保证竞赛的公正、公平性。如有违反竞赛规则的行为，我们将受到严肃处理。</w:t>
      </w:r>
    </w:p>
    <w:p>
      <w:pPr>
        <w:pStyle w:val="7"/>
        <w:tabs>
          <w:tab w:val="left" w:pos="3405"/>
        </w:tabs>
        <w:spacing w:before="57"/>
        <w:ind w:left="1120"/>
      </w:pPr>
      <w:r>
        <w:t>我们的题目是：</w:t>
      </w:r>
      <w:r>
        <w:rPr>
          <w:rFonts w:hint="eastAsia"/>
          <w:lang w:val="en-US" w:eastAsia="zh-CN"/>
        </w:rPr>
        <w:t>B</w:t>
      </w:r>
    </w:p>
    <w:p>
      <w:pPr>
        <w:pStyle w:val="7"/>
        <w:tabs>
          <w:tab w:val="left" w:pos="5925"/>
          <w:tab w:val="left" w:pos="9007"/>
        </w:tabs>
        <w:spacing w:before="74" w:line="364" w:lineRule="auto"/>
        <w:ind w:left="1180" w:right="1236" w:hanging="60"/>
        <w:rPr>
          <w:u w:val="single"/>
        </w:rPr>
      </w:pPr>
      <w:r>
        <w:t>我们参赛年级是（一年级，二年级以上</w:t>
      </w:r>
      <w:r>
        <w:rPr>
          <w:spacing w:val="-120"/>
        </w:rPr>
        <w:t>）</w:t>
      </w:r>
      <w:r>
        <w:t>：</w:t>
      </w:r>
      <w:r>
        <w:rPr>
          <w:rFonts w:ascii="Times New Roman" w:eastAsia="Times New Roman"/>
          <w:u w:val="single"/>
        </w:rPr>
        <w:t xml:space="preserve"> </w:t>
      </w:r>
      <w:r>
        <w:rPr>
          <w:rFonts w:ascii="Times New Roman" w:eastAsia="Times New Roman"/>
          <w:u w:val="single"/>
        </w:rPr>
        <w:tab/>
      </w:r>
      <w:r>
        <w:rPr>
          <w:rFonts w:hint="eastAsia"/>
          <w:u w:val="single"/>
          <w:lang w:val="en-US" w:eastAsia="zh-CN"/>
        </w:rPr>
        <w:t xml:space="preserve">  一年级       </w:t>
      </w:r>
      <w:r>
        <w:rPr>
          <w:rFonts w:hint="eastAsia"/>
          <w:u w:val="single"/>
        </w:rPr>
        <w:t xml:space="preserve"> </w:t>
      </w:r>
      <w:r>
        <w:rPr>
          <w:u w:val="single"/>
        </w:rPr>
        <w:t xml:space="preserve">               </w:t>
      </w:r>
    </w:p>
    <w:p>
      <w:pPr>
        <w:pStyle w:val="7"/>
        <w:tabs>
          <w:tab w:val="left" w:pos="5925"/>
          <w:tab w:val="left" w:pos="9007"/>
        </w:tabs>
        <w:spacing w:before="74" w:line="364" w:lineRule="auto"/>
        <w:ind w:left="1180" w:right="1236" w:hanging="60"/>
      </w:pPr>
      <w:r>
        <w:t>所属学院（请填写完整的全名，可填多个</w:t>
      </w:r>
      <w:r>
        <w:rPr>
          <w:spacing w:val="-120"/>
        </w:rPr>
        <w:t>）</w:t>
      </w:r>
      <w:r>
        <w:t>：</w:t>
      </w:r>
      <w:r>
        <w:rPr>
          <w:rFonts w:ascii="Times New Roman" w:eastAsia="Times New Roman"/>
          <w:u w:val="single"/>
        </w:rPr>
        <w:t xml:space="preserve">  </w:t>
      </w:r>
      <w:r>
        <w:rPr>
          <w:rFonts w:hint="eastAsia"/>
          <w:u w:val="single"/>
          <w:lang w:val="en-US" w:eastAsia="zh-CN"/>
        </w:rPr>
        <w:t xml:space="preserve">物理学院，公共管理学院   </w:t>
      </w:r>
      <w:r>
        <w:rPr>
          <w:rFonts w:hint="eastAsia"/>
          <w:u w:val="single"/>
        </w:rPr>
        <w:t xml:space="preserve"> </w:t>
      </w:r>
      <w:r>
        <w:rPr>
          <w:u w:val="single"/>
        </w:rPr>
        <w:t xml:space="preserve">                     </w:t>
      </w:r>
    </w:p>
    <w:p>
      <w:pPr>
        <w:pStyle w:val="7"/>
        <w:tabs>
          <w:tab w:val="left" w:pos="9007"/>
        </w:tabs>
        <w:spacing w:before="2"/>
        <w:ind w:left="1180"/>
        <w:rPr>
          <w:rFonts w:hint="default" w:eastAsia="宋体"/>
          <w:sz w:val="24"/>
          <w:lang w:val="en-US" w:eastAsia="zh-CN"/>
        </w:rPr>
      </w:pPr>
      <w:r>
        <w:t xml:space="preserve">参赛队员 </w:t>
      </w:r>
      <w:r>
        <w:rPr>
          <w:rFonts w:ascii="Times New Roman" w:eastAsia="Times New Roman"/>
        </w:rPr>
        <w:t>(</w:t>
      </w:r>
      <w:r>
        <w:t>打印并签名</w:t>
      </w:r>
      <w:r>
        <w:rPr>
          <w:rFonts w:ascii="Times New Roman" w:eastAsia="Times New Roman"/>
        </w:rPr>
        <w:t xml:space="preserve">)  </w:t>
      </w:r>
      <w:r>
        <w:t>：</w:t>
      </w:r>
      <w:r>
        <w:rPr>
          <w:rFonts w:ascii="Times New Roman" w:eastAsia="Times New Roman"/>
          <w:u w:val="single"/>
        </w:rPr>
        <w:t xml:space="preserve">   </w:t>
      </w:r>
      <w:r>
        <w:rPr>
          <w:rFonts w:hint="eastAsia" w:ascii="Times New Roman" w:eastAsia="宋体"/>
          <w:u w:val="single"/>
          <w:lang w:val="en-US" w:eastAsia="zh-CN"/>
        </w:rPr>
        <w:t xml:space="preserve">                                </w:t>
      </w:r>
    </w:p>
    <w:p>
      <w:pPr>
        <w:tabs>
          <w:tab w:val="left" w:pos="4122"/>
          <w:tab w:val="left" w:pos="4466"/>
          <w:tab w:val="left" w:pos="8827"/>
          <w:tab w:val="left" w:pos="9007"/>
        </w:tabs>
        <w:spacing w:before="161" w:line="364" w:lineRule="auto"/>
        <w:ind w:left="1106" w:right="1236"/>
        <w:rPr>
          <w:sz w:val="24"/>
        </w:rPr>
      </w:pPr>
      <w:r>
        <w:rPr>
          <w:sz w:val="24"/>
        </w:rPr>
        <w:t>指导教师或指导教师组负责人</w:t>
      </w:r>
      <w:r>
        <w:rPr>
          <w:sz w:val="24"/>
        </w:rPr>
        <w:tab/>
      </w:r>
      <w:r>
        <w:rPr>
          <w:rFonts w:ascii="Times New Roman" w:eastAsia="Times New Roman"/>
          <w:sz w:val="24"/>
        </w:rPr>
        <w:t>(</w:t>
      </w:r>
      <w:r>
        <w:rPr>
          <w:sz w:val="24"/>
        </w:rPr>
        <w:t>有的话打印</w:t>
      </w:r>
      <w:r>
        <w:rPr>
          <w:rFonts w:ascii="Times New Roman" w:eastAsia="Times New Roman"/>
          <w:sz w:val="24"/>
        </w:rPr>
        <w:t>)</w:t>
      </w:r>
      <w:r>
        <w:rPr>
          <w:sz w:val="24"/>
        </w:rPr>
        <w:t>：</w:t>
      </w:r>
      <w:r>
        <w:rPr>
          <w:sz w:val="24"/>
          <w:u w:val="single"/>
        </w:rPr>
        <w:t xml:space="preserve"> </w:t>
      </w:r>
      <w:r>
        <w:rPr>
          <w:rFonts w:hint="eastAsia"/>
          <w:sz w:val="24"/>
          <w:u w:val="single"/>
        </w:rPr>
        <w:t xml:space="preserve"> </w:t>
      </w:r>
      <w:r>
        <w:rPr>
          <w:sz w:val="24"/>
          <w:u w:val="single"/>
        </w:rPr>
        <w:t xml:space="preserve">  </w:t>
      </w:r>
      <w:r>
        <w:rPr>
          <w:sz w:val="24"/>
          <w:u w:val="single"/>
        </w:rPr>
        <w:tab/>
      </w:r>
    </w:p>
    <w:p>
      <w:pPr>
        <w:pStyle w:val="7"/>
        <w:rPr>
          <w:sz w:val="20"/>
        </w:rPr>
      </w:pPr>
    </w:p>
    <w:p>
      <w:pPr>
        <w:pStyle w:val="7"/>
        <w:tabs>
          <w:tab w:val="left" w:pos="7826"/>
        </w:tabs>
        <w:spacing w:before="213"/>
        <w:ind w:left="1106"/>
      </w:pPr>
      <w:r>
        <w:t>是否愿意参加国内赛（是，否</w:t>
      </w:r>
      <w:r>
        <w:rPr>
          <w:spacing w:val="-120"/>
        </w:rPr>
        <w:t>）</w:t>
      </w:r>
      <w:r>
        <w:t>：</w:t>
      </w:r>
      <w:r>
        <w:rPr>
          <w:rFonts w:ascii="Times New Roman" w:eastAsia="Times New Roman"/>
          <w:u w:val="single"/>
        </w:rPr>
        <w:t xml:space="preserve">    </w:t>
      </w:r>
      <w:r>
        <w:rPr>
          <w:rFonts w:hint="eastAsia" w:ascii="Times New Roman" w:eastAsia="宋体"/>
          <w:u w:val="single"/>
          <w:lang w:val="en-US" w:eastAsia="zh-CN"/>
        </w:rPr>
        <w:t>是</w:t>
      </w:r>
      <w:r>
        <w:rPr>
          <w:rFonts w:hint="eastAsia"/>
          <w:u w:val="single"/>
          <w:lang w:val="en-US" w:eastAsia="zh-CN"/>
        </w:rPr>
        <w:t xml:space="preserve">   </w:t>
      </w:r>
      <w:r>
        <w:rPr>
          <w:u w:val="single"/>
        </w:rPr>
        <w:tab/>
      </w:r>
    </w:p>
    <w:p>
      <w:pPr>
        <w:pStyle w:val="7"/>
        <w:spacing w:before="160"/>
        <w:ind w:left="6220"/>
      </w:pPr>
      <w:r>
        <w:t>日期：</w:t>
      </w:r>
      <w:r>
        <w:rPr>
          <w:rFonts w:ascii="Times New Roman" w:eastAsia="Times New Roman"/>
          <w:u w:val="single"/>
        </w:rPr>
        <w:t>20</w:t>
      </w:r>
      <w:r>
        <w:rPr>
          <w:rFonts w:hint="eastAsia" w:asciiTheme="minorEastAsia" w:hAnsiTheme="minorEastAsia" w:eastAsiaTheme="minorEastAsia"/>
          <w:u w:val="single"/>
        </w:rPr>
        <w:t>2</w:t>
      </w:r>
      <w:r>
        <w:rPr>
          <w:rFonts w:hint="eastAsia" w:asciiTheme="minorEastAsia" w:hAnsiTheme="minorEastAsia" w:eastAsiaTheme="minorEastAsia"/>
          <w:u w:val="single"/>
          <w:lang w:val="en-US" w:eastAsia="zh-CN"/>
        </w:rPr>
        <w:t>1</w:t>
      </w:r>
      <w:r>
        <w:rPr>
          <w:rFonts w:ascii="Times New Roman" w:eastAsia="Times New Roman"/>
          <w:u w:val="single"/>
        </w:rPr>
        <w:t xml:space="preserve"> </w:t>
      </w:r>
      <w:r>
        <w:t>年</w:t>
      </w:r>
      <w:r>
        <w:rPr>
          <w:u w:val="single"/>
        </w:rPr>
        <w:t xml:space="preserve"> </w:t>
      </w:r>
      <w:r>
        <w:rPr>
          <w:rFonts w:ascii="Times New Roman" w:eastAsia="Times New Roman"/>
          <w:u w:val="single"/>
        </w:rPr>
        <w:t xml:space="preserve">5 </w:t>
      </w:r>
      <w:r>
        <w:t>月</w:t>
      </w:r>
      <w:r>
        <w:rPr>
          <w:rFonts w:hint="eastAsia" w:ascii="Times New Roman"/>
          <w:u w:val="single"/>
          <w:lang w:val="en-US" w:eastAsia="zh-CN"/>
        </w:rPr>
        <w:t>23</w:t>
      </w:r>
      <w:r>
        <w:t>日</w:t>
      </w:r>
    </w:p>
    <w:p>
      <w:pPr>
        <w:pStyle w:val="7"/>
        <w:spacing w:before="11"/>
        <w:rPr>
          <w:sz w:val="8"/>
        </w:rPr>
      </w:pPr>
      <w:r>
        <mc:AlternateContent>
          <mc:Choice Requires="wps">
            <w:drawing>
              <wp:anchor distT="0" distB="0" distL="0" distR="0" simplePos="0" relativeHeight="251660288" behindDoc="1" locked="0" layoutInCell="1" allowOverlap="1">
                <wp:simplePos x="0" y="0"/>
                <wp:positionH relativeFrom="page">
                  <wp:posOffset>1143635</wp:posOffset>
                </wp:positionH>
                <wp:positionV relativeFrom="paragraph">
                  <wp:posOffset>102235</wp:posOffset>
                </wp:positionV>
                <wp:extent cx="5534025" cy="635"/>
                <wp:effectExtent l="0" t="0" r="0" b="0"/>
                <wp:wrapTopAndBottom/>
                <wp:docPr id="89" name="直线 223"/>
                <wp:cNvGraphicFramePr/>
                <a:graphic xmlns:a="http://schemas.openxmlformats.org/drawingml/2006/main">
                  <a:graphicData uri="http://schemas.microsoft.com/office/word/2010/wordprocessingShape">
                    <wps:wsp>
                      <wps:cNvCnPr/>
                      <wps:spPr>
                        <a:xfrm>
                          <a:off x="0" y="0"/>
                          <a:ext cx="5534025" cy="635"/>
                        </a:xfrm>
                        <a:prstGeom prst="line">
                          <a:avLst/>
                        </a:prstGeom>
                        <a:ln w="9906" cap="flat" cmpd="sng">
                          <a:solidFill>
                            <a:srgbClr val="000000"/>
                          </a:solidFill>
                          <a:prstDash val="solid"/>
                          <a:headEnd type="none" w="med" len="med"/>
                          <a:tailEnd type="none" w="med" len="med"/>
                        </a:ln>
                      </wps:spPr>
                      <wps:bodyPr upright="1"/>
                    </wps:wsp>
                  </a:graphicData>
                </a:graphic>
              </wp:anchor>
            </w:drawing>
          </mc:Choice>
          <mc:Fallback>
            <w:pict>
              <v:line id="直线 223" o:spid="_x0000_s1026" o:spt="20" style="position:absolute;left:0pt;margin-left:90.05pt;margin-top:8.05pt;height:0.05pt;width:435.75pt;mso-position-horizontal-relative:page;mso-wrap-distance-bottom:0pt;mso-wrap-distance-top:0pt;z-index:-251656192;mso-width-relative:page;mso-height-relative:page;" filled="f" stroked="t" coordsize="21600,21600" o:gfxdata="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hl3&#10;htUAAAAKAQAADwAAAAAAAAABACAAAAAiAAAAZHJzL2Rvd25yZXYueG1sUEsBAhQAFAAAAAgAh07i&#10;QH2iU5/sAQAA4AMAAA4AAAAAAAAAAQAgAAAAJAEAAGRycy9lMm9Eb2MueG1sUEsFBgAAAAAGAAYA&#10;WQEAAIIFAAAAAA==&#10;">
                <v:fill on="f" focussize="0,0"/>
                <v:stroke weight="0.78pt" color="#000000" joinstyle="round"/>
                <v:imagedata o:title=""/>
                <o:lock v:ext="edit" aspectratio="f"/>
                <w10:wrap type="topAndBottom"/>
              </v:line>
            </w:pict>
          </mc:Fallback>
        </mc:AlternateContent>
      </w:r>
    </w:p>
    <w:p>
      <w:pPr>
        <w:pStyle w:val="7"/>
        <w:rPr>
          <w:sz w:val="20"/>
        </w:rPr>
      </w:pPr>
    </w:p>
    <w:p>
      <w:pPr>
        <w:rPr>
          <w:rFonts w:hint="eastAsia"/>
          <w:lang w:eastAsia="zh-CN"/>
        </w:rPr>
      </w:pPr>
    </w:p>
    <w:p>
      <w:pPr>
        <w:pStyle w:val="2"/>
        <w:spacing w:before="225"/>
        <w:rPr>
          <w:rFonts w:ascii="Times New Roman" w:eastAsiaTheme="minorEastAsia"/>
        </w:rPr>
      </w:pPr>
      <w:r>
        <w:rPr>
          <w:rFonts w:ascii="Times New Roman" w:eastAsiaTheme="minorEastAsia"/>
        </w:rPr>
        <w:br w:type="page"/>
      </w:r>
    </w:p>
    <w:p>
      <w:pPr>
        <w:spacing w:before="122" w:line="271" w:lineRule="auto"/>
        <w:ind w:left="2191" w:right="2858"/>
        <w:jc w:val="center"/>
        <w:rPr>
          <w:rFonts w:ascii="Microsoft JhengHei" w:eastAsia="Microsoft JhengHei"/>
          <w:b/>
          <w:sz w:val="30"/>
        </w:rPr>
      </w:pPr>
      <w:r>
        <w:rPr>
          <w:rFonts w:ascii="Times New Roman" w:eastAsia="Times New Roman"/>
          <w:b/>
          <w:sz w:val="30"/>
        </w:rPr>
        <w:t>20</w:t>
      </w:r>
      <w:r>
        <w:rPr>
          <w:rFonts w:hint="eastAsia" w:asciiTheme="minorEastAsia" w:hAnsiTheme="minorEastAsia" w:eastAsiaTheme="minorEastAsia"/>
          <w:b/>
          <w:sz w:val="30"/>
        </w:rPr>
        <w:t>2</w:t>
      </w:r>
      <w:r>
        <w:rPr>
          <w:rFonts w:hint="eastAsia" w:asciiTheme="minorEastAsia" w:hAnsiTheme="minorEastAsia" w:eastAsiaTheme="minorEastAsia"/>
          <w:b/>
          <w:sz w:val="30"/>
          <w:lang w:val="en-US" w:eastAsia="zh-CN"/>
        </w:rPr>
        <w:t>1</w:t>
      </w:r>
      <w:r>
        <w:rPr>
          <w:rFonts w:hint="eastAsia" w:ascii="Microsoft JhengHei" w:eastAsia="Microsoft JhengHei"/>
          <w:b/>
          <w:sz w:val="30"/>
        </w:rPr>
        <w:t>电子科技大学大学生数学建模竞赛编号专用页</w:t>
      </w:r>
    </w:p>
    <w:p>
      <w:pPr>
        <w:spacing w:before="2"/>
        <w:ind w:left="170" w:right="68"/>
        <w:jc w:val="center"/>
        <w:rPr>
          <w:rFonts w:hint="default" w:ascii="Microsoft JhengHei" w:eastAsia="宋体"/>
          <w:b/>
          <w:sz w:val="30"/>
          <w:lang w:val="en-US" w:eastAsia="zh-CN"/>
        </w:rPr>
      </w:pPr>
      <w:r>
        <w:rPr>
          <w:rFonts w:hint="eastAsia" w:ascii="Microsoft JhengHei" w:eastAsia="宋体"/>
          <w:b/>
          <w:spacing w:val="-38"/>
          <w:sz w:val="30"/>
          <w:lang w:val="en-US" w:eastAsia="zh-CN"/>
        </w:rPr>
        <w:t xml:space="preserve">报名队号： </w:t>
      </w:r>
      <w:r>
        <w:rPr>
          <w:rFonts w:hint="eastAsia" w:ascii="Microsoft JhengHei" w:eastAsia="宋体"/>
          <w:b/>
          <w:sz w:val="30"/>
          <w:lang w:val="en-US" w:eastAsia="zh-CN"/>
        </w:rPr>
        <w:t>F049</w:t>
      </w:r>
    </w:p>
    <w:p>
      <w:pPr>
        <w:spacing w:before="2"/>
        <w:ind w:left="170" w:right="68"/>
        <w:jc w:val="center"/>
        <w:rPr>
          <w:rFonts w:hint="eastAsia" w:ascii="Microsoft JhengHei" w:eastAsia="Microsoft JhengHei"/>
          <w:b/>
          <w:sz w:val="30"/>
        </w:rPr>
      </w:pPr>
    </w:p>
    <w:p>
      <w:pPr>
        <w:pStyle w:val="2"/>
        <w:spacing w:before="261"/>
        <w:ind w:left="980" w:firstLine="0"/>
      </w:pPr>
      <w:r>
        <w:t>评阅记录：</w:t>
      </w:r>
    </w:p>
    <w:p>
      <w:pPr>
        <w:pStyle w:val="7"/>
        <w:spacing w:before="5"/>
        <w:rPr>
          <w:sz w:val="10"/>
        </w:rPr>
      </w:pPr>
    </w:p>
    <w:tbl>
      <w:tblPr>
        <w:tblStyle w:val="31"/>
        <w:tblW w:w="0" w:type="auto"/>
        <w:tblInd w:w="7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89"/>
        <w:gridCol w:w="2271"/>
        <w:gridCol w:w="2271"/>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0" w:hRule="atLeast"/>
        </w:trPr>
        <w:tc>
          <w:tcPr>
            <w:tcW w:w="1489" w:type="dxa"/>
          </w:tcPr>
          <w:p>
            <w:pPr>
              <w:pStyle w:val="30"/>
              <w:spacing w:before="8"/>
              <w:jc w:val="left"/>
              <w:rPr>
                <w:rFonts w:ascii="宋体"/>
                <w:sz w:val="27"/>
              </w:rPr>
            </w:pPr>
          </w:p>
          <w:p>
            <w:pPr>
              <w:pStyle w:val="30"/>
              <w:spacing w:before="0" w:line="182" w:lineRule="auto"/>
              <w:ind w:left="668" w:right="529"/>
              <w:jc w:val="both"/>
              <w:rPr>
                <w:rFonts w:ascii="等线" w:eastAsia="等线"/>
                <w:sz w:val="28"/>
              </w:rPr>
            </w:pPr>
            <w:r>
              <w:rPr>
                <w:rFonts w:hint="eastAsia" w:ascii="等线" w:eastAsia="等线"/>
                <w:sz w:val="28"/>
              </w:rPr>
              <w:t>评阅人</w:t>
            </w:r>
          </w:p>
        </w:tc>
        <w:tc>
          <w:tcPr>
            <w:tcW w:w="2271" w:type="dxa"/>
          </w:tcPr>
          <w:p>
            <w:pPr>
              <w:pStyle w:val="30"/>
              <w:spacing w:before="0"/>
              <w:jc w:val="left"/>
              <w:rPr>
                <w:sz w:val="28"/>
              </w:rPr>
            </w:pPr>
          </w:p>
        </w:tc>
        <w:tc>
          <w:tcPr>
            <w:tcW w:w="2271" w:type="dxa"/>
          </w:tcPr>
          <w:p>
            <w:pPr>
              <w:pStyle w:val="30"/>
              <w:spacing w:before="0"/>
              <w:jc w:val="left"/>
              <w:rPr>
                <w:sz w:val="28"/>
              </w:rPr>
            </w:pPr>
          </w:p>
        </w:tc>
        <w:tc>
          <w:tcPr>
            <w:tcW w:w="2268" w:type="dxa"/>
          </w:tcPr>
          <w:p>
            <w:pPr>
              <w:pStyle w:val="30"/>
              <w:spacing w:before="0"/>
              <w:jc w:val="left"/>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0" w:hRule="atLeast"/>
        </w:trPr>
        <w:tc>
          <w:tcPr>
            <w:tcW w:w="1489" w:type="dxa"/>
          </w:tcPr>
          <w:p>
            <w:pPr>
              <w:pStyle w:val="30"/>
              <w:spacing w:before="8"/>
              <w:jc w:val="left"/>
              <w:rPr>
                <w:rFonts w:ascii="宋体"/>
                <w:sz w:val="27"/>
              </w:rPr>
            </w:pPr>
          </w:p>
          <w:p>
            <w:pPr>
              <w:pStyle w:val="30"/>
              <w:spacing w:before="0" w:line="182" w:lineRule="auto"/>
              <w:ind w:left="668" w:right="529"/>
              <w:rPr>
                <w:rFonts w:ascii="等线" w:eastAsia="等线"/>
                <w:sz w:val="28"/>
              </w:rPr>
            </w:pPr>
            <w:r>
              <w:rPr>
                <w:rFonts w:hint="eastAsia" w:ascii="等线" w:eastAsia="等线"/>
                <w:sz w:val="28"/>
              </w:rPr>
              <w:t>评分</w:t>
            </w:r>
          </w:p>
        </w:tc>
        <w:tc>
          <w:tcPr>
            <w:tcW w:w="2271" w:type="dxa"/>
          </w:tcPr>
          <w:p>
            <w:pPr>
              <w:pStyle w:val="30"/>
              <w:spacing w:before="0"/>
              <w:jc w:val="left"/>
              <w:rPr>
                <w:sz w:val="28"/>
              </w:rPr>
            </w:pPr>
          </w:p>
        </w:tc>
        <w:tc>
          <w:tcPr>
            <w:tcW w:w="2271" w:type="dxa"/>
          </w:tcPr>
          <w:p>
            <w:pPr>
              <w:pStyle w:val="30"/>
              <w:spacing w:before="0"/>
              <w:jc w:val="left"/>
              <w:rPr>
                <w:sz w:val="28"/>
              </w:rPr>
            </w:pPr>
          </w:p>
        </w:tc>
        <w:tc>
          <w:tcPr>
            <w:tcW w:w="2268" w:type="dxa"/>
          </w:tcPr>
          <w:p>
            <w:pPr>
              <w:pStyle w:val="30"/>
              <w:spacing w:before="0"/>
              <w:jc w:val="left"/>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0" w:hRule="atLeast"/>
        </w:trPr>
        <w:tc>
          <w:tcPr>
            <w:tcW w:w="1489" w:type="dxa"/>
          </w:tcPr>
          <w:p>
            <w:pPr>
              <w:pStyle w:val="30"/>
              <w:spacing w:before="8"/>
              <w:jc w:val="left"/>
              <w:rPr>
                <w:rFonts w:ascii="宋体"/>
                <w:sz w:val="27"/>
              </w:rPr>
            </w:pPr>
          </w:p>
          <w:p>
            <w:pPr>
              <w:pStyle w:val="30"/>
              <w:spacing w:before="0" w:line="182" w:lineRule="auto"/>
              <w:ind w:left="668" w:right="529"/>
              <w:rPr>
                <w:rFonts w:ascii="等线" w:eastAsia="等线"/>
                <w:sz w:val="28"/>
              </w:rPr>
            </w:pPr>
            <w:r>
              <w:rPr>
                <w:rFonts w:hint="eastAsia" w:ascii="等线" w:eastAsia="等线"/>
                <w:sz w:val="28"/>
              </w:rPr>
              <w:t>备注</w:t>
            </w:r>
          </w:p>
        </w:tc>
        <w:tc>
          <w:tcPr>
            <w:tcW w:w="2271" w:type="dxa"/>
          </w:tcPr>
          <w:p>
            <w:pPr>
              <w:pStyle w:val="30"/>
              <w:spacing w:before="0"/>
              <w:jc w:val="left"/>
              <w:rPr>
                <w:sz w:val="28"/>
              </w:rPr>
            </w:pPr>
          </w:p>
        </w:tc>
        <w:tc>
          <w:tcPr>
            <w:tcW w:w="2271" w:type="dxa"/>
          </w:tcPr>
          <w:p>
            <w:pPr>
              <w:pStyle w:val="30"/>
              <w:spacing w:before="0"/>
              <w:jc w:val="left"/>
              <w:rPr>
                <w:sz w:val="28"/>
              </w:rPr>
            </w:pPr>
          </w:p>
        </w:tc>
        <w:tc>
          <w:tcPr>
            <w:tcW w:w="2268" w:type="dxa"/>
          </w:tcPr>
          <w:p>
            <w:pPr>
              <w:pStyle w:val="30"/>
              <w:spacing w:before="0"/>
              <w:jc w:val="left"/>
              <w:rPr>
                <w:sz w:val="28"/>
              </w:rPr>
            </w:pPr>
          </w:p>
        </w:tc>
      </w:tr>
    </w:tbl>
    <w:p>
      <w:pPr>
        <w:pStyle w:val="17"/>
        <w:tabs>
          <w:tab w:val="left" w:pos="8005"/>
          <w:tab w:val="left" w:leader="underscore" w:pos="8177"/>
          <w:tab w:val="left" w:pos="8311"/>
        </w:tabs>
        <w:snapToGrid w:val="0"/>
        <w:spacing w:after="100" w:afterAutospacing="1" w:line="240" w:lineRule="auto"/>
        <w:ind w:firstLine="0"/>
        <w:jc w:val="right"/>
        <w:rPr>
          <w:rFonts w:ascii="Times New Roman" w:hAnsi="Times New Roman" w:cs="Times New Roman"/>
          <w:sz w:val="28"/>
          <w:szCs w:val="28"/>
        </w:rPr>
      </w:pPr>
    </w:p>
    <w:p>
      <w:pPr>
        <w:pStyle w:val="3"/>
        <w:jc w:val="center"/>
        <w:rPr>
          <w:rFonts w:hint="eastAsia" w:ascii="黑体" w:hAnsi="黑体" w:cs="黑体"/>
          <w:b/>
          <w:bCs w:val="0"/>
          <w:sz w:val="44"/>
          <w:szCs w:val="44"/>
          <w:lang w:val="en-US" w:eastAsia="zh-CN"/>
        </w:rPr>
        <w:sectPr>
          <w:pgSz w:w="11906" w:h="16838"/>
          <w:pgMar w:top="1440" w:right="1080" w:bottom="1440" w:left="1080" w:header="851" w:footer="992" w:gutter="0"/>
          <w:cols w:space="425" w:num="1"/>
          <w:docGrid w:type="lines" w:linePitch="312" w:charSpace="0"/>
        </w:sectPr>
      </w:pPr>
      <w:bookmarkStart w:id="0" w:name="_Toc30262"/>
      <w:bookmarkStart w:id="1" w:name="_Toc19171"/>
    </w:p>
    <w:p>
      <w:pPr>
        <w:rPr>
          <w:rFonts w:hint="eastAsia"/>
          <w:lang w:val="en-US" w:eastAsia="zh-CN"/>
        </w:rPr>
      </w:pPr>
    </w:p>
    <w:p>
      <w:pPr>
        <w:pStyle w:val="3"/>
        <w:jc w:val="center"/>
        <w:rPr>
          <w:rFonts w:hint="eastAsia" w:ascii="黑体" w:hAnsi="黑体" w:cs="黑体"/>
          <w:b/>
          <w:bCs w:val="0"/>
          <w:sz w:val="44"/>
          <w:szCs w:val="44"/>
          <w:lang w:val="en-US" w:eastAsia="zh-CN"/>
        </w:rPr>
      </w:pPr>
      <w:r>
        <w:rPr>
          <w:rFonts w:hint="eastAsia" w:ascii="黑体" w:hAnsi="黑体" w:cs="黑体"/>
          <w:b/>
          <w:bCs w:val="0"/>
          <w:sz w:val="44"/>
          <w:szCs w:val="44"/>
          <w:lang w:val="en-US" w:eastAsia="zh-CN"/>
        </w:rPr>
        <w:t>以熵权法为主的多模型</w:t>
      </w:r>
      <w:bookmarkEnd w:id="0"/>
      <w:bookmarkEnd w:id="1"/>
    </w:p>
    <w:p>
      <w:pPr>
        <w:pStyle w:val="3"/>
        <w:jc w:val="center"/>
        <w:rPr>
          <w:rFonts w:hint="eastAsia" w:ascii="黑体" w:hAnsi="黑体" w:cs="黑体"/>
          <w:b/>
          <w:bCs w:val="0"/>
          <w:sz w:val="44"/>
          <w:szCs w:val="44"/>
          <w:lang w:val="en-US" w:eastAsia="zh-CN"/>
        </w:rPr>
      </w:pPr>
      <w:bookmarkStart w:id="2" w:name="_Toc26354"/>
      <w:bookmarkStart w:id="3" w:name="_Toc21814"/>
      <w:r>
        <w:rPr>
          <w:rFonts w:hint="eastAsia" w:ascii="黑体" w:hAnsi="黑体" w:cs="黑体"/>
          <w:b/>
          <w:bCs w:val="0"/>
          <w:sz w:val="44"/>
          <w:szCs w:val="44"/>
          <w:lang w:val="en-US" w:eastAsia="zh-CN"/>
        </w:rPr>
        <w:t>分析淋巴结消退分级问题</w:t>
      </w:r>
      <w:bookmarkEnd w:id="2"/>
      <w:bookmarkEnd w:id="3"/>
    </w:p>
    <w:p>
      <w:pPr>
        <w:jc w:val="center"/>
        <w:rPr>
          <w:rFonts w:hint="eastAsia" w:ascii="黑体" w:hAnsi="黑体" w:eastAsia="黑体" w:cs="黑体"/>
          <w:b/>
          <w:bCs/>
          <w:sz w:val="36"/>
          <w:szCs w:val="36"/>
          <w:lang w:val="en-US" w:eastAsia="zh-CN"/>
        </w:r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摘要</w:t>
      </w:r>
    </w:p>
    <w:p>
      <w:pPr>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本文针对直肠癌综合治疗中：淋巴结消退分级（LRG）的关键影响因素、LRG标准的制定、以及LRG与TRG的关系展开了相关研究。</w:t>
      </w:r>
    </w:p>
    <w:p>
      <w:pPr>
        <w:ind w:firstLine="48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针对这三个问题，我们运用了以熵权法为主的、包括卡方模型和回归模型、</w:t>
      </w:r>
      <w:r>
        <w:rPr>
          <w:rFonts w:hint="eastAsia" w:ascii="宋体" w:hAnsi="宋体" w:eastAsia="宋体" w:cs="宋体"/>
          <w:b w:val="0"/>
          <w:bCs w:val="0"/>
          <w:sz w:val="24"/>
          <w:szCs w:val="24"/>
        </w:rPr>
        <w:t>Spearman秩相关检验</w:t>
      </w:r>
      <w:r>
        <w:rPr>
          <w:rFonts w:hint="eastAsia" w:ascii="宋体" w:hAnsi="宋体" w:eastAsia="宋体" w:cs="宋体"/>
          <w:b w:val="0"/>
          <w:bCs w:val="0"/>
          <w:sz w:val="24"/>
          <w:szCs w:val="24"/>
          <w:lang w:val="en-US" w:eastAsia="zh-CN"/>
        </w:rPr>
        <w:t>的多个模型进行相关分析。</w:t>
      </w:r>
    </w:p>
    <w:p>
      <w:pPr>
        <w:ind w:firstLine="480"/>
        <w:jc w:val="both"/>
        <w:rPr>
          <w:rFonts w:hint="eastAsia" w:ascii="宋体" w:hAnsi="宋体" w:eastAsia="宋体"/>
          <w:sz w:val="24"/>
          <w:szCs w:val="24"/>
          <w:lang w:val="en-US" w:eastAsia="zh-CN"/>
        </w:rPr>
      </w:pPr>
      <w:r>
        <w:rPr>
          <w:rFonts w:hint="eastAsia" w:ascii="宋体" w:hAnsi="宋体" w:eastAsia="宋体" w:cs="宋体"/>
          <w:b w:val="0"/>
          <w:bCs w:val="0"/>
          <w:sz w:val="24"/>
          <w:szCs w:val="24"/>
          <w:lang w:val="en-US" w:eastAsia="zh-CN"/>
        </w:rPr>
        <w:t>对于问题一，我们通过</w:t>
      </w:r>
      <w:r>
        <w:rPr>
          <w:rFonts w:hint="eastAsia" w:ascii="宋体" w:hAnsi="宋体" w:eastAsia="宋体" w:cs="宋体"/>
          <w:b w:val="0"/>
          <w:bCs w:val="0"/>
          <w:color w:val="000000"/>
          <w:kern w:val="0"/>
          <w:sz w:val="24"/>
          <w:szCs w:val="24"/>
          <w:lang w:val="en-US" w:eastAsia="zh-CN" w:bidi="ar"/>
        </w:rPr>
        <w:t>分析直肠癌治疗临床数据表，初步敲定了</w:t>
      </w:r>
      <w:r>
        <w:rPr>
          <w:rFonts w:hint="eastAsia" w:ascii="宋体" w:hAnsi="宋体" w:eastAsia="宋体"/>
          <w:sz w:val="24"/>
          <w:szCs w:val="24"/>
          <w:lang w:val="en-US" w:eastAsia="zh-CN"/>
        </w:rPr>
        <w:t>五个可能影响因素：</w:t>
      </w:r>
      <w:r>
        <w:rPr>
          <w:rFonts w:hint="eastAsia" w:ascii="宋体" w:hAnsi="宋体" w:eastAsia="宋体"/>
          <w:sz w:val="24"/>
          <w:szCs w:val="24"/>
        </w:rPr>
        <w:t>诊断结果、化疗方案、化疗周期、淋巴结的位置</w:t>
      </w:r>
      <w:r>
        <w:rPr>
          <w:rFonts w:hint="eastAsia" w:ascii="宋体" w:hAnsi="宋体" w:eastAsia="宋体"/>
          <w:sz w:val="24"/>
          <w:szCs w:val="24"/>
          <w:lang w:eastAsia="zh-CN"/>
        </w:rPr>
        <w:t>、</w:t>
      </w:r>
      <w:r>
        <w:rPr>
          <w:rFonts w:hint="eastAsia" w:ascii="宋体" w:hAnsi="宋体" w:eastAsia="宋体"/>
          <w:sz w:val="24"/>
          <w:szCs w:val="24"/>
          <w:lang w:val="en-US" w:eastAsia="zh-CN"/>
        </w:rPr>
        <w:t>淋巴结的</w:t>
      </w:r>
      <w:r>
        <w:rPr>
          <w:rFonts w:hint="eastAsia" w:ascii="宋体" w:hAnsi="宋体" w:eastAsia="宋体"/>
          <w:sz w:val="24"/>
          <w:szCs w:val="24"/>
        </w:rPr>
        <w:t>数量</w:t>
      </w:r>
      <w:r>
        <w:rPr>
          <w:rFonts w:hint="eastAsia" w:ascii="宋体" w:hAnsi="宋体" w:eastAsia="宋体"/>
          <w:sz w:val="24"/>
          <w:szCs w:val="24"/>
          <w:lang w:eastAsia="zh-CN"/>
        </w:rPr>
        <w:t>。</w:t>
      </w:r>
      <w:r>
        <w:rPr>
          <w:rFonts w:hint="eastAsia" w:ascii="宋体" w:hAnsi="宋体" w:eastAsia="宋体"/>
          <w:sz w:val="24"/>
          <w:szCs w:val="24"/>
          <w:lang w:val="en-US" w:eastAsia="zh-CN"/>
        </w:rPr>
        <w:t>以及两个衡量淋巴结消退分级的参数：</w:t>
      </w:r>
      <w:r>
        <w:rPr>
          <w:rFonts w:hint="eastAsia" w:ascii="宋体" w:hAnsi="宋体" w:eastAsia="宋体" w:cs="宋体"/>
          <w:b w:val="0"/>
          <w:bCs w:val="0"/>
          <w:color w:val="000000"/>
          <w:kern w:val="0"/>
          <w:sz w:val="24"/>
          <w:szCs w:val="24"/>
          <w:lang w:val="en-US" w:eastAsia="zh-CN" w:bidi="ar"/>
        </w:rPr>
        <w:t>术后淋巴结的转移、淋巴结的位置和数量的前后变化。为了判断这五个因素是否能影响LRG，我们</w:t>
      </w:r>
      <w:r>
        <w:rPr>
          <w:rFonts w:hint="eastAsia" w:ascii="宋体" w:hAnsi="宋体" w:eastAsia="宋体"/>
          <w:sz w:val="24"/>
          <w:szCs w:val="24"/>
        </w:rPr>
        <w:t>就影响因素与反映参量之间是否独立进行</w:t>
      </w:r>
      <w:r>
        <w:rPr>
          <w:rFonts w:hint="eastAsia" w:ascii="宋体" w:hAnsi="宋体" w:eastAsia="宋体"/>
          <w:sz w:val="24"/>
          <w:szCs w:val="24"/>
          <w:lang w:val="en-US" w:eastAsia="zh-CN"/>
        </w:rPr>
        <w:t>了</w:t>
      </w:r>
      <w:r>
        <w:rPr>
          <w:rFonts w:hint="eastAsia" w:ascii="宋体" w:hAnsi="宋体" w:eastAsia="宋体"/>
          <w:sz w:val="24"/>
          <w:szCs w:val="24"/>
        </w:rPr>
        <w:t>研究</w:t>
      </w:r>
      <w:r>
        <w:rPr>
          <w:rFonts w:hint="eastAsia" w:ascii="宋体" w:hAnsi="宋体" w:eastAsia="宋体"/>
          <w:sz w:val="24"/>
          <w:szCs w:val="24"/>
          <w:lang w:eastAsia="zh-CN"/>
        </w:rPr>
        <w:t>。</w:t>
      </w:r>
      <w:r>
        <w:rPr>
          <w:rFonts w:hint="eastAsia" w:ascii="宋体" w:hAnsi="宋体" w:eastAsia="宋体"/>
          <w:sz w:val="24"/>
          <w:szCs w:val="24"/>
          <w:lang w:val="en-US" w:eastAsia="zh-CN"/>
        </w:rPr>
        <w:t>由于前三个因素具有相关性，因此我们通过</w:t>
      </w:r>
      <w:r>
        <w:rPr>
          <w:rFonts w:hint="eastAsia" w:ascii="宋体" w:hAnsi="宋体" w:eastAsia="宋体" w:cs="宋体"/>
          <w:b w:val="0"/>
          <w:bCs w:val="0"/>
          <w:color w:val="000000"/>
          <w:kern w:val="0"/>
          <w:sz w:val="24"/>
          <w:szCs w:val="24"/>
          <w:lang w:val="en-US" w:eastAsia="zh-CN" w:bidi="ar"/>
        </w:rPr>
        <w:t>卡方独立性检验分别验证了三个因素与两个参量之间的关系，最后排除了化疗周期这一因素。而针对后两个因素，我们通过回归分析，画出散点图，确定了它们与参量二的相关性，确定了其为影响LRG的因素。最终，我们确定</w:t>
      </w:r>
      <w:r>
        <w:rPr>
          <w:rFonts w:hint="eastAsia" w:ascii="宋体" w:hAnsi="宋体" w:eastAsia="宋体"/>
          <w:sz w:val="24"/>
          <w:szCs w:val="24"/>
        </w:rPr>
        <w:t>诊断结果、化疗方案、淋巴结的位置</w:t>
      </w:r>
      <w:r>
        <w:rPr>
          <w:rFonts w:hint="eastAsia" w:ascii="宋体" w:hAnsi="宋体" w:eastAsia="宋体"/>
          <w:sz w:val="24"/>
          <w:szCs w:val="24"/>
          <w:lang w:eastAsia="zh-CN"/>
        </w:rPr>
        <w:t>、</w:t>
      </w:r>
      <w:r>
        <w:rPr>
          <w:rFonts w:hint="eastAsia" w:ascii="宋体" w:hAnsi="宋体" w:eastAsia="宋体"/>
          <w:sz w:val="24"/>
          <w:szCs w:val="24"/>
          <w:lang w:val="en-US" w:eastAsia="zh-CN"/>
        </w:rPr>
        <w:t>淋巴结的</w:t>
      </w:r>
      <w:r>
        <w:rPr>
          <w:rFonts w:hint="eastAsia" w:ascii="宋体" w:hAnsi="宋体" w:eastAsia="宋体"/>
          <w:sz w:val="24"/>
          <w:szCs w:val="24"/>
        </w:rPr>
        <w:t>数量</w:t>
      </w:r>
      <w:r>
        <w:rPr>
          <w:rFonts w:hint="eastAsia" w:ascii="宋体" w:hAnsi="宋体" w:eastAsia="宋体"/>
          <w:sz w:val="24"/>
          <w:szCs w:val="24"/>
          <w:lang w:val="en-US" w:eastAsia="zh-CN"/>
        </w:rPr>
        <w:t>为影响LRG的关键因素。</w:t>
      </w:r>
    </w:p>
    <w:p>
      <w:pPr>
        <w:ind w:firstLine="480"/>
        <w:jc w:val="both"/>
        <w:rPr>
          <w:rFonts w:hint="eastAsia" w:ascii="宋体" w:hAnsi="宋体" w:eastAsia="宋体"/>
          <w:sz w:val="24"/>
          <w:szCs w:val="24"/>
          <w:lang w:val="en-US" w:eastAsia="zh-CN"/>
        </w:rPr>
      </w:pPr>
      <w:r>
        <w:rPr>
          <w:rFonts w:hint="eastAsia" w:ascii="宋体" w:hAnsi="宋体" w:eastAsia="宋体"/>
          <w:sz w:val="24"/>
          <w:szCs w:val="24"/>
          <w:lang w:val="en-US" w:eastAsia="zh-CN"/>
        </w:rPr>
        <w:t>对于问题二，根据问题一所确定的四个影响因素，将四个因素看为评价指标，通过熵权法模型算出各个指标所占的权重值，再通过联合从附录表里整理分类TNM值以及随机取样不同TNM的病人数据，计算得到一个LRG的分级区间，从而确定了LRG的分级标准表。</w:t>
      </w:r>
    </w:p>
    <w:p>
      <w:pPr>
        <w:ind w:firstLine="480"/>
        <w:jc w:val="both"/>
        <w:rPr>
          <w:rFonts w:hint="eastAsia" w:ascii="宋体" w:hAnsi="宋体" w:eastAsia="宋体" w:cs="宋体"/>
          <w:b w:val="0"/>
          <w:bCs w:val="0"/>
          <w:sz w:val="24"/>
          <w:szCs w:val="24"/>
          <w:lang w:val="en-US" w:eastAsia="zh-CN"/>
        </w:rPr>
      </w:pPr>
      <w:r>
        <w:rPr>
          <w:rFonts w:hint="eastAsia" w:ascii="宋体" w:hAnsi="宋体" w:eastAsia="宋体"/>
          <w:sz w:val="24"/>
          <w:szCs w:val="24"/>
          <w:lang w:val="en-US" w:eastAsia="zh-CN"/>
        </w:rPr>
        <w:t>对于问题三，我们首先根据问题二得到的LRG标准表，随机抽取30名患者带入预测，得到LRG与TRG的对比表，再通过</w:t>
      </w:r>
      <w:r>
        <w:rPr>
          <w:rFonts w:hint="eastAsia" w:ascii="宋体" w:hAnsi="宋体" w:eastAsia="宋体" w:cs="宋体"/>
          <w:b w:val="0"/>
          <w:bCs w:val="0"/>
          <w:sz w:val="24"/>
          <w:szCs w:val="24"/>
        </w:rPr>
        <w:t>Spearman秩相关检验</w:t>
      </w:r>
      <w:r>
        <w:rPr>
          <w:rFonts w:hint="eastAsia" w:ascii="宋体" w:hAnsi="宋体" w:eastAsia="宋体" w:cs="宋体"/>
          <w:b w:val="0"/>
          <w:bCs w:val="0"/>
          <w:sz w:val="24"/>
          <w:szCs w:val="24"/>
          <w:lang w:val="en-US" w:eastAsia="zh-CN"/>
        </w:rPr>
        <w:t>得出LRG与TRG有相关性，但相关性不大的结果。然后，分别将LRG与TRG所得预测值与实际术后TNM值，判断出LRG的误差更小，得出LRG与TRG不具有等价性但有一定相关性的结论。</w:t>
      </w:r>
    </w:p>
    <w:p>
      <w:pPr>
        <w:ind w:firstLine="480"/>
        <w:jc w:val="both"/>
        <w:rPr>
          <w:rFonts w:hint="eastAsia" w:ascii="宋体" w:hAnsi="宋体" w:eastAsia="宋体" w:cs="宋体"/>
          <w:b w:val="0"/>
          <w:bCs w:val="0"/>
          <w:sz w:val="24"/>
          <w:szCs w:val="24"/>
          <w:lang w:val="en-US" w:eastAsia="zh-CN"/>
        </w:rPr>
      </w:pPr>
    </w:p>
    <w:p>
      <w:pPr>
        <w:jc w:val="both"/>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关键词：淋巴结消退分级、熵权法、卡方模型、回归模型、</w:t>
      </w:r>
      <w:r>
        <w:rPr>
          <w:rFonts w:hint="eastAsia" w:ascii="宋体" w:hAnsi="宋体" w:eastAsia="宋体" w:cs="宋体"/>
          <w:b/>
          <w:bCs/>
          <w:sz w:val="24"/>
          <w:szCs w:val="24"/>
        </w:rPr>
        <w:t>Spearman秩相关检验</w:t>
      </w:r>
    </w:p>
    <w:p>
      <w:p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eastAsia" w:ascii="宋体" w:hAnsi="宋体" w:eastAsia="宋体" w:cs="宋体"/>
          <w:b/>
          <w:bCs/>
          <w:sz w:val="24"/>
          <w:szCs w:val="24"/>
          <w:lang w:val="en-US" w:eastAsia="zh-CN"/>
        </w:rPr>
      </w:pPr>
    </w:p>
    <w:p>
      <w:pPr>
        <w:jc w:val="both"/>
        <w:rPr>
          <w:rFonts w:hint="default" w:ascii="宋体" w:hAnsi="宋体" w:eastAsia="宋体" w:cs="宋体"/>
          <w:b/>
          <w:bCs/>
          <w:sz w:val="24"/>
          <w:szCs w:val="24"/>
          <w:lang w:val="en-US" w:eastAsia="zh-CN"/>
        </w:rPr>
      </w:pPr>
    </w:p>
    <w:sdt>
      <w:sdtPr>
        <w:rPr>
          <w:rFonts w:hint="eastAsia" w:ascii="黑体" w:hAnsi="黑体" w:eastAsia="黑体" w:cs="黑体"/>
          <w:b/>
          <w:kern w:val="2"/>
          <w:sz w:val="36"/>
          <w:szCs w:val="36"/>
          <w:lang w:val="en-US" w:eastAsia="zh-CN" w:bidi="ar-SA"/>
        </w:rPr>
        <w:id w:val="147457625"/>
        <w15:color w:val="DBDBDB"/>
        <w:docPartObj>
          <w:docPartGallery w:val="Table of Contents"/>
          <w:docPartUnique/>
        </w:docPartObj>
      </w:sdtPr>
      <w:sdtEndPr>
        <w:rPr>
          <w:rFonts w:hint="eastAsia" w:ascii="Times New Roman" w:hAnsi="Times New Roman" w:eastAsia="宋体" w:cs="Times New Roman"/>
          <w:b/>
          <w:kern w:val="2"/>
          <w:sz w:val="21"/>
          <w:szCs w:val="28"/>
          <w:lang w:val="zh-TW" w:eastAsia="zh-TW" w:bidi="zh-TW"/>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sz w:val="36"/>
              <w:szCs w:val="36"/>
            </w:rPr>
          </w:pPr>
          <w:r>
            <w:rPr>
              <w:rFonts w:hint="eastAsia" w:ascii="黑体" w:hAnsi="黑体" w:eastAsia="黑体" w:cs="黑体"/>
              <w:b/>
              <w:sz w:val="36"/>
              <w:szCs w:val="36"/>
            </w:rPr>
            <w:t>目录</w:t>
          </w:r>
        </w:p>
        <w:p>
          <w:pPr>
            <w:pStyle w:val="28"/>
            <w:tabs>
              <w:tab w:val="right" w:leader="dot" w:pos="9746"/>
            </w:tabs>
            <w:rPr>
              <w:b/>
              <w:sz w:val="24"/>
            </w:rPr>
          </w:pPr>
          <w:r>
            <w:rPr>
              <w:rFonts w:ascii="Times New Roman" w:hAnsi="Times New Roman" w:eastAsia="宋体" w:cs="Times New Roman"/>
              <w:b/>
              <w:kern w:val="2"/>
              <w:sz w:val="24"/>
              <w:szCs w:val="28"/>
              <w:lang w:val="zh-TW" w:eastAsia="zh-TW" w:bidi="zh-TW"/>
            </w:rPr>
            <w:fldChar w:fldCharType="begin"/>
          </w:r>
          <w:r>
            <w:rPr>
              <w:rFonts w:ascii="Times New Roman" w:hAnsi="Times New Roman" w:eastAsia="宋体" w:cs="Times New Roman"/>
              <w:b/>
              <w:kern w:val="2"/>
              <w:sz w:val="24"/>
              <w:szCs w:val="28"/>
              <w:lang w:val="zh-TW" w:eastAsia="zh-TW" w:bidi="zh-TW"/>
            </w:rPr>
            <w:instrText xml:space="preserve">TOC \o "1-3" \h \u </w:instrText>
          </w:r>
          <w:r>
            <w:rPr>
              <w:rFonts w:ascii="Times New Roman" w:hAnsi="Times New Roman" w:eastAsia="宋体" w:cs="Times New Roman"/>
              <w:b/>
              <w:kern w:val="2"/>
              <w:sz w:val="24"/>
              <w:szCs w:val="28"/>
              <w:lang w:val="zh-TW" w:eastAsia="zh-TW" w:bidi="zh-TW"/>
            </w:rPr>
            <w:fldChar w:fldCharType="separate"/>
          </w:r>
        </w:p>
        <w:p>
          <w:pPr>
            <w:pStyle w:val="28"/>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_Toc21500 </w:instrText>
          </w:r>
          <w:r>
            <w:rPr>
              <w:rFonts w:ascii="Times New Roman" w:hAnsi="Times New Roman" w:eastAsia="宋体" w:cs="Times New Roman"/>
              <w:b/>
              <w:kern w:val="2"/>
              <w:sz w:val="28"/>
              <w:szCs w:val="28"/>
              <w:lang w:val="zh-TW" w:eastAsia="zh-TW" w:bidi="zh-TW"/>
            </w:rPr>
            <w:fldChar w:fldCharType="separate"/>
          </w:r>
          <w:r>
            <w:rPr>
              <w:rFonts w:hint="eastAsia"/>
              <w:b/>
              <w:sz w:val="28"/>
            </w:rPr>
            <w:t>一、 问题重述</w:t>
          </w:r>
          <w:r>
            <w:rPr>
              <w:b/>
              <w:sz w:val="28"/>
            </w:rPr>
            <w:tab/>
          </w:r>
          <w:r>
            <w:rPr>
              <w:rFonts w:hint="eastAsia"/>
              <w:b/>
              <w:sz w:val="28"/>
              <w:lang w:val="en-US" w:eastAsia="zh-CN"/>
            </w:rPr>
            <w:t>3</w:t>
          </w:r>
          <w:r>
            <w:rPr>
              <w:rFonts w:ascii="Times New Roman" w:hAnsi="Times New Roman" w:eastAsia="宋体" w:cs="Times New Roman"/>
              <w:b/>
              <w:kern w:val="2"/>
              <w:sz w:val="28"/>
              <w:szCs w:val="28"/>
              <w:lang w:val="zh-TW" w:eastAsia="zh-TW" w:bidi="zh-TW"/>
            </w:rPr>
            <w:fldChar w:fldCharType="end"/>
          </w:r>
        </w:p>
        <w:p>
          <w:pPr>
            <w:pStyle w:val="28"/>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_Toc12523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 xml:space="preserve">二、 </w:t>
          </w:r>
          <w:r>
            <w:rPr>
              <w:rFonts w:hint="eastAsia"/>
              <w:b/>
              <w:sz w:val="28"/>
            </w:rPr>
            <w:t>问题分析</w:t>
          </w:r>
          <w:r>
            <w:rPr>
              <w:b/>
              <w:sz w:val="28"/>
            </w:rPr>
            <w:tab/>
          </w:r>
          <w:r>
            <w:rPr>
              <w:rFonts w:hint="eastAsia"/>
              <w:b/>
              <w:sz w:val="28"/>
              <w:lang w:val="en-US" w:eastAsia="zh-CN"/>
            </w:rPr>
            <w:t>3</w:t>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_Toc14055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2.1 问题1——影响LRG的关键因素的讨论</w:t>
          </w:r>
          <w:r>
            <w:rPr>
              <w:b/>
              <w:sz w:val="28"/>
            </w:rPr>
            <w:tab/>
          </w:r>
          <w:r>
            <w:rPr>
              <w:b/>
              <w:sz w:val="28"/>
            </w:rPr>
            <w:fldChar w:fldCharType="begin"/>
          </w:r>
          <w:r>
            <w:rPr>
              <w:b/>
              <w:sz w:val="28"/>
            </w:rPr>
            <w:instrText xml:space="preserve"> PAGEREF _Toc14055 \h </w:instrText>
          </w:r>
          <w:r>
            <w:rPr>
              <w:b/>
              <w:sz w:val="28"/>
            </w:rPr>
            <w:fldChar w:fldCharType="separate"/>
          </w:r>
          <w:r>
            <w:rPr>
              <w:b/>
              <w:sz w:val="28"/>
            </w:rPr>
            <w:t>4</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_Toc29645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2.2 问题2——淋巴结消退分级标准的制定</w:t>
          </w:r>
          <w:r>
            <w:rPr>
              <w:b/>
              <w:sz w:val="28"/>
            </w:rPr>
            <w:tab/>
          </w:r>
          <w:r>
            <w:rPr>
              <w:b/>
              <w:sz w:val="28"/>
            </w:rPr>
            <w:fldChar w:fldCharType="begin"/>
          </w:r>
          <w:r>
            <w:rPr>
              <w:b/>
              <w:sz w:val="28"/>
            </w:rPr>
            <w:instrText xml:space="preserve"> PAGEREF _Toc29645 \h </w:instrText>
          </w:r>
          <w:r>
            <w:rPr>
              <w:b/>
              <w:sz w:val="28"/>
            </w:rPr>
            <w:fldChar w:fldCharType="separate"/>
          </w:r>
          <w:r>
            <w:rPr>
              <w:b/>
              <w:sz w:val="28"/>
            </w:rPr>
            <w:t>5</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_Toc8447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2.3 问题3——LRG与TRG的关系探讨</w:t>
          </w:r>
          <w:r>
            <w:rPr>
              <w:b/>
              <w:sz w:val="28"/>
            </w:rPr>
            <w:tab/>
          </w:r>
          <w:r>
            <w:rPr>
              <w:b/>
              <w:sz w:val="28"/>
            </w:rPr>
            <w:fldChar w:fldCharType="begin"/>
          </w:r>
          <w:r>
            <w:rPr>
              <w:b/>
              <w:sz w:val="28"/>
            </w:rPr>
            <w:instrText xml:space="preserve"> PAGEREF _Toc8447 \h </w:instrText>
          </w:r>
          <w:r>
            <w:rPr>
              <w:b/>
              <w:sz w:val="28"/>
            </w:rPr>
            <w:fldChar w:fldCharType="separate"/>
          </w:r>
          <w:r>
            <w:rPr>
              <w:b/>
              <w:sz w:val="28"/>
            </w:rPr>
            <w:t>5</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8"/>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_Toc15469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三、</w:t>
          </w:r>
          <w:r>
            <w:rPr>
              <w:rFonts w:hint="eastAsia"/>
              <w:b/>
              <w:sz w:val="28"/>
            </w:rPr>
            <w:t>模型假设</w:t>
          </w:r>
          <w:r>
            <w:rPr>
              <w:b/>
              <w:sz w:val="28"/>
            </w:rPr>
            <w:tab/>
          </w:r>
          <w:r>
            <w:rPr>
              <w:b/>
              <w:sz w:val="28"/>
            </w:rPr>
            <w:fldChar w:fldCharType="begin"/>
          </w:r>
          <w:r>
            <w:rPr>
              <w:b/>
              <w:sz w:val="28"/>
            </w:rPr>
            <w:instrText xml:space="preserve"> PAGEREF _Toc15469 \h </w:instrText>
          </w:r>
          <w:r>
            <w:rPr>
              <w:b/>
              <w:sz w:val="28"/>
            </w:rPr>
            <w:fldChar w:fldCharType="separate"/>
          </w:r>
          <w:r>
            <w:rPr>
              <w:b/>
              <w:sz w:val="28"/>
            </w:rPr>
            <w:t>5</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8"/>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_Toc26647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四、符号说明</w:t>
          </w:r>
          <w:r>
            <w:rPr>
              <w:b/>
              <w:sz w:val="28"/>
            </w:rPr>
            <w:tab/>
          </w:r>
          <w:r>
            <w:rPr>
              <w:b/>
              <w:sz w:val="28"/>
            </w:rPr>
            <w:fldChar w:fldCharType="begin"/>
          </w:r>
          <w:r>
            <w:rPr>
              <w:b/>
              <w:sz w:val="28"/>
            </w:rPr>
            <w:instrText xml:space="preserve"> PAGEREF _Toc26647 \h </w:instrText>
          </w:r>
          <w:r>
            <w:rPr>
              <w:b/>
              <w:sz w:val="28"/>
            </w:rPr>
            <w:fldChar w:fldCharType="separate"/>
          </w:r>
          <w:r>
            <w:rPr>
              <w:b/>
              <w:sz w:val="28"/>
            </w:rPr>
            <w:t>6</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8"/>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_Toc32361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五、模型建立与求解</w:t>
          </w:r>
          <w:r>
            <w:rPr>
              <w:b/>
              <w:sz w:val="28"/>
            </w:rPr>
            <w:tab/>
          </w:r>
          <w:r>
            <w:rPr>
              <w:b/>
              <w:sz w:val="28"/>
            </w:rPr>
            <w:fldChar w:fldCharType="begin"/>
          </w:r>
          <w:r>
            <w:rPr>
              <w:b/>
              <w:sz w:val="28"/>
            </w:rPr>
            <w:instrText xml:space="preserve"> PAGEREF _Toc32361 \h </w:instrText>
          </w:r>
          <w:r>
            <w:rPr>
              <w:b/>
              <w:sz w:val="28"/>
            </w:rPr>
            <w:fldChar w:fldCharType="separate"/>
          </w:r>
          <w:r>
            <w:rPr>
              <w:b/>
              <w:sz w:val="28"/>
            </w:rPr>
            <w:t>6</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_Toc32463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5.1 问题一的模型建立与求解</w:t>
          </w:r>
          <w:r>
            <w:rPr>
              <w:b/>
              <w:sz w:val="28"/>
            </w:rPr>
            <w:tab/>
          </w:r>
          <w:r>
            <w:rPr>
              <w:b/>
              <w:sz w:val="28"/>
            </w:rPr>
            <w:fldChar w:fldCharType="begin"/>
          </w:r>
          <w:r>
            <w:rPr>
              <w:b/>
              <w:sz w:val="28"/>
            </w:rPr>
            <w:instrText xml:space="preserve"> PAGEREF _Toc32463 \h </w:instrText>
          </w:r>
          <w:r>
            <w:rPr>
              <w:b/>
              <w:sz w:val="28"/>
            </w:rPr>
            <w:fldChar w:fldCharType="separate"/>
          </w:r>
          <w:r>
            <w:rPr>
              <w:b/>
              <w:sz w:val="28"/>
            </w:rPr>
            <w:t>6</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ind w:firstLine="281" w:firstLineChars="100"/>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_Toc18223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5.1.1 卡方独立性检验</w:t>
          </w:r>
          <w:r>
            <w:rPr>
              <w:b/>
              <w:sz w:val="28"/>
            </w:rPr>
            <w:tab/>
          </w:r>
          <w:r>
            <w:rPr>
              <w:b/>
              <w:sz w:val="28"/>
            </w:rPr>
            <w:fldChar w:fldCharType="begin"/>
          </w:r>
          <w:r>
            <w:rPr>
              <w:b/>
              <w:sz w:val="28"/>
            </w:rPr>
            <w:instrText xml:space="preserve"> PAGEREF _Toc18223 \h </w:instrText>
          </w:r>
          <w:r>
            <w:rPr>
              <w:b/>
              <w:sz w:val="28"/>
            </w:rPr>
            <w:fldChar w:fldCharType="separate"/>
          </w:r>
          <w:r>
            <w:rPr>
              <w:b/>
              <w:sz w:val="28"/>
            </w:rPr>
            <w:t>7</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ind w:firstLine="281" w:firstLineChars="100"/>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_Toc28875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5.1.2 回归分析</w:t>
          </w:r>
          <w:r>
            <w:rPr>
              <w:b/>
              <w:sz w:val="28"/>
            </w:rPr>
            <w:tab/>
          </w:r>
          <w:r>
            <w:rPr>
              <w:b/>
              <w:sz w:val="28"/>
            </w:rPr>
            <w:fldChar w:fldCharType="begin"/>
          </w:r>
          <w:r>
            <w:rPr>
              <w:b/>
              <w:sz w:val="28"/>
            </w:rPr>
            <w:instrText xml:space="preserve"> PAGEREF _Toc28875 \h </w:instrText>
          </w:r>
          <w:r>
            <w:rPr>
              <w:b/>
              <w:sz w:val="28"/>
            </w:rPr>
            <w:fldChar w:fldCharType="separate"/>
          </w:r>
          <w:r>
            <w:rPr>
              <w:b/>
              <w:sz w:val="28"/>
            </w:rPr>
            <w:t>12</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_Toc3441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5.2 问题二的模型建立与求解</w:t>
          </w:r>
          <w:r>
            <w:rPr>
              <w:b/>
              <w:sz w:val="28"/>
            </w:rPr>
            <w:tab/>
          </w:r>
          <w:r>
            <w:rPr>
              <w:b/>
              <w:sz w:val="28"/>
            </w:rPr>
            <w:fldChar w:fldCharType="begin"/>
          </w:r>
          <w:r>
            <w:rPr>
              <w:b/>
              <w:sz w:val="28"/>
            </w:rPr>
            <w:instrText xml:space="preserve"> PAGEREF _Toc3441 \h </w:instrText>
          </w:r>
          <w:r>
            <w:rPr>
              <w:b/>
              <w:sz w:val="28"/>
            </w:rPr>
            <w:fldChar w:fldCharType="separate"/>
          </w:r>
          <w:r>
            <w:rPr>
              <w:b/>
              <w:sz w:val="28"/>
            </w:rPr>
            <w:t>14</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_Toc17919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5.3 问题三的模型建立与求解</w:t>
          </w:r>
          <w:r>
            <w:rPr>
              <w:b/>
              <w:sz w:val="28"/>
            </w:rPr>
            <w:tab/>
          </w:r>
          <w:r>
            <w:rPr>
              <w:b/>
              <w:sz w:val="28"/>
            </w:rPr>
            <w:fldChar w:fldCharType="begin"/>
          </w:r>
          <w:r>
            <w:rPr>
              <w:b/>
              <w:sz w:val="28"/>
            </w:rPr>
            <w:instrText xml:space="preserve"> PAGEREF _Toc17919 \h </w:instrText>
          </w:r>
          <w:r>
            <w:rPr>
              <w:b/>
              <w:sz w:val="28"/>
            </w:rPr>
            <w:fldChar w:fldCharType="separate"/>
          </w:r>
          <w:r>
            <w:rPr>
              <w:b/>
              <w:sz w:val="28"/>
            </w:rPr>
            <w:t>19</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8"/>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_Toc8192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六、模型的优缺点分析</w:t>
          </w:r>
          <w:r>
            <w:rPr>
              <w:b/>
              <w:sz w:val="28"/>
            </w:rPr>
            <w:tab/>
          </w:r>
          <w:r>
            <w:rPr>
              <w:b/>
              <w:sz w:val="28"/>
            </w:rPr>
            <w:fldChar w:fldCharType="begin"/>
          </w:r>
          <w:r>
            <w:rPr>
              <w:b/>
              <w:sz w:val="28"/>
            </w:rPr>
            <w:instrText xml:space="preserve"> PAGEREF _Toc8192 \h </w:instrText>
          </w:r>
          <w:r>
            <w:rPr>
              <w:b/>
              <w:sz w:val="28"/>
            </w:rPr>
            <w:fldChar w:fldCharType="separate"/>
          </w:r>
          <w:r>
            <w:rPr>
              <w:b/>
              <w:sz w:val="28"/>
            </w:rPr>
            <w:t>20</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_Toc14705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6.1 卡方检验模型</w:t>
          </w:r>
          <w:r>
            <w:rPr>
              <w:b/>
              <w:sz w:val="28"/>
            </w:rPr>
            <w:tab/>
          </w:r>
          <w:r>
            <w:rPr>
              <w:b/>
              <w:sz w:val="28"/>
            </w:rPr>
            <w:fldChar w:fldCharType="begin"/>
          </w:r>
          <w:r>
            <w:rPr>
              <w:b/>
              <w:sz w:val="28"/>
            </w:rPr>
            <w:instrText xml:space="preserve"> PAGEREF _Toc14705 \h </w:instrText>
          </w:r>
          <w:r>
            <w:rPr>
              <w:b/>
              <w:sz w:val="28"/>
            </w:rPr>
            <w:fldChar w:fldCharType="separate"/>
          </w:r>
          <w:r>
            <w:rPr>
              <w:b/>
              <w:sz w:val="28"/>
            </w:rPr>
            <w:t>20</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_Toc8055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6.2 回归模型</w:t>
          </w:r>
          <w:r>
            <w:rPr>
              <w:b/>
              <w:sz w:val="28"/>
            </w:rPr>
            <w:tab/>
          </w:r>
          <w:r>
            <w:rPr>
              <w:b/>
              <w:sz w:val="28"/>
            </w:rPr>
            <w:fldChar w:fldCharType="begin"/>
          </w:r>
          <w:r>
            <w:rPr>
              <w:b/>
              <w:sz w:val="28"/>
            </w:rPr>
            <w:instrText xml:space="preserve"> PAGEREF _Toc8055 \h </w:instrText>
          </w:r>
          <w:r>
            <w:rPr>
              <w:b/>
              <w:sz w:val="28"/>
            </w:rPr>
            <w:fldChar w:fldCharType="separate"/>
          </w:r>
          <w:r>
            <w:rPr>
              <w:b/>
              <w:sz w:val="28"/>
            </w:rPr>
            <w:t>20</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9"/>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_Toc7242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6.3 熵权法</w:t>
          </w:r>
          <w:r>
            <w:rPr>
              <w:b/>
              <w:sz w:val="28"/>
            </w:rPr>
            <w:tab/>
          </w:r>
          <w:r>
            <w:rPr>
              <w:b/>
              <w:sz w:val="28"/>
            </w:rPr>
            <w:fldChar w:fldCharType="begin"/>
          </w:r>
          <w:r>
            <w:rPr>
              <w:b/>
              <w:sz w:val="28"/>
            </w:rPr>
            <w:instrText xml:space="preserve"> PAGEREF _Toc7242 \h </w:instrText>
          </w:r>
          <w:r>
            <w:rPr>
              <w:b/>
              <w:sz w:val="28"/>
            </w:rPr>
            <w:fldChar w:fldCharType="separate"/>
          </w:r>
          <w:r>
            <w:rPr>
              <w:b/>
              <w:sz w:val="28"/>
            </w:rPr>
            <w:t>21</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8"/>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_Toc1870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七、参考文献</w:t>
          </w:r>
          <w:r>
            <w:rPr>
              <w:b/>
              <w:sz w:val="28"/>
            </w:rPr>
            <w:tab/>
          </w:r>
          <w:r>
            <w:rPr>
              <w:b/>
              <w:sz w:val="28"/>
            </w:rPr>
            <w:fldChar w:fldCharType="begin"/>
          </w:r>
          <w:r>
            <w:rPr>
              <w:b/>
              <w:sz w:val="28"/>
            </w:rPr>
            <w:instrText xml:space="preserve"> PAGEREF _Toc1870 \h </w:instrText>
          </w:r>
          <w:r>
            <w:rPr>
              <w:b/>
              <w:sz w:val="28"/>
            </w:rPr>
            <w:fldChar w:fldCharType="separate"/>
          </w:r>
          <w:r>
            <w:rPr>
              <w:b/>
              <w:sz w:val="28"/>
            </w:rPr>
            <w:t>21</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28"/>
            <w:tabs>
              <w:tab w:val="right" w:leader="dot" w:pos="9746"/>
            </w:tabs>
            <w:rPr>
              <w:b/>
              <w:sz w:val="28"/>
            </w:rPr>
          </w:pPr>
          <w:r>
            <w:rPr>
              <w:rFonts w:ascii="Times New Roman" w:hAnsi="Times New Roman" w:eastAsia="宋体" w:cs="Times New Roman"/>
              <w:b/>
              <w:kern w:val="2"/>
              <w:sz w:val="28"/>
              <w:szCs w:val="28"/>
              <w:lang w:val="zh-TW" w:eastAsia="zh-TW" w:bidi="zh-TW"/>
            </w:rPr>
            <w:fldChar w:fldCharType="begin"/>
          </w:r>
          <w:r>
            <w:rPr>
              <w:rFonts w:ascii="Times New Roman" w:hAnsi="Times New Roman" w:eastAsia="宋体" w:cs="Times New Roman"/>
              <w:b/>
              <w:kern w:val="2"/>
              <w:sz w:val="28"/>
              <w:szCs w:val="28"/>
              <w:lang w:val="zh-TW" w:eastAsia="zh-TW" w:bidi="zh-TW"/>
            </w:rPr>
            <w:instrText xml:space="preserve"> HYPERLINK \l _Toc5944 </w:instrText>
          </w:r>
          <w:r>
            <w:rPr>
              <w:rFonts w:ascii="Times New Roman" w:hAnsi="Times New Roman" w:eastAsia="宋体" w:cs="Times New Roman"/>
              <w:b/>
              <w:kern w:val="2"/>
              <w:sz w:val="28"/>
              <w:szCs w:val="28"/>
              <w:lang w:val="zh-TW" w:eastAsia="zh-TW" w:bidi="zh-TW"/>
            </w:rPr>
            <w:fldChar w:fldCharType="separate"/>
          </w:r>
          <w:r>
            <w:rPr>
              <w:rFonts w:hint="eastAsia"/>
              <w:b/>
              <w:sz w:val="28"/>
              <w:lang w:val="en-US" w:eastAsia="zh-CN"/>
            </w:rPr>
            <w:t>八、 附件</w:t>
          </w:r>
          <w:r>
            <w:rPr>
              <w:b/>
              <w:sz w:val="28"/>
            </w:rPr>
            <w:tab/>
          </w:r>
          <w:r>
            <w:rPr>
              <w:b/>
              <w:sz w:val="28"/>
            </w:rPr>
            <w:fldChar w:fldCharType="begin"/>
          </w:r>
          <w:r>
            <w:rPr>
              <w:b/>
              <w:sz w:val="28"/>
            </w:rPr>
            <w:instrText xml:space="preserve"> PAGEREF _Toc5944 \h </w:instrText>
          </w:r>
          <w:r>
            <w:rPr>
              <w:b/>
              <w:sz w:val="28"/>
            </w:rPr>
            <w:fldChar w:fldCharType="separate"/>
          </w:r>
          <w:r>
            <w:rPr>
              <w:b/>
              <w:sz w:val="28"/>
            </w:rPr>
            <w:t>21</w:t>
          </w:r>
          <w:r>
            <w:rPr>
              <w:b/>
              <w:sz w:val="28"/>
            </w:rPr>
            <w:fldChar w:fldCharType="end"/>
          </w:r>
          <w:r>
            <w:rPr>
              <w:rFonts w:ascii="Times New Roman" w:hAnsi="Times New Roman" w:eastAsia="宋体" w:cs="Times New Roman"/>
              <w:b/>
              <w:kern w:val="2"/>
              <w:sz w:val="28"/>
              <w:szCs w:val="28"/>
              <w:lang w:val="zh-TW" w:eastAsia="zh-TW" w:bidi="zh-TW"/>
            </w:rPr>
            <w:fldChar w:fldCharType="end"/>
          </w:r>
        </w:p>
        <w:p>
          <w:pPr>
            <w:pStyle w:val="17"/>
            <w:tabs>
              <w:tab w:val="left" w:pos="8005"/>
              <w:tab w:val="left" w:leader="underscore" w:pos="8177"/>
              <w:tab w:val="left" w:pos="8311"/>
            </w:tabs>
            <w:snapToGrid w:val="0"/>
            <w:spacing w:after="100" w:afterAutospacing="1" w:line="240" w:lineRule="auto"/>
            <w:ind w:firstLine="0"/>
            <w:jc w:val="both"/>
            <w:rPr>
              <w:rFonts w:ascii="Times New Roman" w:hAnsi="Times New Roman" w:eastAsia="宋体" w:cs="Times New Roman"/>
              <w:kern w:val="2"/>
              <w:sz w:val="21"/>
              <w:szCs w:val="28"/>
              <w:lang w:val="zh-TW" w:eastAsia="zh-TW" w:bidi="zh-TW"/>
            </w:rPr>
          </w:pPr>
          <w:r>
            <w:rPr>
              <w:rFonts w:ascii="Times New Roman" w:hAnsi="Times New Roman" w:eastAsia="宋体" w:cs="Times New Roman"/>
              <w:b/>
              <w:kern w:val="2"/>
              <w:sz w:val="24"/>
              <w:szCs w:val="28"/>
              <w:lang w:val="zh-TW" w:eastAsia="zh-TW" w:bidi="zh-TW"/>
            </w:rPr>
            <w:fldChar w:fldCharType="end"/>
          </w:r>
        </w:p>
      </w:sdtContent>
    </w:sdt>
    <w:p>
      <w:pPr>
        <w:pStyle w:val="3"/>
        <w:numPr>
          <w:ilvl w:val="0"/>
          <w:numId w:val="1"/>
        </w:numPr>
        <w:bidi w:val="0"/>
        <w:ind w:left="210" w:leftChars="0" w:firstLineChars="0"/>
        <w:jc w:val="center"/>
        <w:outlineLvl w:val="0"/>
        <w:rPr>
          <w:rFonts w:hint="eastAsia"/>
        </w:rPr>
      </w:pPr>
      <w:bookmarkStart w:id="4" w:name="_Toc21500"/>
      <w:bookmarkStart w:id="5" w:name="_Toc10999"/>
      <w:bookmarkStart w:id="6" w:name="_Toc14379"/>
      <w:bookmarkStart w:id="7" w:name="_Toc10023"/>
      <w:r>
        <w:rPr>
          <w:rFonts w:hint="eastAsia"/>
        </w:rPr>
        <w:t>问题重述</w:t>
      </w:r>
      <w:bookmarkEnd w:id="4"/>
      <w:bookmarkEnd w:id="5"/>
      <w:bookmarkEnd w:id="6"/>
      <w:bookmarkEnd w:id="7"/>
      <w:bookmarkStart w:id="8" w:name="_Toc20489"/>
    </w:p>
    <w:bookmarkEnd w:id="8"/>
    <w:p>
      <w:pPr>
        <w:widowControl/>
        <w:spacing w:before="156" w:beforeLines="50" w:line="360" w:lineRule="atLeast"/>
        <w:ind w:firstLine="480" w:firstLineChars="200"/>
        <w:jc w:val="left"/>
        <w:rPr>
          <w:rFonts w:hint="eastAsia" w:ascii="Arial" w:hAnsi="Arial" w:eastAsia="宋体" w:cs="Arial"/>
          <w:i w:val="0"/>
          <w:iCs w:val="0"/>
          <w:caps w:val="0"/>
          <w:color w:val="333333"/>
          <w:spacing w:val="0"/>
          <w:sz w:val="24"/>
          <w:szCs w:val="24"/>
          <w:shd w:val="clear" w:fill="FFFFFF"/>
          <w:lang w:eastAsia="zh-CN"/>
        </w:rPr>
      </w:pPr>
      <w:r>
        <w:rPr>
          <w:rFonts w:ascii="Times New Roman" w:hAnsi="Times New Roman" w:eastAsia="宋体" w:cs="Times New Roman"/>
          <w:color w:val="2F2F2F"/>
          <w:kern w:val="0"/>
          <w:sz w:val="24"/>
          <w:szCs w:val="24"/>
          <w:shd w:val="clear" w:color="auto" w:fill="FFFFFF"/>
        </w:rPr>
        <w:t>直肠癌</w:t>
      </w:r>
      <w:r>
        <w:rPr>
          <w:rFonts w:hint="eastAsia" w:ascii="Arial" w:hAnsi="Arial" w:eastAsia="宋体" w:cs="Arial"/>
          <w:i w:val="0"/>
          <w:iCs w:val="0"/>
          <w:caps w:val="0"/>
          <w:color w:val="333333"/>
          <w:spacing w:val="0"/>
          <w:sz w:val="24"/>
          <w:szCs w:val="24"/>
          <w:shd w:val="clear" w:fill="FFFFFF"/>
        </w:rPr>
        <w:t>是消化道最常见的恶性肿瘤之一</w:t>
      </w:r>
      <w:r>
        <w:rPr>
          <w:rFonts w:hint="eastAsia" w:ascii="Arial" w:hAnsi="Arial" w:eastAsia="宋体" w:cs="Arial"/>
          <w:i w:val="0"/>
          <w:iCs w:val="0"/>
          <w:caps w:val="0"/>
          <w:color w:val="333333"/>
          <w:spacing w:val="0"/>
          <w:sz w:val="24"/>
          <w:szCs w:val="24"/>
          <w:shd w:val="clear" w:fill="FFFFFF"/>
          <w:lang w:eastAsia="zh-CN"/>
        </w:rPr>
        <w:t>，</w:t>
      </w:r>
      <w:r>
        <w:rPr>
          <w:rFonts w:ascii="Times New Roman" w:hAnsi="Times New Roman" w:eastAsia="宋体" w:cs="Times New Roman"/>
          <w:color w:val="2F2F2F"/>
          <w:kern w:val="0"/>
          <w:sz w:val="24"/>
          <w:szCs w:val="24"/>
          <w:shd w:val="clear" w:color="auto" w:fill="FFFFFF"/>
        </w:rPr>
        <w:t>是我国继肺癌后的第二大癌症</w:t>
      </w:r>
      <w:r>
        <w:rPr>
          <w:rFonts w:hint="eastAsia" w:ascii="Arial" w:hAnsi="Arial" w:eastAsia="宋体" w:cs="Arial"/>
          <w:i w:val="0"/>
          <w:iCs w:val="0"/>
          <w:caps w:val="0"/>
          <w:color w:val="333333"/>
          <w:spacing w:val="0"/>
          <w:sz w:val="24"/>
          <w:szCs w:val="24"/>
          <w:shd w:val="clear" w:fill="FFFFFF"/>
        </w:rPr>
        <w:t>。因其位置深入盆腔，解剖关系复杂，手术不易彻底，术后复发率高</w:t>
      </w:r>
      <w:r>
        <w:rPr>
          <w:rFonts w:hint="eastAsia" w:ascii="Arial" w:hAnsi="Arial" w:eastAsia="宋体" w:cs="Arial"/>
          <w:i w:val="0"/>
          <w:iCs w:val="0"/>
          <w:caps w:val="0"/>
          <w:color w:val="333333"/>
          <w:spacing w:val="0"/>
          <w:sz w:val="24"/>
          <w:szCs w:val="24"/>
          <w:shd w:val="clear" w:fill="FFFFFF"/>
          <w:lang w:eastAsia="zh-CN"/>
        </w:rPr>
        <w:t>，</w:t>
      </w:r>
      <w:r>
        <w:rPr>
          <w:rFonts w:hint="eastAsia" w:ascii="Arial" w:hAnsi="Arial" w:eastAsia="宋体" w:cs="Arial"/>
          <w:i w:val="0"/>
          <w:iCs w:val="0"/>
          <w:caps w:val="0"/>
          <w:color w:val="333333"/>
          <w:spacing w:val="0"/>
          <w:sz w:val="24"/>
          <w:szCs w:val="24"/>
          <w:shd w:val="clear" w:fill="FFFFFF"/>
        </w:rPr>
        <w:t>很难保留肛门及其功能是手术的一个难题</w:t>
      </w:r>
      <w:r>
        <w:rPr>
          <w:rFonts w:hint="eastAsia" w:ascii="Arial" w:hAnsi="Arial" w:eastAsia="宋体" w:cs="Arial"/>
          <w:i w:val="0"/>
          <w:iCs w:val="0"/>
          <w:caps w:val="0"/>
          <w:color w:val="333333"/>
          <w:spacing w:val="0"/>
          <w:sz w:val="24"/>
          <w:szCs w:val="24"/>
          <w:shd w:val="clear" w:fill="FFFFFF"/>
          <w:lang w:eastAsia="zh-CN"/>
        </w:rPr>
        <w:t>。</w:t>
      </w:r>
    </w:p>
    <w:p>
      <w:pPr>
        <w:widowControl/>
        <w:spacing w:before="156" w:beforeLines="50" w:line="360" w:lineRule="atLeast"/>
        <w:ind w:firstLine="480" w:firstLineChars="200"/>
        <w:jc w:val="left"/>
        <w:rPr>
          <w:rFonts w:ascii="Times New Roman" w:hAnsi="Times New Roman" w:eastAsia="宋体" w:cs="Times New Roman"/>
          <w:bCs/>
          <w:color w:val="000000" w:themeColor="text1"/>
          <w:sz w:val="24"/>
          <w:szCs w:val="24"/>
          <w14:textFill>
            <w14:solidFill>
              <w14:schemeClr w14:val="tx1"/>
            </w14:solidFill>
          </w14:textFill>
        </w:rPr>
      </w:pPr>
      <w:r>
        <w:rPr>
          <w:rFonts w:hint="eastAsia" w:ascii="宋体" w:hAnsi="宋体" w:eastAsia="宋体" w:cs="宋体"/>
          <w:i w:val="0"/>
          <w:iCs w:val="0"/>
          <w:caps w:val="0"/>
          <w:color w:val="333333"/>
          <w:spacing w:val="0"/>
          <w:sz w:val="24"/>
          <w:szCs w:val="24"/>
          <w:shd w:val="clear" w:fill="FFFFFF"/>
          <w:lang w:val="en-US" w:eastAsia="zh-CN"/>
        </w:rPr>
        <w:t>随着直肠癌综合治疗的发展，</w:t>
      </w:r>
      <w:r>
        <w:rPr>
          <w:rFonts w:hint="eastAsia" w:ascii="宋体" w:hAnsi="宋体" w:eastAsia="宋体" w:cs="宋体"/>
          <w:bCs/>
          <w:color w:val="000000" w:themeColor="text1"/>
          <w:sz w:val="24"/>
          <w:szCs w:val="24"/>
          <w14:textFill>
            <w14:solidFill>
              <w14:schemeClr w14:val="tx1"/>
            </w14:solidFill>
          </w14:textFill>
        </w:rPr>
        <w:t>局部晚期直肠癌的标准治疗模式</w:t>
      </w:r>
      <w:r>
        <w:rPr>
          <w:rFonts w:hint="eastAsia" w:ascii="宋体" w:hAnsi="宋体" w:eastAsia="宋体" w:cs="宋体"/>
          <w:bCs/>
          <w:color w:val="000000" w:themeColor="text1"/>
          <w:sz w:val="24"/>
          <w:szCs w:val="24"/>
          <w:lang w:val="en-US" w:eastAsia="zh-CN"/>
          <w14:textFill>
            <w14:solidFill>
              <w14:schemeClr w14:val="tx1"/>
            </w14:solidFill>
          </w14:textFill>
        </w:rPr>
        <w:t>得以建立，即“</w:t>
      </w:r>
      <w:r>
        <w:rPr>
          <w:rFonts w:hint="eastAsia" w:ascii="宋体" w:hAnsi="宋体" w:eastAsia="宋体" w:cs="宋体"/>
          <w:bCs/>
          <w:color w:val="000000" w:themeColor="text1"/>
          <w:sz w:val="24"/>
          <w:szCs w:val="24"/>
          <w14:textFill>
            <w14:solidFill>
              <w14:schemeClr w14:val="tx1"/>
            </w14:solidFill>
          </w14:textFill>
        </w:rPr>
        <w:t>新辅助放化疗</w:t>
      </w:r>
      <w:r>
        <w:rPr>
          <w:rFonts w:hint="eastAsia" w:ascii="宋体" w:hAnsi="宋体" w:eastAsia="宋体" w:cs="宋体"/>
          <w:bCs/>
          <w:color w:val="000000" w:themeColor="text1"/>
          <w:sz w:val="24"/>
          <w:szCs w:val="24"/>
          <w:lang w:eastAsia="zh-CN"/>
          <w14:textFill>
            <w14:solidFill>
              <w14:schemeClr w14:val="tx1"/>
            </w14:solidFill>
          </w14:textFill>
        </w:rPr>
        <w:t>（</w:t>
      </w:r>
      <w:r>
        <w:rPr>
          <w:rFonts w:hint="eastAsia" w:ascii="宋体" w:hAnsi="宋体" w:eastAsia="宋体" w:cs="宋体"/>
          <w:bCs/>
          <w:color w:val="000000" w:themeColor="text1"/>
          <w:sz w:val="24"/>
          <w:szCs w:val="24"/>
          <w:lang w:val="en-US" w:eastAsia="zh-CN"/>
          <w14:textFill>
            <w14:solidFill>
              <w14:schemeClr w14:val="tx1"/>
            </w14:solidFill>
          </w14:textFill>
        </w:rPr>
        <w:t>CRT</w:t>
      </w:r>
      <w:r>
        <w:rPr>
          <w:rFonts w:hint="eastAsia" w:ascii="宋体" w:hAnsi="宋体" w:eastAsia="宋体" w:cs="宋体"/>
          <w:bCs/>
          <w:color w:val="000000" w:themeColor="text1"/>
          <w:sz w:val="24"/>
          <w:szCs w:val="24"/>
          <w:lang w:eastAsia="zh-CN"/>
          <w14:textFill>
            <w14:solidFill>
              <w14:schemeClr w14:val="tx1"/>
            </w14:solidFill>
          </w14:textFill>
        </w:rPr>
        <w:t>）</w:t>
      </w:r>
      <w:r>
        <w:rPr>
          <w:rFonts w:hint="eastAsia" w:ascii="宋体" w:hAnsi="宋体" w:eastAsia="宋体" w:cs="宋体"/>
          <w:bCs/>
          <w:color w:val="000000" w:themeColor="text1"/>
          <w:sz w:val="24"/>
          <w:szCs w:val="24"/>
          <w:lang w:val="en-US" w:eastAsia="zh-CN"/>
          <w14:textFill>
            <w14:solidFill>
              <w14:schemeClr w14:val="tx1"/>
            </w14:solidFill>
          </w14:textFill>
        </w:rPr>
        <w:t>+</w:t>
      </w:r>
      <w:r>
        <w:rPr>
          <w:rFonts w:hint="eastAsia" w:ascii="宋体" w:hAnsi="宋体" w:eastAsia="宋体" w:cs="宋体"/>
          <w:bCs/>
          <w:color w:val="000000" w:themeColor="text1"/>
          <w:sz w:val="24"/>
          <w:szCs w:val="24"/>
          <w14:textFill>
            <w14:solidFill>
              <w14:schemeClr w14:val="tx1"/>
            </w14:solidFill>
          </w14:textFill>
        </w:rPr>
        <w:t>全直肠系膜筋膜切除术</w:t>
      </w:r>
      <w:r>
        <w:rPr>
          <w:rFonts w:hint="eastAsia" w:ascii="宋体" w:hAnsi="宋体" w:eastAsia="宋体" w:cs="宋体"/>
          <w:bCs/>
          <w:color w:val="000000" w:themeColor="text1"/>
          <w:sz w:val="24"/>
          <w:szCs w:val="24"/>
          <w:lang w:val="en-US" w:eastAsia="zh-CN"/>
          <w14:textFill>
            <w14:solidFill>
              <w14:schemeClr w14:val="tx1"/>
            </w14:solidFill>
          </w14:textFill>
        </w:rPr>
        <w:t>(TME)”，此法有效改善了直肠癌患者的预后问题，使</w:t>
      </w:r>
      <w:r>
        <w:rPr>
          <w:rFonts w:ascii="Times New Roman" w:hAnsi="Times New Roman" w:eastAsia="宋体" w:cs="Times New Roman"/>
          <w:bCs/>
          <w:color w:val="000000" w:themeColor="text1"/>
          <w:sz w:val="24"/>
          <w:szCs w:val="24"/>
          <w14:textFill>
            <w14:solidFill>
              <w14:schemeClr w14:val="tx1"/>
            </w14:solidFill>
          </w14:textFill>
        </w:rPr>
        <w:t>局部复发率显著降低，同时也提高了低位直肠癌的保肛率。</w:t>
      </w:r>
    </w:p>
    <w:p>
      <w:pPr>
        <w:widowControl/>
        <w:spacing w:before="156" w:beforeLines="50" w:line="360" w:lineRule="atLeast"/>
        <w:ind w:firstLine="480" w:firstLineChars="200"/>
        <w:jc w:val="left"/>
        <w:rPr>
          <w:rFonts w:hint="eastAsia" w:ascii="宋体" w:hAnsi="宋体" w:eastAsia="宋体" w:cs="宋体"/>
          <w:b/>
          <w:bCs/>
          <w:sz w:val="24"/>
          <w:szCs w:val="24"/>
          <w:lang w:val="en-US" w:eastAsia="zh-CN"/>
        </w:rPr>
      </w:pPr>
      <w:r>
        <w:rPr>
          <w:rFonts w:hint="eastAsia" w:ascii="Times New Roman" w:hAnsi="Times New Roman" w:eastAsia="宋体" w:cs="Times New Roman"/>
          <w:bCs/>
          <w:color w:val="000000" w:themeColor="text1"/>
          <w:sz w:val="24"/>
          <w:szCs w:val="24"/>
          <w:lang w:val="en-US" w:eastAsia="zh-CN"/>
          <w14:textFill>
            <w14:solidFill>
              <w14:schemeClr w14:val="tx1"/>
            </w14:solidFill>
          </w14:textFill>
        </w:rPr>
        <w:t>而在CRT与TME 中间，为</w:t>
      </w:r>
      <w:r>
        <w:rPr>
          <w:rFonts w:ascii="Times New Roman" w:hAnsi="Times New Roman" w:eastAsia="宋体" w:cs="Times New Roman"/>
          <w:sz w:val="24"/>
          <w:szCs w:val="24"/>
        </w:rPr>
        <w:t>评估原发肿瘤</w:t>
      </w:r>
      <w:r>
        <w:rPr>
          <w:rFonts w:hint="eastAsia" w:ascii="Times New Roman" w:hAnsi="Times New Roman" w:eastAsia="宋体" w:cs="Times New Roman"/>
          <w:sz w:val="24"/>
          <w:szCs w:val="24"/>
          <w:lang w:val="en-US" w:eastAsia="zh-CN"/>
        </w:rPr>
        <w:t>对CRT</w:t>
      </w:r>
      <w:r>
        <w:rPr>
          <w:rFonts w:ascii="Times New Roman" w:hAnsi="Times New Roman" w:eastAsia="宋体" w:cs="Times New Roman"/>
          <w:sz w:val="24"/>
          <w:szCs w:val="24"/>
        </w:rPr>
        <w:t>的治疗反应，以判断患者是否需要继续接受手术治疗或选择何种手术方式</w:t>
      </w:r>
      <w:r>
        <w:rPr>
          <w:rFonts w:hint="eastAsia" w:ascii="Times New Roman" w:hAnsi="Times New Roman" w:eastAsia="宋体" w:cs="Times New Roman"/>
          <w:sz w:val="24"/>
          <w:szCs w:val="24"/>
          <w:lang w:eastAsia="zh-CN"/>
        </w:rPr>
        <w:t>，</w:t>
      </w:r>
      <w:r>
        <w:rPr>
          <w:rFonts w:hint="eastAsia" w:ascii="宋体" w:hAnsi="宋体" w:eastAsia="宋体" w:cs="宋体"/>
          <w:sz w:val="24"/>
          <w:szCs w:val="24"/>
          <w:lang w:val="en-US" w:eastAsia="zh-CN"/>
        </w:rPr>
        <w:t>通常</w:t>
      </w:r>
      <w:r>
        <w:rPr>
          <w:rFonts w:hint="eastAsia" w:ascii="宋体" w:hAnsi="宋体" w:eastAsia="宋体" w:cs="宋体"/>
          <w:sz w:val="24"/>
          <w:szCs w:val="24"/>
        </w:rPr>
        <w:t>在</w:t>
      </w:r>
      <w:r>
        <w:rPr>
          <w:rFonts w:hint="eastAsia" w:ascii="宋体" w:hAnsi="宋体" w:eastAsia="宋体" w:cs="宋体"/>
          <w:sz w:val="24"/>
          <w:szCs w:val="24"/>
          <w:lang w:val="en-US" w:eastAsia="zh-CN"/>
        </w:rPr>
        <w:t>n</w:t>
      </w:r>
      <w:r>
        <w:rPr>
          <w:rFonts w:hint="eastAsia" w:ascii="宋体" w:hAnsi="宋体" w:eastAsia="宋体" w:cs="宋体"/>
          <w:sz w:val="24"/>
          <w:szCs w:val="24"/>
        </w:rPr>
        <w:t>CRT</w:t>
      </w:r>
      <w:r>
        <w:rPr>
          <w:rFonts w:hint="eastAsia" w:ascii="宋体" w:hAnsi="宋体" w:eastAsia="宋体" w:cs="宋体"/>
          <w:b w:val="0"/>
          <w:bCs w:val="0"/>
          <w:sz w:val="24"/>
          <w:szCs w:val="24"/>
        </w:rPr>
        <w:t>后的</w:t>
      </w:r>
      <w:r>
        <w:rPr>
          <w:rFonts w:hint="eastAsia" w:ascii="宋体" w:hAnsi="宋体" w:eastAsia="宋体" w:cs="宋体"/>
          <w:b w:val="0"/>
          <w:bCs w:val="0"/>
          <w:sz w:val="24"/>
          <w:szCs w:val="24"/>
          <w:highlight w:val="none"/>
        </w:rPr>
        <w:t>6-8周</w:t>
      </w:r>
      <w:r>
        <w:rPr>
          <w:rFonts w:hint="eastAsia" w:ascii="宋体" w:hAnsi="宋体" w:eastAsia="宋体" w:cs="宋体"/>
          <w:b w:val="0"/>
          <w:bCs w:val="0"/>
          <w:sz w:val="24"/>
          <w:szCs w:val="24"/>
          <w:lang w:val="en-US" w:eastAsia="zh-CN"/>
        </w:rPr>
        <w:t>采</w:t>
      </w:r>
      <w:r>
        <w:rPr>
          <w:rFonts w:hint="eastAsia" w:ascii="宋体" w:hAnsi="宋体" w:eastAsia="宋体" w:cs="宋体"/>
          <w:b w:val="0"/>
          <w:bCs w:val="0"/>
          <w:sz w:val="24"/>
          <w:szCs w:val="24"/>
        </w:rPr>
        <w:t>用</w:t>
      </w:r>
      <w:r>
        <w:rPr>
          <w:rFonts w:hint="eastAsia" w:ascii="宋体" w:hAnsi="宋体" w:eastAsia="宋体" w:cs="宋体"/>
          <w:b w:val="0"/>
          <w:bCs w:val="0"/>
          <w:sz w:val="24"/>
          <w:szCs w:val="24"/>
          <w:lang w:val="en-US" w:eastAsia="zh-CN"/>
        </w:rPr>
        <w:t>了</w:t>
      </w:r>
      <w:r>
        <w:rPr>
          <w:rFonts w:hint="eastAsia" w:ascii="宋体" w:hAnsi="宋体" w:eastAsia="宋体" w:cs="宋体"/>
          <w:b w:val="0"/>
          <w:bCs w:val="0"/>
          <w:sz w:val="24"/>
          <w:szCs w:val="24"/>
        </w:rPr>
        <w:t>肿瘤消退分级（</w:t>
      </w:r>
      <w:r>
        <w:rPr>
          <w:rFonts w:hint="eastAsia" w:ascii="宋体" w:hAnsi="宋体" w:eastAsia="宋体" w:cs="宋体"/>
          <w:b w:val="0"/>
          <w:bCs w:val="0"/>
          <w:sz w:val="24"/>
          <w:szCs w:val="24"/>
          <w:highlight w:val="none"/>
        </w:rPr>
        <w:t>TRG</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的方法来判断</w:t>
      </w:r>
      <w:r>
        <w:rPr>
          <w:rFonts w:hint="eastAsia" w:ascii="宋体" w:hAnsi="宋体" w:eastAsia="宋体" w:cs="宋体"/>
          <w:b/>
          <w:bCs/>
          <w:sz w:val="24"/>
          <w:szCs w:val="24"/>
          <w:lang w:val="en-US" w:eastAsia="zh-CN"/>
        </w:rPr>
        <w:t>。</w:t>
      </w:r>
    </w:p>
    <w:p>
      <w:pPr>
        <w:widowControl/>
        <w:spacing w:before="156" w:beforeLines="50" w:line="360" w:lineRule="atLeast"/>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但实际上，从另一个角度出发，</w:t>
      </w:r>
      <w:r>
        <w:rPr>
          <w:rFonts w:hint="eastAsia" w:ascii="宋体" w:hAnsi="宋体" w:eastAsia="宋体" w:cs="宋体"/>
          <w:sz w:val="24"/>
          <w:szCs w:val="24"/>
          <w:highlight w:val="none"/>
          <w:u w:val="none"/>
        </w:rPr>
        <w:t>盆腔转移淋巴结</w:t>
      </w:r>
      <w:r>
        <w:rPr>
          <w:rFonts w:hint="eastAsia" w:ascii="宋体" w:hAnsi="宋体" w:eastAsia="宋体" w:cs="宋体"/>
          <w:sz w:val="24"/>
          <w:szCs w:val="24"/>
          <w:highlight w:val="none"/>
          <w:u w:val="none"/>
          <w:lang w:val="en-US" w:eastAsia="zh-CN"/>
        </w:rPr>
        <w:t>对于该问题的评估同样具有重要的临床意义,因此，在</w:t>
      </w:r>
      <w:r>
        <w:rPr>
          <w:rFonts w:hint="eastAsia" w:ascii="宋体" w:hAnsi="宋体" w:eastAsia="宋体" w:cs="宋体"/>
          <w:sz w:val="24"/>
          <w:szCs w:val="24"/>
        </w:rPr>
        <w:t>术前难以获取淋巴结组织标本</w:t>
      </w:r>
      <w:r>
        <w:rPr>
          <w:rFonts w:hint="eastAsia" w:ascii="宋体" w:hAnsi="宋体" w:eastAsia="宋体" w:cs="宋体"/>
          <w:sz w:val="24"/>
          <w:szCs w:val="24"/>
          <w:lang w:val="en-US" w:eastAsia="zh-CN"/>
        </w:rPr>
        <w:t>的难题下，怎样</w:t>
      </w:r>
      <w:r>
        <w:rPr>
          <w:rFonts w:hint="eastAsia" w:ascii="宋体" w:hAnsi="宋体" w:eastAsia="宋体" w:cs="宋体"/>
          <w:sz w:val="24"/>
          <w:szCs w:val="24"/>
        </w:rPr>
        <w:t>建</w:t>
      </w:r>
      <w:r>
        <w:rPr>
          <w:rFonts w:hint="eastAsia" w:ascii="宋体" w:hAnsi="宋体" w:eastAsia="宋体" w:cs="宋体"/>
          <w:b w:val="0"/>
          <w:bCs w:val="0"/>
          <w:sz w:val="24"/>
          <w:szCs w:val="24"/>
        </w:rPr>
        <w:t>立nCRT后淋巴结消退分级(LRG）模型</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从而在淋巴结的角度上来进行评估，成为我们需要解决的问题。在这个模型中，我们至少需要有对：影响LRG的关键因素，分级标准的制定，与TRG的关系探讨，这三个问题的探讨。并尽可能地在其他方面丰富拓展完善这个模型。</w:t>
      </w:r>
    </w:p>
    <w:p>
      <w:pPr>
        <w:autoSpaceDE w:val="0"/>
        <w:autoSpaceDN w:val="0"/>
        <w:adjustRightInd w:val="0"/>
        <w:spacing w:before="156" w:beforeLines="50" w:line="360" w:lineRule="atLeast"/>
        <w:ind w:firstLine="480" w:firstLineChars="200"/>
        <w:jc w:val="left"/>
        <w:rPr>
          <w:rFonts w:hint="eastAsia" w:ascii="宋体" w:hAnsi="宋体" w:eastAsia="宋体" w:cs="宋体"/>
          <w:sz w:val="24"/>
          <w:szCs w:val="24"/>
        </w:rPr>
      </w:pPr>
      <w:r>
        <w:rPr>
          <w:rFonts w:hint="eastAsia" w:ascii="宋体" w:hAnsi="宋体" w:eastAsia="宋体" w:cs="宋体"/>
          <w:b w:val="0"/>
          <w:bCs w:val="0"/>
          <w:sz w:val="24"/>
          <w:szCs w:val="24"/>
          <w:lang w:val="en-US" w:eastAsia="zh-CN"/>
        </w:rPr>
        <w:t>最后，面向某医院</w:t>
      </w:r>
      <w:r>
        <w:rPr>
          <w:rFonts w:hint="eastAsia" w:ascii="宋体" w:hAnsi="宋体" w:eastAsia="宋体" w:cs="宋体"/>
          <w:sz w:val="24"/>
          <w:szCs w:val="24"/>
        </w:rPr>
        <w:t>撰写一个1-2页</w:t>
      </w:r>
      <w:r>
        <w:rPr>
          <w:rFonts w:hint="eastAsia" w:ascii="宋体" w:hAnsi="宋体" w:eastAsia="宋体" w:cs="宋体"/>
          <w:sz w:val="24"/>
          <w:szCs w:val="24"/>
          <w:lang w:val="en-US" w:eastAsia="zh-CN"/>
        </w:rPr>
        <w:t>的</w:t>
      </w:r>
      <w:r>
        <w:rPr>
          <w:rFonts w:hint="eastAsia" w:ascii="宋体" w:hAnsi="宋体" w:eastAsia="宋体" w:cs="宋体"/>
          <w:b w:val="0"/>
          <w:bCs w:val="0"/>
          <w:sz w:val="24"/>
          <w:szCs w:val="24"/>
          <w:highlight w:val="none"/>
        </w:rPr>
        <w:t>非技术性报</w:t>
      </w:r>
      <w:r>
        <w:rPr>
          <w:rFonts w:hint="eastAsia" w:ascii="宋体" w:hAnsi="宋体" w:eastAsia="宋体" w:cs="宋体"/>
          <w:sz w:val="24"/>
          <w:szCs w:val="24"/>
          <w:highlight w:val="none"/>
        </w:rPr>
        <w:t>告</w:t>
      </w:r>
      <w:r>
        <w:rPr>
          <w:rFonts w:hint="eastAsia" w:ascii="宋体" w:hAnsi="宋体" w:eastAsia="宋体" w:cs="宋体"/>
          <w:sz w:val="24"/>
          <w:szCs w:val="24"/>
        </w:rPr>
        <w:t>，推广</w:t>
      </w:r>
      <w:r>
        <w:rPr>
          <w:rFonts w:hint="eastAsia" w:ascii="宋体" w:hAnsi="宋体" w:eastAsia="宋体" w:cs="宋体"/>
          <w:sz w:val="24"/>
          <w:szCs w:val="24"/>
          <w:lang w:val="en-US" w:eastAsia="zh-CN"/>
        </w:rPr>
        <w:t>我们</w:t>
      </w:r>
      <w:r>
        <w:rPr>
          <w:rFonts w:hint="eastAsia" w:ascii="宋体" w:hAnsi="宋体" w:eastAsia="宋体" w:cs="宋体"/>
          <w:sz w:val="24"/>
          <w:szCs w:val="24"/>
        </w:rPr>
        <w:t>的研究结果。</w:t>
      </w:r>
    </w:p>
    <w:p>
      <w:pPr>
        <w:autoSpaceDE w:val="0"/>
        <w:autoSpaceDN w:val="0"/>
        <w:adjustRightInd w:val="0"/>
        <w:spacing w:before="156" w:beforeLines="50" w:line="360" w:lineRule="atLeast"/>
        <w:jc w:val="left"/>
        <w:rPr>
          <w:rFonts w:hint="eastAsia" w:ascii="宋体" w:hAnsi="宋体" w:eastAsia="宋体" w:cs="宋体"/>
          <w:sz w:val="28"/>
          <w:szCs w:val="28"/>
        </w:rPr>
      </w:pPr>
    </w:p>
    <w:p>
      <w:pPr>
        <w:pStyle w:val="3"/>
        <w:numPr>
          <w:ilvl w:val="0"/>
          <w:numId w:val="1"/>
        </w:numPr>
        <w:bidi w:val="0"/>
        <w:ind w:left="210" w:leftChars="0" w:firstLineChars="0"/>
        <w:jc w:val="center"/>
        <w:outlineLvl w:val="0"/>
        <w:rPr>
          <w:rFonts w:hint="eastAsia"/>
          <w:lang w:val="en-US" w:eastAsia="zh-CN"/>
        </w:rPr>
      </w:pPr>
      <w:bookmarkStart w:id="9" w:name="_Toc14428"/>
      <w:bookmarkStart w:id="10" w:name="_Toc7252"/>
      <w:bookmarkStart w:id="11" w:name="_Toc25681"/>
      <w:bookmarkStart w:id="12" w:name="_Toc12523"/>
      <w:r>
        <w:rPr>
          <w:rFonts w:hint="eastAsia"/>
        </w:rPr>
        <w:t>问题分析</w:t>
      </w:r>
      <w:bookmarkEnd w:id="9"/>
      <w:bookmarkEnd w:id="10"/>
      <w:bookmarkEnd w:id="11"/>
      <w:bookmarkEnd w:id="12"/>
    </w:p>
    <w:p>
      <w:pPr>
        <w:pStyle w:val="4"/>
        <w:bidi w:val="0"/>
        <w:outlineLvl w:val="1"/>
        <w:rPr>
          <w:rFonts w:hint="eastAsia" w:ascii="宋体" w:hAnsi="宋体" w:eastAsia="宋体" w:cs="宋体"/>
          <w:b w:val="0"/>
          <w:bCs w:val="0"/>
          <w:color w:val="000000"/>
          <w:kern w:val="0"/>
          <w:sz w:val="24"/>
          <w:szCs w:val="24"/>
          <w:lang w:val="en-US" w:eastAsia="zh-CN" w:bidi="ar"/>
        </w:rPr>
      </w:pPr>
      <w:bookmarkStart w:id="13" w:name="_Toc460"/>
      <w:bookmarkStart w:id="14" w:name="_Toc14055"/>
      <w:bookmarkStart w:id="15" w:name="_Toc15450"/>
      <w:r>
        <w:rPr>
          <w:rFonts w:hint="eastAsia"/>
          <w:lang w:val="en-US" w:eastAsia="zh-CN"/>
        </w:rPr>
        <w:t>2.1 问题1——影响LRG的关键因素的讨论</w:t>
      </w:r>
      <w:bookmarkEnd w:id="13"/>
      <w:bookmarkEnd w:id="14"/>
      <w:bookmarkEnd w:id="15"/>
    </w:p>
    <w:p>
      <w:pPr>
        <w:autoSpaceDE w:val="0"/>
        <w:autoSpaceDN w:val="0"/>
        <w:adjustRightInd w:val="0"/>
        <w:spacing w:before="156" w:beforeLines="50" w:line="360" w:lineRule="atLeast"/>
        <w:ind w:firstLine="720" w:firstLineChars="3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首先，通过分析直肠癌治疗临床数据表，获取以下若干关键信息：诊断结果、放化疗方案、化疗周期、随访结果、术前术后TRG评估、放疗野淋巴结的位置、放疗野淋巴结的数量。</w:t>
      </w:r>
    </w:p>
    <w:p>
      <w:pPr>
        <w:autoSpaceDE w:val="0"/>
        <w:autoSpaceDN w:val="0"/>
        <w:adjustRightInd w:val="0"/>
        <w:spacing w:before="156" w:beforeLines="50" w:line="360" w:lineRule="atLeast"/>
        <w:ind w:firstLine="720" w:firstLineChars="3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然后，我们结合LRG和实际情况，从这几个关键信息进行了初步排除与选择。我们初步排除了：随访结果、术前术后的TRG评估。理由如下：随访结果本身可以被后面数据的有无所取代，所以该因素排除；TRG和LRG是同一问题的两个方法，不能互相证明，该因素应当被应用在第三个问题上。</w:t>
      </w:r>
    </w:p>
    <w:p>
      <w:pPr>
        <w:autoSpaceDE w:val="0"/>
        <w:autoSpaceDN w:val="0"/>
        <w:adjustRightInd w:val="0"/>
        <w:spacing w:before="156" w:beforeLines="50" w:line="360" w:lineRule="atLeast"/>
        <w:ind w:firstLine="720" w:firstLineChars="3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由此，我们继续猜想：A.诊断结果、B.放化疗方案、C.化疗周期、D.放疗野淋巴结的位置、E.放疗野淋巴结的数量是否为影响LRG的关键因素。</w:t>
      </w:r>
    </w:p>
    <w:p>
      <w:pPr>
        <w:autoSpaceDE w:val="0"/>
        <w:autoSpaceDN w:val="0"/>
        <w:adjustRightInd w:val="0"/>
        <w:spacing w:before="156" w:beforeLines="50" w:line="360" w:lineRule="atLeast"/>
        <w:ind w:firstLine="720" w:firstLineChars="3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我们认为，淋巴结的消退分级（LRG）与术后淋巴结的转移与淋巴结的位置和数量的前后变化两个参量有关。</w:t>
      </w:r>
    </w:p>
    <w:p>
      <w:pPr>
        <w:autoSpaceDE w:val="0"/>
        <w:autoSpaceDN w:val="0"/>
        <w:adjustRightInd w:val="0"/>
        <w:spacing w:before="156" w:beforeLines="50" w:line="360" w:lineRule="atLeast"/>
        <w:ind w:firstLine="720" w:firstLineChars="30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理由如下：</w:t>
      </w:r>
      <w:r>
        <w:rPr>
          <w:rFonts w:hint="eastAsia" w:ascii="宋体" w:hAnsi="宋体" w:eastAsia="宋体"/>
          <w:sz w:val="24"/>
          <w:szCs w:val="24"/>
        </w:rPr>
        <w:t>淋巴结</w:t>
      </w:r>
      <w:r>
        <w:rPr>
          <w:rFonts w:hint="eastAsia" w:ascii="宋体" w:hAnsi="宋体" w:eastAsia="宋体"/>
          <w:sz w:val="24"/>
          <w:szCs w:val="24"/>
          <w:lang w:val="en-US" w:eastAsia="zh-CN"/>
        </w:rPr>
        <w:t>转移</w:t>
      </w:r>
      <w:r>
        <w:rPr>
          <w:rFonts w:hint="eastAsia" w:ascii="宋体" w:hAnsi="宋体" w:eastAsia="宋体"/>
          <w:sz w:val="24"/>
          <w:szCs w:val="24"/>
        </w:rPr>
        <w:t>是人体内的自发过程，即需要过程和时间，且基本不受外界影响，而手术过程可以近似认为很短，不对其产生影响。所以可以推断，术后得到的淋巴结转移情况和增减情况可以认为是放疗过后淋巴结对治疗情况的反映。</w:t>
      </w:r>
    </w:p>
    <w:p>
      <w:pPr>
        <w:autoSpaceDE w:val="0"/>
        <w:autoSpaceDN w:val="0"/>
        <w:adjustRightInd w:val="0"/>
        <w:spacing w:before="156" w:beforeLines="50" w:line="360" w:lineRule="atLeast"/>
        <w:ind w:firstLine="720" w:firstLineChars="3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A.诊断结果、B.放化疗方案、C.化疗周期，我们可以用卡方模型分别验证这三个因素与术后淋巴结的转移和淋巴结的位置和数量有无关系。</w:t>
      </w:r>
    </w:p>
    <w:p>
      <w:pPr>
        <w:autoSpaceDE w:val="0"/>
        <w:autoSpaceDN w:val="0"/>
        <w:adjustRightInd w:val="0"/>
        <w:spacing w:before="156" w:beforeLines="50" w:line="360" w:lineRule="atLeast"/>
        <w:ind w:firstLine="720" w:firstLineChars="3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D.放疗野淋巴结的位置、E.放疗野淋巴结的数量。对于淋巴结的位置，可以通过前后变化关系判断。对于淋巴结的数量，可以用n*n回归模型判断该因素与淋巴结位置的前后变化的具体关系。</w:t>
      </w:r>
    </w:p>
    <w:p>
      <w:pPr>
        <w:autoSpaceDE w:val="0"/>
        <w:autoSpaceDN w:val="0"/>
        <w:adjustRightInd w:val="0"/>
        <w:spacing w:before="156" w:beforeLines="50" w:line="360" w:lineRule="atLeast"/>
        <w:ind w:firstLine="720" w:firstLineChars="3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通过两个模型的求解，我们可以更准确地判断出影响LRG的具体因素。</w:t>
      </w:r>
    </w:p>
    <w:p>
      <w:pPr>
        <w:autoSpaceDE w:val="0"/>
        <w:autoSpaceDN w:val="0"/>
        <w:adjustRightInd w:val="0"/>
        <w:spacing w:before="156" w:beforeLines="50" w:line="360" w:lineRule="atLeast"/>
        <w:ind w:firstLine="720" w:firstLineChars="3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下面是该问题的思维导图</w:t>
      </w:r>
    </w:p>
    <w:p>
      <w:pPr>
        <w:autoSpaceDE w:val="0"/>
        <w:autoSpaceDN w:val="0"/>
        <w:adjustRightInd w:val="0"/>
        <w:spacing w:before="156" w:beforeLines="50" w:line="360" w:lineRule="atLeast"/>
        <w:ind w:firstLine="720" w:firstLineChars="300"/>
        <w:jc w:val="left"/>
        <w:rPr>
          <w:rFonts w:hint="default" w:ascii="宋体" w:hAnsi="宋体" w:eastAsia="宋体" w:cs="宋体"/>
          <w:b w:val="0"/>
          <w:bCs w:val="0"/>
          <w:color w:val="000000"/>
          <w:kern w:val="0"/>
          <w:sz w:val="24"/>
          <w:szCs w:val="24"/>
          <w:lang w:val="en-US" w:eastAsia="zh-CN" w:bidi="ar"/>
        </w:rPr>
      </w:pPr>
    </w:p>
    <w:p>
      <w:pPr>
        <w:autoSpaceDE w:val="0"/>
        <w:autoSpaceDN w:val="0"/>
        <w:adjustRightInd w:val="0"/>
        <w:spacing w:before="156" w:beforeLines="50" w:line="360" w:lineRule="atLeast"/>
        <w:ind w:firstLine="720" w:firstLineChars="300"/>
        <w:jc w:val="left"/>
        <w:rPr>
          <w:rFonts w:hint="default" w:ascii="宋体" w:hAnsi="宋体" w:eastAsia="宋体" w:cs="宋体"/>
          <w:b w:val="0"/>
          <w:bCs w:val="0"/>
          <w:color w:val="000000"/>
          <w:kern w:val="0"/>
          <w:sz w:val="24"/>
          <w:szCs w:val="24"/>
          <w:lang w:val="en-US" w:eastAsia="zh-CN" w:bidi="ar"/>
        </w:rPr>
      </w:pPr>
      <w:r>
        <w:rPr>
          <w:rFonts w:hint="default" w:ascii="宋体" w:hAnsi="宋体" w:eastAsia="宋体" w:cs="宋体"/>
          <w:b w:val="0"/>
          <w:bCs w:val="0"/>
          <w:color w:val="000000"/>
          <w:kern w:val="0"/>
          <w:sz w:val="24"/>
          <w:szCs w:val="24"/>
          <w:lang w:val="en-US" w:eastAsia="zh-CN" w:bidi="ar"/>
        </w:rPr>
        <w:drawing>
          <wp:inline distT="0" distB="0" distL="114300" distR="114300">
            <wp:extent cx="6184265" cy="1791335"/>
            <wp:effectExtent l="0" t="0" r="635" b="12065"/>
            <wp:docPr id="1" name="图片 1" descr="淋巴消退分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淋巴消退分级"/>
                    <pic:cNvPicPr>
                      <a:picLocks noChangeAspect="1"/>
                    </pic:cNvPicPr>
                  </pic:nvPicPr>
                  <pic:blipFill>
                    <a:blip r:embed="rId5"/>
                    <a:stretch>
                      <a:fillRect/>
                    </a:stretch>
                  </pic:blipFill>
                  <pic:spPr>
                    <a:xfrm>
                      <a:off x="0" y="0"/>
                      <a:ext cx="6184265" cy="1791335"/>
                    </a:xfrm>
                    <a:prstGeom prst="rect">
                      <a:avLst/>
                    </a:prstGeom>
                  </pic:spPr>
                </pic:pic>
              </a:graphicData>
            </a:graphic>
          </wp:inline>
        </w:drawing>
      </w:r>
    </w:p>
    <w:p>
      <w:pPr>
        <w:pStyle w:val="4"/>
        <w:bidi w:val="0"/>
        <w:outlineLvl w:val="1"/>
        <w:rPr>
          <w:rFonts w:hint="eastAsia"/>
          <w:lang w:val="en-US" w:eastAsia="zh-CN"/>
        </w:rPr>
      </w:pPr>
      <w:bookmarkStart w:id="16" w:name="_Toc29645"/>
      <w:bookmarkStart w:id="17" w:name="_Toc14312"/>
      <w:r>
        <w:rPr>
          <w:rFonts w:hint="eastAsia"/>
          <w:lang w:val="en-US" w:eastAsia="zh-CN"/>
        </w:rPr>
        <w:t>2.2 问题2——淋巴结消退分级标准的制定</w:t>
      </w:r>
      <w:bookmarkEnd w:id="16"/>
      <w:bookmarkEnd w:id="17"/>
    </w:p>
    <w:p>
      <w:pPr>
        <w:autoSpaceDE w:val="0"/>
        <w:autoSpaceDN w:val="0"/>
        <w:adjustRightInd w:val="0"/>
        <w:spacing w:before="156" w:beforeLines="50" w:line="360" w:lineRule="atLeast"/>
        <w:ind w:firstLine="720" w:firstLineChars="300"/>
        <w:jc w:val="left"/>
        <w:rPr>
          <w:rFonts w:hint="eastAsia" w:ascii="宋体" w:hAnsi="宋体" w:eastAsia="宋体" w:cs="宋体"/>
          <w:sz w:val="24"/>
          <w:szCs w:val="24"/>
        </w:rPr>
      </w:pPr>
      <w:r>
        <w:rPr>
          <w:rFonts w:hint="eastAsia" w:ascii="宋体" w:hAnsi="宋体" w:eastAsia="宋体" w:cs="宋体"/>
          <w:sz w:val="24"/>
          <w:szCs w:val="24"/>
        </w:rPr>
        <w:t>在问题一中</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我们初步判断了五个影响LRG的因素：A.</w:t>
      </w:r>
      <w:r>
        <w:rPr>
          <w:rFonts w:hint="eastAsia" w:ascii="宋体" w:hAnsi="宋体" w:eastAsia="宋体" w:cs="宋体"/>
          <w:sz w:val="24"/>
          <w:szCs w:val="24"/>
        </w:rPr>
        <w:t>诊断结果、</w:t>
      </w:r>
      <w:r>
        <w:rPr>
          <w:rFonts w:hint="eastAsia" w:ascii="宋体" w:hAnsi="宋体" w:eastAsia="宋体" w:cs="宋体"/>
          <w:sz w:val="24"/>
          <w:szCs w:val="24"/>
          <w:lang w:val="en-US" w:eastAsia="zh-CN"/>
        </w:rPr>
        <w:t>B.</w:t>
      </w:r>
      <w:r>
        <w:rPr>
          <w:rFonts w:hint="eastAsia" w:ascii="宋体" w:hAnsi="宋体" w:eastAsia="宋体" w:cs="宋体"/>
          <w:sz w:val="24"/>
          <w:szCs w:val="24"/>
        </w:rPr>
        <w:t>化疗方案、</w:t>
      </w:r>
      <w:r>
        <w:rPr>
          <w:rFonts w:hint="eastAsia" w:ascii="宋体" w:hAnsi="宋体" w:eastAsia="宋体" w:cs="宋体"/>
          <w:sz w:val="24"/>
          <w:szCs w:val="24"/>
          <w:lang w:val="en-US" w:eastAsia="zh-CN"/>
        </w:rPr>
        <w:t>C.化疗周期、D.</w:t>
      </w:r>
      <w:r>
        <w:rPr>
          <w:rFonts w:hint="eastAsia" w:ascii="宋体" w:hAnsi="宋体" w:eastAsia="宋体" w:cs="宋体"/>
          <w:sz w:val="24"/>
          <w:szCs w:val="24"/>
          <w:lang w:eastAsia="zh-CN"/>
        </w:rPr>
        <w:t>放疗野</w:t>
      </w:r>
      <w:r>
        <w:rPr>
          <w:rFonts w:hint="eastAsia" w:ascii="宋体" w:hAnsi="宋体" w:eastAsia="宋体" w:cs="宋体"/>
          <w:sz w:val="24"/>
          <w:szCs w:val="24"/>
        </w:rPr>
        <w:t>的淋巴结位置、</w:t>
      </w:r>
      <w:r>
        <w:rPr>
          <w:rFonts w:hint="eastAsia" w:ascii="宋体" w:hAnsi="宋体" w:eastAsia="宋体" w:cs="宋体"/>
          <w:sz w:val="24"/>
          <w:szCs w:val="24"/>
          <w:lang w:val="en-US" w:eastAsia="zh-CN"/>
        </w:rPr>
        <w:t>E.</w:t>
      </w:r>
      <w:r>
        <w:rPr>
          <w:rFonts w:hint="eastAsia" w:ascii="宋体" w:hAnsi="宋体" w:eastAsia="宋体" w:cs="宋体"/>
          <w:sz w:val="24"/>
          <w:szCs w:val="24"/>
          <w:lang w:eastAsia="zh-CN"/>
        </w:rPr>
        <w:t>放疗野</w:t>
      </w:r>
      <w:r>
        <w:rPr>
          <w:rFonts w:hint="eastAsia" w:ascii="宋体" w:hAnsi="宋体" w:eastAsia="宋体" w:cs="宋体"/>
          <w:sz w:val="24"/>
          <w:szCs w:val="24"/>
        </w:rPr>
        <w:t>的淋巴结数目。</w:t>
      </w:r>
    </w:p>
    <w:p>
      <w:pPr>
        <w:autoSpaceDE w:val="0"/>
        <w:autoSpaceDN w:val="0"/>
        <w:adjustRightInd w:val="0"/>
        <w:spacing w:before="156" w:beforeLines="50" w:line="360" w:lineRule="atLeast"/>
        <w:ind w:firstLine="720" w:firstLineChars="300"/>
        <w:jc w:val="left"/>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若这五个影响因素均通过检验，那么它们均对淋巴结消退分级标准的制定有影响。</w:t>
      </w:r>
      <w:bookmarkStart w:id="18" w:name="_Toc26901"/>
      <w:r>
        <w:rPr>
          <w:rFonts w:hint="eastAsia" w:ascii="宋体" w:hAnsi="宋体" w:eastAsia="宋体" w:cs="宋体"/>
          <w:b w:val="0"/>
          <w:bCs w:val="0"/>
          <w:sz w:val="24"/>
          <w:szCs w:val="24"/>
          <w:lang w:val="en-US" w:eastAsia="zh-CN"/>
        </w:rPr>
        <w:t>但关键问题是，这五个因素对LRG的标准制定的分别的影响权重是多少？为了解决该问题，我们</w:t>
      </w:r>
      <w:r>
        <w:rPr>
          <w:rFonts w:hint="eastAsia" w:cs="宋体"/>
          <w:b w:val="0"/>
          <w:bCs w:val="0"/>
          <w:sz w:val="24"/>
          <w:szCs w:val="24"/>
          <w:lang w:val="en-US" w:eastAsia="zh-CN"/>
        </w:rPr>
        <w:t>可以</w:t>
      </w:r>
      <w:r>
        <w:rPr>
          <w:rFonts w:hint="eastAsia" w:ascii="宋体" w:hAnsi="宋体" w:eastAsia="宋体" w:cs="宋体"/>
          <w:b w:val="0"/>
          <w:bCs w:val="0"/>
          <w:sz w:val="24"/>
          <w:szCs w:val="24"/>
          <w:lang w:val="en-US" w:eastAsia="zh-CN"/>
        </w:rPr>
        <w:t>采用</w:t>
      </w:r>
      <w:r>
        <w:rPr>
          <w:rFonts w:hint="eastAsia" w:ascii="宋体" w:hAnsi="宋体" w:eastAsia="宋体" w:cs="宋体"/>
          <w:b w:val="0"/>
          <w:bCs w:val="0"/>
          <w:i w:val="0"/>
          <w:iCs w:val="0"/>
          <w:caps w:val="0"/>
          <w:color w:val="222226"/>
          <w:spacing w:val="0"/>
          <w:sz w:val="24"/>
          <w:szCs w:val="24"/>
          <w:shd w:val="clear" w:fill="FFFFFF"/>
        </w:rPr>
        <w:t>熵权法(EWM)</w:t>
      </w:r>
      <w:r>
        <w:rPr>
          <w:rFonts w:hint="eastAsia" w:ascii="宋体" w:hAnsi="宋体" w:eastAsia="宋体" w:cs="宋体"/>
          <w:b w:val="0"/>
          <w:bCs w:val="0"/>
          <w:i w:val="0"/>
          <w:iCs w:val="0"/>
          <w:caps w:val="0"/>
          <w:color w:val="222226"/>
          <w:spacing w:val="0"/>
          <w:sz w:val="24"/>
          <w:szCs w:val="24"/>
          <w:shd w:val="clear" w:fill="FFFFFF"/>
          <w:lang w:eastAsia="zh-CN"/>
        </w:rPr>
        <w:t>，</w:t>
      </w:r>
      <w:r>
        <w:rPr>
          <w:rFonts w:hint="eastAsia" w:ascii="宋体" w:hAnsi="宋体" w:eastAsia="宋体" w:cs="宋体"/>
          <w:b w:val="0"/>
          <w:bCs w:val="0"/>
          <w:i w:val="0"/>
          <w:iCs w:val="0"/>
          <w:caps w:val="0"/>
          <w:color w:val="222226"/>
          <w:spacing w:val="0"/>
          <w:sz w:val="24"/>
          <w:szCs w:val="24"/>
          <w:shd w:val="clear" w:fill="FFFFFF"/>
          <w:lang w:val="en-US" w:eastAsia="zh-CN"/>
        </w:rPr>
        <w:t>通过客观赋权，</w:t>
      </w:r>
      <w:r>
        <w:rPr>
          <w:rFonts w:hint="eastAsia" w:ascii="宋体" w:hAnsi="宋体" w:eastAsia="宋体" w:cs="宋体"/>
          <w:b w:val="0"/>
          <w:bCs w:val="0"/>
          <w:i w:val="0"/>
          <w:iCs w:val="0"/>
          <w:caps w:val="0"/>
          <w:color w:val="4D4D4D"/>
          <w:spacing w:val="0"/>
          <w:sz w:val="24"/>
          <w:szCs w:val="24"/>
          <w:shd w:val="clear" w:fill="FFFFFF"/>
        </w:rPr>
        <w:t>权重用于计算最终得分</w:t>
      </w:r>
      <w:r>
        <w:rPr>
          <w:rFonts w:hint="eastAsia" w:ascii="宋体" w:hAnsi="宋体" w:eastAsia="宋体" w:cs="宋体"/>
          <w:b w:val="0"/>
          <w:bCs w:val="0"/>
          <w:i w:val="0"/>
          <w:iCs w:val="0"/>
          <w:caps w:val="0"/>
          <w:color w:val="4D4D4D"/>
          <w:spacing w:val="0"/>
          <w:sz w:val="24"/>
          <w:szCs w:val="24"/>
          <w:shd w:val="clear" w:fill="FFFFFF"/>
          <w:lang w:eastAsia="zh-CN"/>
        </w:rPr>
        <w:t>，</w:t>
      </w:r>
      <w:r>
        <w:rPr>
          <w:rFonts w:hint="eastAsia" w:ascii="宋体" w:hAnsi="宋体" w:eastAsia="宋体" w:cs="宋体"/>
          <w:b w:val="0"/>
          <w:bCs w:val="0"/>
          <w:i w:val="0"/>
          <w:iCs w:val="0"/>
          <w:caps w:val="0"/>
          <w:color w:val="4D4D4D"/>
          <w:spacing w:val="0"/>
          <w:sz w:val="24"/>
          <w:szCs w:val="24"/>
          <w:shd w:val="clear" w:fill="FFFFFF"/>
          <w:lang w:val="en-US" w:eastAsia="zh-CN"/>
        </w:rPr>
        <w:t>来得出一个具体的分级标准</w:t>
      </w:r>
      <w:r>
        <w:rPr>
          <w:rFonts w:hint="eastAsia" w:cs="宋体"/>
          <w:b w:val="0"/>
          <w:bCs w:val="0"/>
          <w:i w:val="0"/>
          <w:iCs w:val="0"/>
          <w:caps w:val="0"/>
          <w:color w:val="4D4D4D"/>
          <w:spacing w:val="0"/>
          <w:sz w:val="24"/>
          <w:szCs w:val="24"/>
          <w:shd w:val="clear" w:fill="FFFFFF"/>
          <w:lang w:val="en-US" w:eastAsia="zh-CN"/>
        </w:rPr>
        <w:t>。</w:t>
      </w:r>
      <w:bookmarkEnd w:id="18"/>
    </w:p>
    <w:p>
      <w:pPr>
        <w:pStyle w:val="4"/>
        <w:bidi w:val="0"/>
        <w:outlineLvl w:val="1"/>
        <w:rPr>
          <w:rFonts w:hint="eastAsia"/>
          <w:lang w:val="en-US" w:eastAsia="zh-CN"/>
        </w:rPr>
      </w:pPr>
      <w:bookmarkStart w:id="19" w:name="_Toc8447"/>
      <w:bookmarkStart w:id="20" w:name="_Toc19712"/>
      <w:r>
        <w:rPr>
          <w:rFonts w:hint="eastAsia"/>
          <w:lang w:val="en-US" w:eastAsia="zh-CN"/>
        </w:rPr>
        <w:t>2.3 问题3——LRG与TRG的关系探讨</w:t>
      </w:r>
      <w:bookmarkEnd w:id="19"/>
      <w:bookmarkEnd w:id="20"/>
    </w:p>
    <w:p>
      <w:pPr>
        <w:autoSpaceDE w:val="0"/>
        <w:autoSpaceDN w:val="0"/>
        <w:adjustRightInd w:val="0"/>
        <w:spacing w:before="156" w:beforeLines="50" w:line="360" w:lineRule="atLeast"/>
        <w:jc w:val="left"/>
        <w:rPr>
          <w:rFonts w:hint="default" w:ascii="黑体" w:hAnsi="黑体" w:eastAsia="宋体" w:cs="黑体"/>
          <w:b/>
          <w:bCs/>
          <w:color w:val="000000"/>
          <w:kern w:val="0"/>
          <w:sz w:val="30"/>
          <w:szCs w:val="30"/>
          <w:lang w:val="en-US" w:eastAsia="zh-CN" w:bidi="ar"/>
        </w:rPr>
      </w:pPr>
      <w:r>
        <w:rPr>
          <w:rFonts w:hint="eastAsia" w:ascii="黑体" w:hAnsi="黑体" w:eastAsia="黑体" w:cs="黑体"/>
          <w:b/>
          <w:bCs/>
          <w:color w:val="000000"/>
          <w:kern w:val="0"/>
          <w:sz w:val="30"/>
          <w:szCs w:val="30"/>
          <w:lang w:val="en-US" w:eastAsia="zh-CN" w:bidi="ar"/>
        </w:rPr>
        <w:t xml:space="preserve">   </w:t>
      </w:r>
      <w:r>
        <w:rPr>
          <w:rFonts w:hint="eastAsia" w:ascii="宋体" w:hAnsi="宋体" w:eastAsia="宋体" w:cs="宋体"/>
          <w:b w:val="0"/>
          <w:bCs w:val="0"/>
          <w:i w:val="0"/>
          <w:iCs w:val="0"/>
          <w:caps w:val="0"/>
          <w:color w:val="222226"/>
          <w:spacing w:val="0"/>
          <w:sz w:val="24"/>
          <w:szCs w:val="24"/>
          <w:shd w:val="clear" w:fill="FFFFFF"/>
          <w:lang w:val="en-US" w:eastAsia="zh-CN"/>
        </w:rPr>
        <w:t>在问题二中，我们确定了LRG的标准，然后我们可以根据附录表的患者数据，算出LRG的预测值，将其与TRG作比较，可以</w:t>
      </w:r>
      <w:r>
        <w:rPr>
          <w:rFonts w:hint="eastAsia" w:ascii="宋体" w:hAnsi="宋体" w:eastAsia="宋体" w:cs="宋体"/>
          <w:b w:val="0"/>
          <w:bCs w:val="0"/>
          <w:sz w:val="24"/>
          <w:szCs w:val="24"/>
        </w:rPr>
        <w:t>Spearman秩相关检验</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检验两者之间的相关性。然后通过分别与TNM作对比，比较两者的准确性。</w:t>
      </w:r>
    </w:p>
    <w:p>
      <w:pPr>
        <w:autoSpaceDE w:val="0"/>
        <w:autoSpaceDN w:val="0"/>
        <w:adjustRightInd w:val="0"/>
        <w:spacing w:before="156" w:beforeLines="50" w:line="360" w:lineRule="atLeast"/>
        <w:jc w:val="left"/>
        <w:rPr>
          <w:rFonts w:hint="default" w:ascii="宋体" w:hAnsi="宋体" w:eastAsia="宋体" w:cs="宋体"/>
          <w:b w:val="0"/>
          <w:bCs w:val="0"/>
          <w:color w:val="000000"/>
          <w:kern w:val="0"/>
          <w:sz w:val="24"/>
          <w:szCs w:val="24"/>
          <w:lang w:val="en-US" w:eastAsia="zh-CN" w:bidi="ar"/>
        </w:rPr>
      </w:pPr>
      <w:r>
        <w:rPr>
          <w:rFonts w:hint="eastAsia" w:ascii="黑体" w:hAnsi="黑体" w:eastAsia="黑体" w:cs="黑体"/>
          <w:b/>
          <w:bCs/>
          <w:color w:val="000000"/>
          <w:kern w:val="0"/>
          <w:sz w:val="30"/>
          <w:szCs w:val="30"/>
          <w:lang w:val="en-US" w:eastAsia="zh-CN" w:bidi="ar"/>
        </w:rPr>
        <w:t xml:space="preserve">  </w:t>
      </w:r>
    </w:p>
    <w:p>
      <w:pPr>
        <w:pStyle w:val="3"/>
        <w:bidi w:val="0"/>
        <w:jc w:val="center"/>
        <w:outlineLvl w:val="0"/>
        <w:rPr>
          <w:rFonts w:hint="eastAsia"/>
        </w:rPr>
      </w:pPr>
      <w:bookmarkStart w:id="21" w:name="_Toc15469"/>
      <w:bookmarkStart w:id="22" w:name="_Toc23395"/>
      <w:bookmarkStart w:id="23" w:name="_Toc10865"/>
      <w:bookmarkStart w:id="24" w:name="_Toc23089"/>
      <w:r>
        <w:rPr>
          <w:rFonts w:hint="eastAsia"/>
          <w:lang w:val="en-US" w:eastAsia="zh-CN"/>
        </w:rPr>
        <w:t>三、</w:t>
      </w:r>
      <w:r>
        <w:rPr>
          <w:rFonts w:hint="eastAsia"/>
        </w:rPr>
        <w:t>模型假设</w:t>
      </w:r>
      <w:bookmarkEnd w:id="21"/>
      <w:bookmarkEnd w:id="22"/>
      <w:bookmarkEnd w:id="23"/>
      <w:bookmarkEnd w:id="24"/>
    </w:p>
    <w:p>
      <w:pPr>
        <w:pStyle w:val="17"/>
        <w:numPr>
          <w:ilvl w:val="0"/>
          <w:numId w:val="0"/>
        </w:numPr>
        <w:tabs>
          <w:tab w:val="left" w:pos="8005"/>
          <w:tab w:val="left" w:leader="underscore" w:pos="8177"/>
          <w:tab w:val="left" w:pos="8311"/>
        </w:tabs>
        <w:wordWrap w:val="0"/>
        <w:snapToGrid w:val="0"/>
        <w:spacing w:after="100" w:afterAutospacing="1" w:line="240" w:lineRule="auto"/>
        <w:ind w:firstLine="480" w:firstLineChars="200"/>
        <w:jc w:val="both"/>
        <w:outlineLvl w:val="0"/>
        <w:rPr>
          <w:rFonts w:hint="eastAsia" w:ascii="宋体" w:hAnsi="宋体" w:eastAsia="宋体"/>
          <w:sz w:val="24"/>
          <w:szCs w:val="24"/>
        </w:rPr>
      </w:pPr>
      <w:bookmarkStart w:id="25" w:name="_Toc11111"/>
      <w:bookmarkStart w:id="26" w:name="_Toc21766"/>
      <w:bookmarkStart w:id="27" w:name="_Toc2023"/>
      <w:r>
        <w:rPr>
          <w:rFonts w:hint="eastAsia" w:ascii="宋体" w:hAnsi="宋体" w:eastAsia="宋体" w:cs="宋体"/>
          <w:b w:val="0"/>
          <w:bCs w:val="0"/>
          <w:sz w:val="24"/>
          <w:szCs w:val="24"/>
          <w:lang w:val="en-US" w:eastAsia="zh-CN"/>
        </w:rPr>
        <w:t>1.</w:t>
      </w:r>
      <w:r>
        <w:rPr>
          <w:rFonts w:hint="eastAsia" w:ascii="宋体" w:hAnsi="宋体" w:eastAsia="宋体"/>
          <w:sz w:val="24"/>
          <w:szCs w:val="24"/>
        </w:rPr>
        <w:t>淋巴结的扩散和产生是自发过程，即需要过程和时间，且基本不受外界影响，而手术过程可以近似认为很短，不对其产生影响。</w:t>
      </w:r>
      <w:bookmarkEnd w:id="25"/>
      <w:bookmarkEnd w:id="26"/>
      <w:bookmarkEnd w:id="27"/>
    </w:p>
    <w:p>
      <w:pPr>
        <w:pStyle w:val="17"/>
        <w:numPr>
          <w:ilvl w:val="0"/>
          <w:numId w:val="0"/>
        </w:numPr>
        <w:tabs>
          <w:tab w:val="left" w:pos="8005"/>
          <w:tab w:val="left" w:leader="underscore" w:pos="8177"/>
          <w:tab w:val="left" w:pos="8311"/>
        </w:tabs>
        <w:wordWrap w:val="0"/>
        <w:snapToGrid w:val="0"/>
        <w:spacing w:after="100" w:afterAutospacing="1" w:line="240" w:lineRule="auto"/>
        <w:ind w:firstLine="480" w:firstLineChars="200"/>
        <w:jc w:val="both"/>
        <w:outlineLvl w:val="0"/>
        <w:rPr>
          <w:rFonts w:hint="eastAsia"/>
          <w:sz w:val="24"/>
          <w:szCs w:val="24"/>
          <w:lang w:val="en-US" w:eastAsia="zh-CN"/>
        </w:rPr>
      </w:pPr>
      <w:bookmarkStart w:id="28" w:name="_Toc1754"/>
      <w:bookmarkStart w:id="29" w:name="_Toc3776"/>
      <w:bookmarkStart w:id="30" w:name="_Toc23873"/>
      <w:r>
        <w:rPr>
          <w:rFonts w:hint="eastAsia"/>
          <w:sz w:val="24"/>
          <w:szCs w:val="24"/>
          <w:lang w:val="en-US" w:eastAsia="zh-CN"/>
        </w:rPr>
        <w:t>2.放化疗方案与诊断结果有关。</w:t>
      </w:r>
      <w:bookmarkEnd w:id="28"/>
      <w:bookmarkEnd w:id="29"/>
      <w:bookmarkEnd w:id="30"/>
    </w:p>
    <w:p>
      <w:pPr>
        <w:pStyle w:val="17"/>
        <w:numPr>
          <w:ilvl w:val="0"/>
          <w:numId w:val="0"/>
        </w:numPr>
        <w:tabs>
          <w:tab w:val="left" w:pos="8005"/>
          <w:tab w:val="left" w:leader="underscore" w:pos="8177"/>
          <w:tab w:val="left" w:pos="8311"/>
        </w:tabs>
        <w:wordWrap w:val="0"/>
        <w:snapToGrid w:val="0"/>
        <w:spacing w:after="100" w:afterAutospacing="1" w:line="240" w:lineRule="auto"/>
        <w:ind w:firstLine="480" w:firstLineChars="200"/>
        <w:jc w:val="both"/>
        <w:outlineLvl w:val="0"/>
        <w:rPr>
          <w:rFonts w:hint="eastAsia"/>
          <w:sz w:val="24"/>
          <w:szCs w:val="24"/>
          <w:lang w:eastAsia="zh-CN"/>
        </w:rPr>
      </w:pPr>
      <w:bookmarkStart w:id="31" w:name="_Toc26547"/>
      <w:bookmarkStart w:id="32" w:name="_Toc19057"/>
      <w:bookmarkStart w:id="33" w:name="_Toc4146"/>
      <w:r>
        <w:rPr>
          <w:rFonts w:hint="eastAsia"/>
          <w:sz w:val="24"/>
          <w:szCs w:val="24"/>
          <w:lang w:val="en-US" w:eastAsia="zh-CN"/>
        </w:rPr>
        <w:t>3.</w:t>
      </w:r>
      <w:r>
        <w:rPr>
          <w:rFonts w:hint="eastAsia"/>
          <w:sz w:val="24"/>
          <w:szCs w:val="24"/>
        </w:rPr>
        <w:t>将分级标准中的四个影响因素看成是评价指标，再假设有</w:t>
      </w:r>
      <w:r>
        <w:rPr>
          <w:sz w:val="24"/>
          <w:szCs w:val="24"/>
        </w:rPr>
        <w:t>n</w:t>
      </w:r>
      <w:r>
        <w:rPr>
          <w:rFonts w:hint="eastAsia"/>
          <w:sz w:val="24"/>
          <w:szCs w:val="24"/>
        </w:rPr>
        <w:t>个要评价的对象</w:t>
      </w:r>
      <w:r>
        <w:rPr>
          <w:rFonts w:hint="eastAsia"/>
          <w:sz w:val="24"/>
          <w:szCs w:val="24"/>
          <w:lang w:eastAsia="zh-CN"/>
        </w:rPr>
        <w:t>。</w:t>
      </w:r>
      <w:bookmarkEnd w:id="31"/>
      <w:bookmarkEnd w:id="32"/>
      <w:bookmarkEnd w:id="33"/>
    </w:p>
    <w:p>
      <w:pPr>
        <w:pStyle w:val="17"/>
        <w:numPr>
          <w:ilvl w:val="0"/>
          <w:numId w:val="0"/>
        </w:numPr>
        <w:tabs>
          <w:tab w:val="left" w:pos="8005"/>
          <w:tab w:val="left" w:leader="underscore" w:pos="8177"/>
          <w:tab w:val="left" w:pos="8311"/>
        </w:tabs>
        <w:wordWrap w:val="0"/>
        <w:snapToGrid w:val="0"/>
        <w:spacing w:after="100" w:afterAutospacing="1" w:line="240" w:lineRule="auto"/>
        <w:ind w:firstLine="480" w:firstLineChars="200"/>
        <w:jc w:val="both"/>
        <w:outlineLvl w:val="0"/>
        <w:rPr>
          <w:rFonts w:hint="eastAsia"/>
          <w:sz w:val="24"/>
          <w:szCs w:val="24"/>
          <w:lang w:eastAsia="zh-CN"/>
        </w:rPr>
      </w:pPr>
      <w:bookmarkStart w:id="34" w:name="_Toc17012"/>
      <w:bookmarkStart w:id="35" w:name="_Toc17989"/>
      <w:bookmarkStart w:id="36" w:name="_Toc5967"/>
      <w:r>
        <w:rPr>
          <w:rFonts w:hint="eastAsia"/>
          <w:sz w:val="24"/>
          <w:szCs w:val="24"/>
          <w:lang w:val="en-US" w:eastAsia="zh-CN"/>
        </w:rPr>
        <w:t>4.评价对象为</w:t>
      </w:r>
      <w:r>
        <w:rPr>
          <w:rFonts w:hint="eastAsia"/>
          <w:sz w:val="24"/>
          <w:szCs w:val="24"/>
        </w:rPr>
        <w:t>数据完整且正常的</w:t>
      </w:r>
      <w:r>
        <w:rPr>
          <w:rFonts w:hint="eastAsia"/>
          <w:sz w:val="24"/>
          <w:szCs w:val="24"/>
          <w:lang w:val="en-US" w:eastAsia="zh-CN"/>
        </w:rPr>
        <w:t>五组</w:t>
      </w:r>
      <w:r>
        <w:rPr>
          <w:rFonts w:hint="eastAsia"/>
          <w:sz w:val="24"/>
          <w:szCs w:val="24"/>
        </w:rPr>
        <w:t>病人数据</w:t>
      </w:r>
      <w:r>
        <w:rPr>
          <w:rFonts w:hint="eastAsia"/>
          <w:sz w:val="24"/>
          <w:szCs w:val="24"/>
          <w:lang w:eastAsia="zh-CN"/>
        </w:rPr>
        <w:t>。</w:t>
      </w:r>
      <w:bookmarkEnd w:id="34"/>
      <w:bookmarkEnd w:id="35"/>
      <w:bookmarkEnd w:id="36"/>
    </w:p>
    <w:p>
      <w:pPr>
        <w:pStyle w:val="24"/>
        <w:numPr>
          <w:ilvl w:val="0"/>
          <w:numId w:val="0"/>
        </w:numPr>
        <w:ind w:leftChars="0"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5. </w:t>
      </w:r>
      <w:r>
        <w:rPr>
          <w:rFonts w:hint="eastAsia" w:ascii="宋体" w:hAnsi="宋体" w:eastAsia="宋体" w:cs="宋体"/>
          <w:sz w:val="24"/>
          <w:szCs w:val="24"/>
        </w:rPr>
        <w:t>认为术后的TNM分级可以准确的反映病情和预后评估，是TRG和LRG的预测目标</w:t>
      </w:r>
      <w:r>
        <w:rPr>
          <w:rFonts w:hint="eastAsia" w:ascii="宋体" w:hAnsi="宋体" w:eastAsia="宋体" w:cs="宋体"/>
          <w:sz w:val="24"/>
          <w:szCs w:val="24"/>
          <w:lang w:eastAsia="zh-CN"/>
        </w:rPr>
        <w:t>。</w:t>
      </w:r>
    </w:p>
    <w:p>
      <w:pPr>
        <w:pStyle w:val="24"/>
        <w:numPr>
          <w:ilvl w:val="0"/>
          <w:numId w:val="0"/>
        </w:numPr>
        <w:ind w:leftChars="0"/>
        <w:jc w:val="left"/>
        <w:rPr>
          <w:rFonts w:hint="eastAsia" w:ascii="宋体" w:hAnsi="宋体" w:eastAsia="宋体" w:cs="宋体"/>
          <w:sz w:val="24"/>
          <w:szCs w:val="24"/>
          <w:lang w:eastAsia="zh-CN"/>
        </w:rPr>
      </w:pPr>
    </w:p>
    <w:p>
      <w:pPr>
        <w:pStyle w:val="24"/>
        <w:numPr>
          <w:ilvl w:val="0"/>
          <w:numId w:val="0"/>
        </w:numPr>
        <w:ind w:leftChars="0"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6. </w:t>
      </w:r>
      <w:r>
        <w:rPr>
          <w:rFonts w:hint="eastAsia" w:ascii="宋体" w:hAnsi="宋体" w:eastAsia="宋体" w:cs="宋体"/>
          <w:sz w:val="24"/>
          <w:szCs w:val="24"/>
        </w:rPr>
        <w:t>术前疗效评价（mrTRG）即认为是肿瘤消退分级的结果</w:t>
      </w:r>
      <w:r>
        <w:rPr>
          <w:rFonts w:hint="eastAsia" w:ascii="宋体" w:hAnsi="宋体" w:eastAsia="宋体" w:cs="宋体"/>
          <w:sz w:val="24"/>
          <w:szCs w:val="24"/>
          <w:lang w:eastAsia="zh-CN"/>
        </w:rPr>
        <w:t>。</w:t>
      </w:r>
    </w:p>
    <w:p>
      <w:pPr>
        <w:pStyle w:val="17"/>
        <w:numPr>
          <w:ilvl w:val="0"/>
          <w:numId w:val="0"/>
        </w:numPr>
        <w:tabs>
          <w:tab w:val="left" w:pos="8005"/>
          <w:tab w:val="left" w:leader="underscore" w:pos="8177"/>
          <w:tab w:val="left" w:pos="8311"/>
        </w:tabs>
        <w:wordWrap w:val="0"/>
        <w:snapToGrid w:val="0"/>
        <w:spacing w:after="100" w:afterAutospacing="1" w:line="240" w:lineRule="auto"/>
        <w:jc w:val="both"/>
        <w:outlineLvl w:val="9"/>
        <w:rPr>
          <w:rFonts w:hint="eastAsia" w:ascii="宋体" w:hAnsi="宋体" w:eastAsia="宋体" w:cs="宋体"/>
          <w:sz w:val="24"/>
          <w:szCs w:val="24"/>
          <w:lang w:val="en-US" w:eastAsia="zh-CN"/>
        </w:rPr>
      </w:pPr>
    </w:p>
    <w:p>
      <w:pPr>
        <w:pStyle w:val="17"/>
        <w:numPr>
          <w:ilvl w:val="0"/>
          <w:numId w:val="0"/>
        </w:numPr>
        <w:tabs>
          <w:tab w:val="left" w:pos="8005"/>
          <w:tab w:val="left" w:leader="underscore" w:pos="8177"/>
          <w:tab w:val="left" w:pos="8311"/>
        </w:tabs>
        <w:wordWrap w:val="0"/>
        <w:snapToGrid w:val="0"/>
        <w:spacing w:after="100" w:afterAutospacing="1" w:line="240" w:lineRule="auto"/>
        <w:jc w:val="both"/>
        <w:outlineLvl w:val="9"/>
        <w:rPr>
          <w:rFonts w:hint="default"/>
          <w:sz w:val="24"/>
          <w:szCs w:val="24"/>
          <w:lang w:val="en-US" w:eastAsia="zh-CN"/>
        </w:rPr>
      </w:pPr>
    </w:p>
    <w:p>
      <w:pPr>
        <w:pStyle w:val="17"/>
        <w:numPr>
          <w:ilvl w:val="0"/>
          <w:numId w:val="0"/>
        </w:numPr>
        <w:tabs>
          <w:tab w:val="left" w:pos="8005"/>
          <w:tab w:val="left" w:leader="underscore" w:pos="8177"/>
          <w:tab w:val="left" w:pos="8311"/>
        </w:tabs>
        <w:wordWrap w:val="0"/>
        <w:snapToGrid w:val="0"/>
        <w:spacing w:after="100" w:afterAutospacing="1" w:line="240" w:lineRule="auto"/>
        <w:jc w:val="both"/>
        <w:outlineLvl w:val="9"/>
        <w:rPr>
          <w:rFonts w:hint="eastAsia" w:ascii="黑体" w:hAnsi="黑体" w:eastAsia="黑体" w:cs="黑体"/>
          <w:b/>
          <w:bCs/>
          <w:sz w:val="30"/>
          <w:szCs w:val="30"/>
          <w:lang w:val="en-US" w:eastAsia="zh-CN"/>
        </w:rPr>
      </w:pPr>
    </w:p>
    <w:p>
      <w:pPr>
        <w:pStyle w:val="17"/>
        <w:numPr>
          <w:ilvl w:val="0"/>
          <w:numId w:val="0"/>
        </w:numPr>
        <w:tabs>
          <w:tab w:val="left" w:pos="8005"/>
          <w:tab w:val="left" w:leader="underscore" w:pos="8177"/>
          <w:tab w:val="left" w:pos="8311"/>
        </w:tabs>
        <w:wordWrap w:val="0"/>
        <w:snapToGrid w:val="0"/>
        <w:spacing w:after="100" w:afterAutospacing="1" w:line="240" w:lineRule="auto"/>
        <w:jc w:val="both"/>
        <w:outlineLvl w:val="9"/>
        <w:rPr>
          <w:rFonts w:hint="default" w:ascii="黑体" w:hAnsi="黑体" w:eastAsia="黑体" w:cs="黑体"/>
          <w:b/>
          <w:bCs/>
          <w:sz w:val="30"/>
          <w:szCs w:val="30"/>
          <w:lang w:val="en-US" w:eastAsia="zh-CN"/>
        </w:rPr>
      </w:pPr>
    </w:p>
    <w:p>
      <w:pPr>
        <w:pStyle w:val="3"/>
        <w:bidi w:val="0"/>
        <w:jc w:val="center"/>
        <w:outlineLvl w:val="0"/>
        <w:rPr>
          <w:rFonts w:hint="eastAsia"/>
          <w:lang w:val="en-US" w:eastAsia="zh-CN"/>
        </w:rPr>
      </w:pPr>
      <w:bookmarkStart w:id="37" w:name="_Toc28448"/>
      <w:bookmarkStart w:id="38" w:name="_Toc26647"/>
      <w:bookmarkStart w:id="39" w:name="_Toc20177"/>
      <w:bookmarkStart w:id="40" w:name="_Toc16295"/>
      <w:r>
        <w:rPr>
          <w:rFonts w:hint="eastAsia"/>
          <w:lang w:val="en-US" w:eastAsia="zh-CN"/>
        </w:rPr>
        <w:t>四、符号说明</w:t>
      </w:r>
      <w:bookmarkEnd w:id="37"/>
      <w:bookmarkEnd w:id="38"/>
      <w:bookmarkEnd w:id="39"/>
      <w:bookmarkEnd w:id="40"/>
    </w:p>
    <w:tbl>
      <w:tblPr>
        <w:tblStyle w:val="11"/>
        <w:tblpPr w:leftFromText="180" w:rightFromText="180" w:vertAnchor="text" w:horzAnchor="page" w:tblpXSpec="center" w:tblpY="396"/>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0"/>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2650" w:type="dxa"/>
            <w:tcBorders>
              <w:top w:val="single" w:color="000000" w:sz="8" w:space="0"/>
              <w:left w:val="dotted" w:color="auto" w:sz="4" w:space="0"/>
              <w:bottom w:val="single" w:color="000000" w:sz="8" w:space="0"/>
              <w:right w:val="dotted" w:color="auto" w:sz="4" w:space="0"/>
            </w:tcBorders>
            <w:shd w:val="clear" w:color="auto" w:fill="FFFFFF"/>
          </w:tcPr>
          <w:p>
            <w:pPr>
              <w:pStyle w:val="17"/>
              <w:numPr>
                <w:ilvl w:val="0"/>
                <w:numId w:val="0"/>
              </w:numPr>
              <w:tabs>
                <w:tab w:val="left" w:pos="8005"/>
                <w:tab w:val="left" w:leader="underscore" w:pos="8177"/>
                <w:tab w:val="left" w:pos="8311"/>
              </w:tabs>
              <w:wordWrap w:val="0"/>
              <w:snapToGrid w:val="0"/>
              <w:spacing w:after="100" w:afterAutospacing="1" w:line="240" w:lineRule="auto"/>
              <w:ind w:firstLine="843" w:firstLineChars="300"/>
              <w:jc w:val="both"/>
              <w:outlineLvl w:val="0"/>
              <w:rPr>
                <w:rFonts w:hint="default" w:ascii="黑体" w:hAnsi="黑体" w:eastAsia="黑体" w:cs="黑体"/>
                <w:b/>
                <w:bCs/>
                <w:color w:val="000000"/>
                <w:sz w:val="28"/>
                <w:szCs w:val="28"/>
                <w:vertAlign w:val="baseline"/>
                <w:lang w:val="en-US" w:eastAsia="zh-CN"/>
              </w:rPr>
            </w:pPr>
            <w:bookmarkStart w:id="41" w:name="_Toc2780"/>
            <w:bookmarkStart w:id="42" w:name="_Toc24923"/>
            <w:bookmarkStart w:id="43" w:name="_Toc31673"/>
            <w:r>
              <w:rPr>
                <w:rFonts w:hint="eastAsia" w:ascii="黑体" w:hAnsi="黑体" w:eastAsia="黑体" w:cs="黑体"/>
                <w:b/>
                <w:bCs/>
                <w:color w:val="000000"/>
                <w:sz w:val="28"/>
                <w:szCs w:val="28"/>
                <w:vertAlign w:val="baseline"/>
                <w:lang w:val="en-US" w:eastAsia="zh-CN"/>
              </w:rPr>
              <w:t>变量名</w:t>
            </w:r>
            <w:bookmarkEnd w:id="41"/>
            <w:bookmarkEnd w:id="42"/>
            <w:bookmarkEnd w:id="43"/>
          </w:p>
        </w:tc>
        <w:tc>
          <w:tcPr>
            <w:tcW w:w="2869" w:type="dxa"/>
            <w:tcBorders>
              <w:top w:val="single" w:color="000000" w:sz="8" w:space="0"/>
              <w:left w:val="dotted" w:color="auto" w:sz="4" w:space="0"/>
              <w:bottom w:val="single" w:color="000000" w:sz="8" w:space="0"/>
              <w:right w:val="dotted" w:color="auto" w:sz="4" w:space="0"/>
            </w:tcBorders>
            <w:shd w:val="clear" w:color="auto" w:fill="FFFFFF"/>
          </w:tcPr>
          <w:p>
            <w:pPr>
              <w:pStyle w:val="17"/>
              <w:numPr>
                <w:ilvl w:val="0"/>
                <w:numId w:val="0"/>
              </w:numPr>
              <w:tabs>
                <w:tab w:val="left" w:pos="8005"/>
                <w:tab w:val="left" w:leader="underscore" w:pos="8177"/>
                <w:tab w:val="left" w:pos="8311"/>
              </w:tabs>
              <w:wordWrap w:val="0"/>
              <w:snapToGrid w:val="0"/>
              <w:spacing w:after="100" w:afterAutospacing="1" w:line="240" w:lineRule="auto"/>
              <w:ind w:firstLine="843" w:firstLineChars="300"/>
              <w:jc w:val="both"/>
              <w:outlineLvl w:val="0"/>
              <w:rPr>
                <w:rFonts w:hint="default" w:ascii="黑体" w:hAnsi="黑体" w:eastAsia="黑体" w:cs="黑体"/>
                <w:b/>
                <w:bCs/>
                <w:color w:val="000000"/>
                <w:sz w:val="28"/>
                <w:szCs w:val="28"/>
                <w:vertAlign w:val="baseline"/>
                <w:lang w:val="en-US" w:eastAsia="zh-CN"/>
              </w:rPr>
            </w:pPr>
            <w:bookmarkStart w:id="44" w:name="_Toc15731"/>
            <w:bookmarkStart w:id="45" w:name="_Toc18287"/>
            <w:bookmarkStart w:id="46" w:name="_Toc9376"/>
            <w:r>
              <w:rPr>
                <w:rFonts w:hint="eastAsia" w:ascii="黑体" w:hAnsi="黑体" w:eastAsia="黑体" w:cs="黑体"/>
                <w:b/>
                <w:bCs/>
                <w:color w:val="000000"/>
                <w:sz w:val="28"/>
                <w:szCs w:val="28"/>
                <w:vertAlign w:val="baseline"/>
                <w:lang w:val="en-US" w:eastAsia="zh-CN"/>
              </w:rPr>
              <w:t>符号说明</w:t>
            </w:r>
            <w:bookmarkEnd w:id="44"/>
            <w:bookmarkEnd w:id="45"/>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2650" w:type="dxa"/>
            <w:tcBorders>
              <w:top w:val="single" w:color="000000" w:sz="8" w:space="0"/>
              <w:left w:val="dotted" w:color="auto" w:sz="4" w:space="0"/>
              <w:bottom w:val="dotted" w:color="auto" w:sz="4" w:space="0"/>
              <w:right w:val="dotted" w:color="auto" w:sz="4" w:space="0"/>
            </w:tcBorders>
            <w:shd w:val="clear" w:color="auto" w:fill="CCCCCC"/>
            <w:vAlign w:val="top"/>
          </w:tcPr>
          <w:p>
            <w:pPr>
              <w:autoSpaceDE w:val="0"/>
              <w:autoSpaceDN w:val="0"/>
              <w:adjustRightInd w:val="0"/>
              <w:spacing w:before="156" w:beforeLines="50" w:line="360" w:lineRule="atLeast"/>
              <w:jc w:val="left"/>
              <w:rPr>
                <w:rFonts w:hint="eastAsia" w:ascii="黑体" w:hAnsi="黑体" w:eastAsia="黑体" w:cs="黑体"/>
                <w:b/>
                <w:bCs/>
                <w:color w:val="000000"/>
                <w:kern w:val="0"/>
                <w:sz w:val="28"/>
                <w:szCs w:val="28"/>
                <w:vertAlign w:val="baseline"/>
                <w:lang w:val="en-US" w:eastAsia="zh-CN" w:bidi="ar"/>
              </w:rPr>
            </w:pPr>
            <m:oMathPara>
              <m:oMath>
                <m:sSup>
                  <m:sSupPr>
                    <m:ctrlPr>
                      <w:rPr>
                        <w:rFonts w:ascii="Cambria Math" w:hAnsi="Cambria Math" w:cs="Times New Roman"/>
                        <w:b/>
                        <w:bCs/>
                        <w:i/>
                        <w:color w:val="000000"/>
                        <w:kern w:val="0"/>
                        <w:sz w:val="28"/>
                        <w:szCs w:val="28"/>
                      </w:rPr>
                    </m:ctrlPr>
                  </m:sSupPr>
                  <m:e>
                    <m:r>
                      <m:rPr>
                        <m:sty m:val="bi"/>
                      </m:rPr>
                      <w:rPr>
                        <w:rFonts w:hint="default" w:ascii="Cambria Math" w:hAnsi="Cambria Math" w:cs="Times New Roman"/>
                        <w:color w:val="000000"/>
                        <w:kern w:val="0"/>
                        <w:sz w:val="28"/>
                        <w:szCs w:val="28"/>
                      </w:rPr>
                      <m:t>χ</m:t>
                    </m:r>
                    <m:ctrlPr>
                      <w:rPr>
                        <w:rFonts w:ascii="Cambria Math" w:hAnsi="Cambria Math" w:cs="Times New Roman"/>
                        <w:b/>
                        <w:bCs/>
                        <w:i/>
                        <w:color w:val="000000"/>
                        <w:kern w:val="0"/>
                        <w:sz w:val="28"/>
                        <w:szCs w:val="28"/>
                      </w:rPr>
                    </m:ctrlPr>
                  </m:e>
                  <m:sup>
                    <m:r>
                      <m:rPr>
                        <m:sty m:val="bi"/>
                      </m:rPr>
                      <w:rPr>
                        <w:rFonts w:hint="default" w:ascii="Cambria Math" w:hAnsi="Cambria Math" w:cs="Times New Roman"/>
                        <w:color w:val="000000"/>
                        <w:kern w:val="0"/>
                        <w:sz w:val="28"/>
                        <w:szCs w:val="28"/>
                      </w:rPr>
                      <m:t>2</m:t>
                    </m:r>
                    <m:ctrlPr>
                      <w:rPr>
                        <w:rFonts w:ascii="Cambria Math" w:hAnsi="Cambria Math" w:cs="Times New Roman"/>
                        <w:b/>
                        <w:bCs/>
                        <w:i/>
                        <w:color w:val="000000"/>
                        <w:kern w:val="0"/>
                        <w:sz w:val="28"/>
                        <w:szCs w:val="28"/>
                      </w:rPr>
                    </m:ctrlPr>
                  </m:sup>
                </m:sSup>
              </m:oMath>
            </m:oMathPara>
          </w:p>
        </w:tc>
        <w:tc>
          <w:tcPr>
            <w:tcW w:w="2869" w:type="dxa"/>
            <w:tcBorders>
              <w:top w:val="single" w:color="000000" w:sz="8" w:space="0"/>
              <w:left w:val="dotted" w:color="auto" w:sz="4" w:space="0"/>
              <w:bottom w:val="dotted" w:color="auto" w:sz="4" w:space="0"/>
              <w:right w:val="dotted" w:color="auto" w:sz="4" w:space="0"/>
            </w:tcBorders>
            <w:shd w:val="clear" w:color="auto" w:fill="CCCCCC"/>
            <w:vAlign w:val="top"/>
          </w:tcPr>
          <w:p>
            <w:pPr>
              <w:autoSpaceDE w:val="0"/>
              <w:autoSpaceDN w:val="0"/>
              <w:adjustRightInd w:val="0"/>
              <w:spacing w:before="156" w:beforeLines="50" w:line="360" w:lineRule="atLeast"/>
              <w:ind w:firstLine="1124" w:firstLineChars="400"/>
              <w:jc w:val="left"/>
              <w:rPr>
                <w:rFonts w:hint="eastAsia" w:ascii="黑体" w:hAnsi="黑体" w:eastAsia="黑体" w:cs="黑体"/>
                <w:b/>
                <w:bCs/>
                <w:color w:val="000000"/>
                <w:kern w:val="0"/>
                <w:sz w:val="28"/>
                <w:szCs w:val="28"/>
                <w:vertAlign w:val="baseline"/>
                <w:lang w:val="en-US" w:eastAsia="zh-CN" w:bidi="ar"/>
              </w:rPr>
            </w:pPr>
            <w:r>
              <w:rPr>
                <w:rFonts w:hint="eastAsia" w:ascii="宋体" w:hAnsi="宋体" w:eastAsia="宋体" w:cs="宋体"/>
                <w:b/>
                <w:bCs/>
                <w:color w:val="000000"/>
                <w:kern w:val="0"/>
                <w:sz w:val="28"/>
                <w:szCs w:val="28"/>
                <w:vertAlign w:val="baseline"/>
                <w:lang w:val="en-US" w:eastAsia="zh-CN" w:bidi="ar"/>
              </w:rPr>
              <w:t>皮尔逊卡方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atLeast"/>
          <w:jc w:val="center"/>
        </w:trPr>
        <w:tc>
          <w:tcPr>
            <w:tcW w:w="2650" w:type="dxa"/>
            <w:tcBorders>
              <w:top w:val="dotted" w:color="auto" w:sz="4" w:space="0"/>
              <w:left w:val="dotted" w:color="auto" w:sz="4" w:space="0"/>
              <w:bottom w:val="dotted" w:color="auto" w:sz="4" w:space="0"/>
              <w:right w:val="dotted" w:color="auto" w:sz="4" w:space="0"/>
            </w:tcBorders>
            <w:shd w:val="clear" w:color="auto" w:fill="FFFFFF"/>
            <w:vAlign w:val="top"/>
          </w:tcPr>
          <w:p>
            <w:pPr>
              <w:autoSpaceDE w:val="0"/>
              <w:autoSpaceDN w:val="0"/>
              <w:adjustRightInd w:val="0"/>
              <w:spacing w:before="156" w:beforeLines="50" w:line="360" w:lineRule="atLeast"/>
              <w:jc w:val="left"/>
              <w:rPr>
                <w:rFonts w:hint="eastAsia" w:ascii="黑体" w:hAnsi="黑体" w:eastAsia="黑体" w:cs="黑体"/>
                <w:b/>
                <w:bCs/>
                <w:color w:val="000000"/>
                <w:kern w:val="0"/>
                <w:sz w:val="28"/>
                <w:szCs w:val="28"/>
                <w:vertAlign w:val="baseline"/>
                <w:lang w:val="en-US" w:eastAsia="zh-CN" w:bidi="ar"/>
              </w:rPr>
            </w:pPr>
            <m:oMathPara>
              <m:oMath>
                <m:sSubSup>
                  <m:sSubSupPr>
                    <m:ctrlPr>
                      <w:rPr>
                        <w:rFonts w:ascii="Cambria Math" w:hAnsi="Cambria Math" w:cs="Times New Roman"/>
                        <w:b/>
                        <w:bCs/>
                        <w:i/>
                        <w:color w:val="000000"/>
                        <w:kern w:val="0"/>
                        <w:sz w:val="28"/>
                        <w:szCs w:val="28"/>
                      </w:rPr>
                    </m:ctrlPr>
                  </m:sSubSupPr>
                  <m:e>
                    <m:r>
                      <m:rPr>
                        <m:sty m:val="bi"/>
                      </m:rPr>
                      <w:rPr>
                        <w:rFonts w:hint="default" w:ascii="Cambria Math" w:hAnsi="Cambria Math" w:cs="Times New Roman"/>
                        <w:color w:val="000000"/>
                        <w:kern w:val="0"/>
                        <w:sz w:val="28"/>
                        <w:szCs w:val="28"/>
                      </w:rPr>
                      <m:t>χ</m:t>
                    </m:r>
                    <m:ctrlPr>
                      <w:rPr>
                        <w:rFonts w:ascii="Cambria Math" w:hAnsi="Cambria Math" w:cs="Times New Roman"/>
                        <w:b/>
                        <w:bCs/>
                        <w:i/>
                        <w:color w:val="000000"/>
                        <w:kern w:val="0"/>
                        <w:sz w:val="28"/>
                        <w:szCs w:val="28"/>
                      </w:rPr>
                    </m:ctrlPr>
                  </m:e>
                  <m:sub>
                    <m:r>
                      <m:rPr>
                        <m:sty m:val="bi"/>
                      </m:rPr>
                      <w:rPr>
                        <w:rFonts w:hint="default" w:ascii="Cambria Math" w:hAnsi="Cambria Math" w:cs="Times New Roman"/>
                        <w:color w:val="000000"/>
                        <w:kern w:val="0"/>
                        <w:sz w:val="28"/>
                        <w:szCs w:val="28"/>
                      </w:rPr>
                      <m:t>L</m:t>
                    </m:r>
                    <m:ctrlPr>
                      <w:rPr>
                        <w:rFonts w:ascii="Cambria Math" w:hAnsi="Cambria Math" w:cs="Times New Roman"/>
                        <w:b/>
                        <w:bCs/>
                        <w:i/>
                        <w:color w:val="000000"/>
                        <w:kern w:val="0"/>
                        <w:sz w:val="28"/>
                        <w:szCs w:val="28"/>
                      </w:rPr>
                    </m:ctrlPr>
                  </m:sub>
                  <m:sup>
                    <m:r>
                      <m:rPr>
                        <m:sty m:val="bi"/>
                      </m:rPr>
                      <w:rPr>
                        <w:rFonts w:hint="default" w:ascii="Cambria Math" w:hAnsi="Cambria Math" w:cs="Times New Roman"/>
                        <w:color w:val="000000"/>
                        <w:kern w:val="0"/>
                        <w:sz w:val="28"/>
                        <w:szCs w:val="28"/>
                      </w:rPr>
                      <m:t>2</m:t>
                    </m:r>
                    <m:ctrlPr>
                      <w:rPr>
                        <w:rFonts w:ascii="Cambria Math" w:hAnsi="Cambria Math" w:cs="Times New Roman"/>
                        <w:b/>
                        <w:bCs/>
                        <w:i/>
                        <w:color w:val="000000"/>
                        <w:kern w:val="0"/>
                        <w:sz w:val="28"/>
                        <w:szCs w:val="28"/>
                      </w:rPr>
                    </m:ctrlPr>
                  </m:sup>
                </m:sSubSup>
              </m:oMath>
            </m:oMathPara>
          </w:p>
        </w:tc>
        <w:tc>
          <w:tcPr>
            <w:tcW w:w="2869" w:type="dxa"/>
            <w:tcBorders>
              <w:top w:val="dotted" w:color="auto" w:sz="4" w:space="0"/>
              <w:left w:val="dotted" w:color="auto" w:sz="4" w:space="0"/>
              <w:bottom w:val="dotted" w:color="auto" w:sz="4" w:space="0"/>
              <w:right w:val="dotted" w:color="auto" w:sz="4" w:space="0"/>
            </w:tcBorders>
            <w:shd w:val="clear" w:color="auto" w:fill="FFFFFF"/>
            <w:vAlign w:val="top"/>
          </w:tcPr>
          <w:p>
            <w:pPr>
              <w:autoSpaceDE w:val="0"/>
              <w:autoSpaceDN w:val="0"/>
              <w:adjustRightInd w:val="0"/>
              <w:spacing w:before="156" w:beforeLines="50" w:line="360" w:lineRule="atLeast"/>
              <w:ind w:firstLine="1124" w:firstLineChars="400"/>
              <w:jc w:val="left"/>
              <w:rPr>
                <w:rFonts w:hint="eastAsia" w:ascii="黑体" w:hAnsi="黑体" w:eastAsia="宋体" w:cs="黑体"/>
                <w:b/>
                <w:bCs/>
                <w:color w:val="000000" w:themeColor="text1"/>
                <w:kern w:val="0"/>
                <w:sz w:val="28"/>
                <w:szCs w:val="28"/>
                <w:vertAlign w:val="baseline"/>
                <w:lang w:val="en-US" w:eastAsia="zh-CN" w:bidi="ar"/>
                <w14:textFill>
                  <w14:solidFill>
                    <w14:schemeClr w14:val="tx1"/>
                  </w14:solidFill>
                </w14:textFill>
              </w:rPr>
            </w:pPr>
            <w:r>
              <w:rPr>
                <w:rFonts w:hint="eastAsia" w:ascii="宋体" w:hAnsi="宋体" w:eastAsia="宋体" w:cs="宋体"/>
                <w:b/>
                <w:bCs/>
                <w:color w:val="000000" w:themeColor="text1"/>
                <w:kern w:val="0"/>
                <w:sz w:val="28"/>
                <w:szCs w:val="28"/>
                <w14:textFill>
                  <w14:solidFill>
                    <w14:schemeClr w14:val="tx1"/>
                  </w14:solidFill>
                </w14:textFill>
              </w:rPr>
              <w:t>似然比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650" w:type="dxa"/>
            <w:tcBorders>
              <w:top w:val="dotted" w:color="auto" w:sz="4" w:space="0"/>
              <w:left w:val="dotted" w:color="auto" w:sz="4" w:space="0"/>
              <w:bottom w:val="dotted" w:color="auto" w:sz="4" w:space="0"/>
              <w:right w:val="dotted" w:color="auto" w:sz="4" w:space="0"/>
            </w:tcBorders>
            <w:shd w:val="clear" w:color="auto" w:fill="CCCCCC"/>
          </w:tcPr>
          <w:p>
            <w:pPr>
              <w:pStyle w:val="17"/>
              <w:numPr>
                <w:ilvl w:val="0"/>
                <w:numId w:val="0"/>
              </w:numPr>
              <w:tabs>
                <w:tab w:val="left" w:pos="8005"/>
                <w:tab w:val="left" w:leader="underscore" w:pos="8177"/>
                <w:tab w:val="left" w:pos="8311"/>
              </w:tabs>
              <w:wordWrap w:val="0"/>
              <w:snapToGrid w:val="0"/>
              <w:spacing w:after="100" w:afterAutospacing="1" w:line="240" w:lineRule="auto"/>
              <w:ind w:firstLine="1124" w:firstLineChars="400"/>
              <w:jc w:val="both"/>
              <w:outlineLvl w:val="0"/>
              <w:rPr>
                <w:rFonts w:hint="default" w:ascii="黑体" w:hAnsi="黑体" w:eastAsia="黑体" w:cs="黑体"/>
                <w:b/>
                <w:bCs/>
                <w:color w:val="000000"/>
                <w:sz w:val="28"/>
                <w:szCs w:val="28"/>
                <w:vertAlign w:val="baseline"/>
                <w:lang w:val="en-US" w:eastAsia="zh-CN"/>
              </w:rPr>
            </w:pPr>
            <w:bookmarkStart w:id="47" w:name="_Toc16604"/>
            <w:bookmarkStart w:id="48" w:name="_Toc32306"/>
            <w:bookmarkStart w:id="49" w:name="_Toc18163"/>
            <w:r>
              <w:rPr>
                <w:rFonts w:hint="eastAsia" w:ascii="宋体" w:hAnsi="宋体" w:eastAsia="宋体"/>
                <w:b/>
                <w:bCs/>
                <w:color w:val="000000"/>
                <w:sz w:val="28"/>
                <w:szCs w:val="28"/>
                <w:lang w:val="en-US" w:eastAsia="zh-CN"/>
              </w:rPr>
              <w:t>P,Z</w:t>
            </w:r>
            <w:bookmarkEnd w:id="47"/>
            <w:bookmarkEnd w:id="48"/>
            <w:bookmarkEnd w:id="49"/>
          </w:p>
        </w:tc>
        <w:tc>
          <w:tcPr>
            <w:tcW w:w="2869" w:type="dxa"/>
            <w:tcBorders>
              <w:top w:val="dotted" w:color="auto" w:sz="4" w:space="0"/>
              <w:left w:val="dotted" w:color="auto" w:sz="4" w:space="0"/>
              <w:bottom w:val="dotted" w:color="auto" w:sz="4" w:space="0"/>
              <w:right w:val="dotted" w:color="auto" w:sz="4" w:space="0"/>
            </w:tcBorders>
            <w:shd w:val="clear" w:color="auto" w:fill="CCCCCC"/>
          </w:tcPr>
          <w:p>
            <w:pPr>
              <w:pStyle w:val="17"/>
              <w:numPr>
                <w:ilvl w:val="0"/>
                <w:numId w:val="0"/>
              </w:numPr>
              <w:tabs>
                <w:tab w:val="left" w:pos="8005"/>
                <w:tab w:val="left" w:leader="underscore" w:pos="8177"/>
                <w:tab w:val="left" w:pos="8311"/>
              </w:tabs>
              <w:wordWrap w:val="0"/>
              <w:snapToGrid w:val="0"/>
              <w:spacing w:after="100" w:afterAutospacing="1" w:line="240" w:lineRule="auto"/>
              <w:ind w:firstLine="1124" w:firstLineChars="400"/>
              <w:jc w:val="both"/>
              <w:outlineLvl w:val="0"/>
              <w:rPr>
                <w:rFonts w:hint="default" w:ascii="黑体" w:hAnsi="黑体" w:eastAsia="黑体" w:cs="黑体"/>
                <w:b/>
                <w:bCs/>
                <w:color w:val="000000" w:themeColor="text1"/>
                <w:sz w:val="28"/>
                <w:szCs w:val="28"/>
                <w:vertAlign w:val="baseline"/>
                <w:lang w:val="en-US" w:eastAsia="zh-CN"/>
                <w14:textFill>
                  <w14:solidFill>
                    <w14:schemeClr w14:val="tx1"/>
                  </w14:solidFill>
                </w14:textFill>
              </w:rPr>
            </w:pPr>
            <w:bookmarkStart w:id="50" w:name="_Toc21153"/>
            <w:bookmarkStart w:id="51" w:name="_Toc30420"/>
            <w:bookmarkStart w:id="52" w:name="_Toc23683"/>
            <w:r>
              <w:rPr>
                <w:rFonts w:hint="eastAsia" w:ascii="宋体" w:hAnsi="宋体" w:eastAsia="宋体" w:cs="宋体"/>
                <w:b/>
                <w:bCs/>
                <w:color w:val="000000" w:themeColor="text1"/>
                <w:kern w:val="0"/>
                <w:sz w:val="28"/>
                <w:szCs w:val="28"/>
                <w:lang w:val="en-US" w:eastAsia="zh-CN"/>
                <w14:textFill>
                  <w14:solidFill>
                    <w14:schemeClr w14:val="tx1"/>
                  </w14:solidFill>
                </w14:textFill>
              </w:rPr>
              <w:t>矩阵</w:t>
            </w:r>
            <w:bookmarkEnd w:id="50"/>
            <w:bookmarkEnd w:id="51"/>
            <w:bookmarkEnd w:id="5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650" w:type="dxa"/>
            <w:tcBorders>
              <w:top w:val="dotted" w:color="auto" w:sz="4" w:space="0"/>
              <w:left w:val="dotted" w:color="auto" w:sz="4" w:space="0"/>
              <w:bottom w:val="dotted" w:color="auto" w:sz="4" w:space="0"/>
              <w:right w:val="dotted" w:color="auto" w:sz="4" w:space="0"/>
            </w:tcBorders>
            <w:shd w:val="clear" w:color="auto" w:fill="FFFFFF"/>
          </w:tcPr>
          <w:p>
            <w:pPr>
              <w:pStyle w:val="17"/>
              <w:numPr>
                <w:ilvl w:val="0"/>
                <w:numId w:val="0"/>
              </w:numPr>
              <w:tabs>
                <w:tab w:val="left" w:pos="8005"/>
                <w:tab w:val="left" w:leader="underscore" w:pos="8177"/>
                <w:tab w:val="left" w:pos="8311"/>
              </w:tabs>
              <w:wordWrap w:val="0"/>
              <w:snapToGrid w:val="0"/>
              <w:spacing w:after="100" w:afterAutospacing="1" w:line="240" w:lineRule="auto"/>
              <w:ind w:firstLine="1124" w:firstLineChars="400"/>
              <w:jc w:val="both"/>
              <w:outlineLvl w:val="0"/>
              <w:rPr>
                <w:rFonts w:hint="eastAsia" w:ascii="黑体" w:hAnsi="黑体" w:eastAsia="黑体" w:cs="黑体"/>
                <w:b/>
                <w:bCs/>
                <w:color w:val="000000"/>
                <w:sz w:val="28"/>
                <w:szCs w:val="28"/>
                <w:vertAlign w:val="baseline"/>
                <w:lang w:val="en-US" w:eastAsia="zh-CN"/>
              </w:rPr>
            </w:pPr>
            <w:bookmarkStart w:id="53" w:name="_Toc28288"/>
            <w:bookmarkStart w:id="54" w:name="_Toc29096"/>
            <w:bookmarkStart w:id="55" w:name="_Toc14934"/>
            <w:r>
              <w:rPr>
                <w:rFonts w:hint="eastAsia" w:ascii="宋体" w:hAnsi="宋体" w:eastAsia="宋体" w:cs="宋体"/>
                <w:b/>
                <w:bCs/>
                <w:color w:val="000000"/>
                <w:sz w:val="28"/>
                <w:szCs w:val="28"/>
              </w:rPr>
              <w:t>X</w:t>
            </w:r>
            <w:r>
              <w:rPr>
                <w:rFonts w:hint="eastAsia" w:ascii="宋体" w:hAnsi="宋体" w:eastAsia="宋体" w:cs="宋体"/>
                <w:b/>
                <w:bCs/>
                <w:color w:val="000000"/>
                <w:sz w:val="28"/>
                <w:szCs w:val="28"/>
                <w:vertAlign w:val="subscript"/>
              </w:rPr>
              <w:t>平</w:t>
            </w:r>
            <w:bookmarkEnd w:id="53"/>
            <w:bookmarkEnd w:id="54"/>
            <w:bookmarkEnd w:id="55"/>
          </w:p>
        </w:tc>
        <w:tc>
          <w:tcPr>
            <w:tcW w:w="2869" w:type="dxa"/>
            <w:tcBorders>
              <w:top w:val="dotted" w:color="auto" w:sz="4" w:space="0"/>
              <w:left w:val="dotted" w:color="auto" w:sz="4" w:space="0"/>
              <w:bottom w:val="dotted" w:color="auto" w:sz="4" w:space="0"/>
              <w:right w:val="dotted" w:color="auto" w:sz="4" w:space="0"/>
            </w:tcBorders>
            <w:shd w:val="clear" w:color="auto" w:fill="FFFFFF"/>
          </w:tcPr>
          <w:p>
            <w:pPr>
              <w:pStyle w:val="17"/>
              <w:numPr>
                <w:ilvl w:val="0"/>
                <w:numId w:val="0"/>
              </w:numPr>
              <w:tabs>
                <w:tab w:val="left" w:pos="8005"/>
                <w:tab w:val="left" w:leader="underscore" w:pos="8177"/>
                <w:tab w:val="left" w:pos="8311"/>
              </w:tabs>
              <w:wordWrap w:val="0"/>
              <w:snapToGrid w:val="0"/>
              <w:spacing w:after="100" w:afterAutospacing="1" w:line="240" w:lineRule="auto"/>
              <w:ind w:firstLine="1124" w:firstLineChars="400"/>
              <w:jc w:val="both"/>
              <w:outlineLvl w:val="0"/>
              <w:rPr>
                <w:rFonts w:hint="default" w:cs="宋体"/>
                <w:b/>
                <w:bCs/>
                <w:color w:val="000000" w:themeColor="text1"/>
                <w:kern w:val="0"/>
                <w:sz w:val="28"/>
                <w:szCs w:val="28"/>
                <w:lang w:val="en-US" w:eastAsia="zh-CN"/>
                <w14:textFill>
                  <w14:solidFill>
                    <w14:schemeClr w14:val="tx1"/>
                  </w14:solidFill>
                </w14:textFill>
              </w:rPr>
            </w:pPr>
            <w:bookmarkStart w:id="56" w:name="_Toc27699"/>
            <w:bookmarkStart w:id="57" w:name="_Toc9903"/>
            <w:bookmarkStart w:id="58" w:name="_Toc3674"/>
            <w:r>
              <w:rPr>
                <w:rFonts w:hint="eastAsia" w:cs="宋体"/>
                <w:b/>
                <w:bCs/>
                <w:color w:val="000000" w:themeColor="text1"/>
                <w:kern w:val="0"/>
                <w:sz w:val="28"/>
                <w:szCs w:val="28"/>
                <w:lang w:val="en-US" w:eastAsia="zh-CN"/>
                <w14:textFill>
                  <w14:solidFill>
                    <w14:schemeClr w14:val="tx1"/>
                  </w14:solidFill>
                </w14:textFill>
              </w:rPr>
              <w:t>平均值</w:t>
            </w:r>
            <w:bookmarkEnd w:id="56"/>
            <w:bookmarkEnd w:id="57"/>
            <w:bookmarkEnd w:id="5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2650" w:type="dxa"/>
            <w:tcBorders>
              <w:top w:val="dotted" w:color="auto" w:sz="4" w:space="0"/>
              <w:left w:val="dotted" w:color="auto" w:sz="4" w:space="0"/>
              <w:bottom w:val="dotted" w:color="auto" w:sz="4" w:space="0"/>
              <w:right w:val="dotted" w:color="auto" w:sz="4" w:space="0"/>
            </w:tcBorders>
            <w:shd w:val="clear" w:color="auto" w:fill="CCCCCC"/>
          </w:tcPr>
          <w:p>
            <w:pPr>
              <w:pStyle w:val="17"/>
              <w:numPr>
                <w:ilvl w:val="0"/>
                <w:numId w:val="0"/>
              </w:numPr>
              <w:tabs>
                <w:tab w:val="left" w:pos="8005"/>
                <w:tab w:val="left" w:leader="underscore" w:pos="8177"/>
                <w:tab w:val="left" w:pos="8311"/>
              </w:tabs>
              <w:wordWrap w:val="0"/>
              <w:snapToGrid w:val="0"/>
              <w:spacing w:after="100" w:afterAutospacing="1" w:line="240" w:lineRule="auto"/>
              <w:ind w:firstLine="1124" w:firstLineChars="400"/>
              <w:jc w:val="both"/>
              <w:outlineLvl w:val="0"/>
              <w:rPr>
                <w:rFonts w:hint="eastAsia" w:ascii="宋体" w:hAnsi="宋体" w:eastAsia="宋体" w:cs="宋体"/>
                <w:b/>
                <w:bCs/>
                <w:color w:val="000000"/>
                <w:sz w:val="28"/>
                <w:szCs w:val="28"/>
              </w:rPr>
            </w:pPr>
            <m:oMathPara>
              <m:oMath>
                <m:sSub>
                  <m:sSubPr>
                    <m:ctrlPr>
                      <w:rPr>
                        <w:rFonts w:ascii="Cambria Math" w:hAnsi="Cambria Math" w:cs="宋体"/>
                        <w:b/>
                        <w:bCs w:val="0"/>
                        <w:i/>
                        <w:color w:val="000000"/>
                        <w:sz w:val="28"/>
                        <w:szCs w:val="28"/>
                      </w:rPr>
                    </m:ctrlPr>
                  </m:sSubPr>
                  <m:e>
                    <m:r>
                      <m:rPr>
                        <m:sty m:val="bi"/>
                      </m:rPr>
                      <w:rPr>
                        <w:rFonts w:hint="default" w:ascii="Cambria Math" w:hAnsi="Cambria Math" w:cs="宋体"/>
                        <w:color w:val="000000"/>
                        <w:sz w:val="28"/>
                        <w:szCs w:val="28"/>
                        <w:lang w:val="en-US" w:eastAsia="zh-CN"/>
                      </w:rPr>
                      <m:t>e</m:t>
                    </m:r>
                    <m:ctrlPr>
                      <w:rPr>
                        <w:rFonts w:ascii="Cambria Math" w:hAnsi="Cambria Math" w:cs="宋体"/>
                        <w:b/>
                        <w:bCs w:val="0"/>
                        <w:i/>
                        <w:color w:val="000000"/>
                        <w:sz w:val="28"/>
                        <w:szCs w:val="28"/>
                      </w:rPr>
                    </m:ctrlPr>
                  </m:e>
                  <m:sub>
                    <m:r>
                      <m:rPr>
                        <m:sty m:val="bi"/>
                      </m:rPr>
                      <w:rPr>
                        <w:rFonts w:hint="default" w:ascii="Cambria Math" w:hAnsi="Cambria Math" w:cs="宋体"/>
                        <w:color w:val="000000"/>
                        <w:sz w:val="28"/>
                        <w:szCs w:val="28"/>
                        <w:lang w:val="en-US" w:eastAsia="zh-CN"/>
                      </w:rPr>
                      <m:t>j</m:t>
                    </m:r>
                    <m:ctrlPr>
                      <w:rPr>
                        <w:rFonts w:ascii="Cambria Math" w:hAnsi="Cambria Math" w:cs="宋体"/>
                        <w:b/>
                        <w:bCs w:val="0"/>
                        <w:i/>
                        <w:color w:val="000000"/>
                        <w:sz w:val="28"/>
                        <w:szCs w:val="28"/>
                      </w:rPr>
                    </m:ctrlPr>
                  </m:sub>
                </m:sSub>
              </m:oMath>
            </m:oMathPara>
          </w:p>
        </w:tc>
        <w:tc>
          <w:tcPr>
            <w:tcW w:w="2869" w:type="dxa"/>
            <w:tcBorders>
              <w:top w:val="dotted" w:color="auto" w:sz="4" w:space="0"/>
              <w:left w:val="dotted" w:color="auto" w:sz="4" w:space="0"/>
              <w:bottom w:val="dotted" w:color="auto" w:sz="4" w:space="0"/>
              <w:right w:val="dotted" w:color="auto" w:sz="4" w:space="0"/>
            </w:tcBorders>
            <w:shd w:val="clear" w:color="auto" w:fill="CCCCCC"/>
          </w:tcPr>
          <w:p>
            <w:pPr>
              <w:pStyle w:val="17"/>
              <w:numPr>
                <w:ilvl w:val="0"/>
                <w:numId w:val="0"/>
              </w:numPr>
              <w:tabs>
                <w:tab w:val="left" w:pos="8005"/>
                <w:tab w:val="left" w:leader="underscore" w:pos="8177"/>
                <w:tab w:val="left" w:pos="8311"/>
              </w:tabs>
              <w:wordWrap w:val="0"/>
              <w:snapToGrid w:val="0"/>
              <w:spacing w:after="100" w:afterAutospacing="1" w:line="240" w:lineRule="auto"/>
              <w:ind w:firstLine="1124" w:firstLineChars="400"/>
              <w:jc w:val="both"/>
              <w:outlineLvl w:val="0"/>
              <w:rPr>
                <w:rFonts w:hint="default" w:cs="宋体"/>
                <w:b/>
                <w:bCs/>
                <w:color w:val="000000" w:themeColor="text1"/>
                <w:kern w:val="0"/>
                <w:sz w:val="28"/>
                <w:szCs w:val="28"/>
                <w:lang w:val="en-US" w:eastAsia="zh-CN"/>
                <w14:textFill>
                  <w14:solidFill>
                    <w14:schemeClr w14:val="tx1"/>
                  </w14:solidFill>
                </w14:textFill>
              </w:rPr>
            </w:pPr>
            <w:bookmarkStart w:id="59" w:name="_Toc19190"/>
            <w:bookmarkStart w:id="60" w:name="_Toc26497"/>
            <w:bookmarkStart w:id="61" w:name="_Toc23892"/>
            <w:r>
              <w:rPr>
                <w:rFonts w:hint="eastAsia" w:cs="宋体"/>
                <w:b/>
                <w:bCs/>
                <w:color w:val="000000" w:themeColor="text1"/>
                <w:kern w:val="0"/>
                <w:sz w:val="28"/>
                <w:szCs w:val="28"/>
                <w:lang w:val="en-US" w:eastAsia="zh-CN"/>
                <w14:textFill>
                  <w14:solidFill>
                    <w14:schemeClr w14:val="tx1"/>
                  </w14:solidFill>
                </w14:textFill>
              </w:rPr>
              <w:t>信息熵</w:t>
            </w:r>
            <w:bookmarkEnd w:id="59"/>
            <w:bookmarkEnd w:id="60"/>
            <w:bookmarkEnd w:id="6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650" w:type="dxa"/>
            <w:tcBorders>
              <w:top w:val="dotted" w:color="auto" w:sz="4" w:space="0"/>
              <w:left w:val="dotted" w:color="auto" w:sz="4" w:space="0"/>
              <w:bottom w:val="single" w:color="000000" w:sz="8" w:space="0"/>
              <w:right w:val="dotted" w:color="auto" w:sz="4" w:space="0"/>
            </w:tcBorders>
            <w:shd w:val="clear" w:color="auto" w:fill="FFFFFF"/>
          </w:tcPr>
          <w:p>
            <w:pPr>
              <w:pStyle w:val="17"/>
              <w:numPr>
                <w:ilvl w:val="0"/>
                <w:numId w:val="0"/>
              </w:numPr>
              <w:tabs>
                <w:tab w:val="left" w:pos="8005"/>
                <w:tab w:val="left" w:leader="underscore" w:pos="8177"/>
                <w:tab w:val="left" w:pos="8311"/>
              </w:tabs>
              <w:wordWrap w:val="0"/>
              <w:snapToGrid w:val="0"/>
              <w:spacing w:after="100" w:afterAutospacing="1" w:line="240" w:lineRule="auto"/>
              <w:ind w:firstLine="1124" w:firstLineChars="400"/>
              <w:jc w:val="both"/>
              <w:outlineLvl w:val="0"/>
              <w:rPr>
                <w:rFonts w:hint="eastAsia" w:ascii="宋体" w:hAnsi="宋体" w:eastAsia="宋体" w:cs="宋体"/>
                <w:b/>
                <w:bCs/>
                <w:color w:val="000000"/>
                <w:sz w:val="28"/>
                <w:szCs w:val="28"/>
              </w:rPr>
            </w:pPr>
            <w:bookmarkStart w:id="62" w:name="_Toc11996"/>
            <w:bookmarkStart w:id="63" w:name="_Toc20338"/>
            <w:bookmarkStart w:id="64" w:name="_Toc24946"/>
            <w:r>
              <w:rPr>
                <w:rFonts w:hint="eastAsia" w:ascii="宋体" w:hAnsi="宋体" w:eastAsia="宋体" w:cs="宋体"/>
                <w:b/>
                <w:bCs/>
                <w:color w:val="000000"/>
                <w:sz w:val="28"/>
                <w:szCs w:val="28"/>
              </w:rPr>
              <w:t>d</w:t>
            </w:r>
            <w:r>
              <w:rPr>
                <w:rFonts w:hint="eastAsia" w:ascii="宋体" w:hAnsi="宋体" w:eastAsia="宋体" w:cs="宋体"/>
                <w:b/>
                <w:bCs/>
                <w:color w:val="000000"/>
                <w:sz w:val="28"/>
                <w:szCs w:val="28"/>
                <w:vertAlign w:val="subscript"/>
              </w:rPr>
              <w:t>j</w:t>
            </w:r>
            <w:bookmarkEnd w:id="62"/>
            <w:bookmarkEnd w:id="63"/>
            <w:bookmarkEnd w:id="64"/>
          </w:p>
        </w:tc>
        <w:tc>
          <w:tcPr>
            <w:tcW w:w="2869" w:type="dxa"/>
            <w:tcBorders>
              <w:top w:val="dotted" w:color="auto" w:sz="4" w:space="0"/>
              <w:left w:val="dotted" w:color="auto" w:sz="4" w:space="0"/>
              <w:bottom w:val="single" w:color="000000" w:sz="8" w:space="0"/>
              <w:right w:val="dotted" w:color="auto" w:sz="4" w:space="0"/>
            </w:tcBorders>
            <w:shd w:val="clear" w:color="auto" w:fill="FFFFFF"/>
          </w:tcPr>
          <w:p>
            <w:pPr>
              <w:pStyle w:val="17"/>
              <w:numPr>
                <w:ilvl w:val="0"/>
                <w:numId w:val="0"/>
              </w:numPr>
              <w:tabs>
                <w:tab w:val="left" w:pos="8005"/>
                <w:tab w:val="left" w:leader="underscore" w:pos="8177"/>
                <w:tab w:val="left" w:pos="8311"/>
              </w:tabs>
              <w:wordWrap w:val="0"/>
              <w:snapToGrid w:val="0"/>
              <w:spacing w:after="100" w:afterAutospacing="1" w:line="240" w:lineRule="auto"/>
              <w:ind w:firstLine="1124" w:firstLineChars="400"/>
              <w:jc w:val="both"/>
              <w:outlineLvl w:val="0"/>
              <w:rPr>
                <w:rFonts w:hint="default" w:cs="宋体"/>
                <w:b/>
                <w:bCs/>
                <w:color w:val="000000" w:themeColor="text1"/>
                <w:kern w:val="0"/>
                <w:sz w:val="28"/>
                <w:szCs w:val="28"/>
                <w:lang w:val="en-US" w:eastAsia="zh-CN"/>
                <w14:textFill>
                  <w14:solidFill>
                    <w14:schemeClr w14:val="tx1"/>
                  </w14:solidFill>
                </w14:textFill>
              </w:rPr>
            </w:pPr>
            <w:bookmarkStart w:id="65" w:name="_Toc26290"/>
            <w:bookmarkStart w:id="66" w:name="_Toc1877"/>
            <w:bookmarkStart w:id="67" w:name="_Toc14582"/>
            <w:r>
              <w:rPr>
                <w:rFonts w:hint="eastAsia" w:cs="宋体"/>
                <w:b/>
                <w:bCs/>
                <w:color w:val="000000" w:themeColor="text1"/>
                <w:kern w:val="0"/>
                <w:sz w:val="28"/>
                <w:szCs w:val="28"/>
                <w:lang w:val="en-US" w:eastAsia="zh-CN"/>
                <w14:textFill>
                  <w14:solidFill>
                    <w14:schemeClr w14:val="tx1"/>
                  </w14:solidFill>
                </w14:textFill>
              </w:rPr>
              <w:t>熵权</w:t>
            </w:r>
            <w:bookmarkEnd w:id="65"/>
            <w:bookmarkEnd w:id="66"/>
            <w:bookmarkEnd w:id="67"/>
          </w:p>
        </w:tc>
      </w:tr>
    </w:tbl>
    <w:p>
      <w:pPr>
        <w:pStyle w:val="17"/>
        <w:numPr>
          <w:ilvl w:val="0"/>
          <w:numId w:val="0"/>
        </w:numPr>
        <w:tabs>
          <w:tab w:val="left" w:pos="8005"/>
          <w:tab w:val="left" w:leader="underscore" w:pos="8177"/>
          <w:tab w:val="left" w:pos="8311"/>
        </w:tabs>
        <w:wordWrap w:val="0"/>
        <w:snapToGrid w:val="0"/>
        <w:spacing w:after="100" w:afterAutospacing="1" w:line="240" w:lineRule="auto"/>
        <w:ind w:leftChars="1000"/>
        <w:jc w:val="both"/>
        <w:outlineLvl w:val="9"/>
        <w:rPr>
          <w:rFonts w:hint="eastAsia" w:ascii="黑体" w:hAnsi="黑体" w:eastAsia="黑体" w:cs="黑体"/>
          <w:b/>
          <w:bCs/>
          <w:sz w:val="36"/>
          <w:szCs w:val="36"/>
          <w:lang w:val="en-US" w:eastAsia="zh-CN"/>
        </w:rPr>
      </w:pPr>
    </w:p>
    <w:p>
      <w:pPr>
        <w:pStyle w:val="17"/>
        <w:numPr>
          <w:ilvl w:val="0"/>
          <w:numId w:val="0"/>
        </w:numPr>
        <w:tabs>
          <w:tab w:val="left" w:pos="8005"/>
          <w:tab w:val="left" w:leader="underscore" w:pos="8177"/>
          <w:tab w:val="left" w:pos="8311"/>
        </w:tabs>
        <w:wordWrap w:val="0"/>
        <w:snapToGrid w:val="0"/>
        <w:spacing w:after="100" w:afterAutospacing="1" w:line="240" w:lineRule="auto"/>
        <w:ind w:leftChars="1000"/>
        <w:jc w:val="both"/>
        <w:outlineLvl w:val="9"/>
        <w:rPr>
          <w:rFonts w:hint="eastAsia" w:ascii="黑体" w:hAnsi="黑体" w:eastAsia="黑体" w:cs="黑体"/>
          <w:b/>
          <w:bCs/>
          <w:sz w:val="36"/>
          <w:szCs w:val="36"/>
          <w:lang w:val="en-US" w:eastAsia="zh-CN"/>
        </w:rPr>
      </w:pPr>
    </w:p>
    <w:p>
      <w:pPr>
        <w:pStyle w:val="17"/>
        <w:numPr>
          <w:ilvl w:val="0"/>
          <w:numId w:val="0"/>
        </w:numPr>
        <w:tabs>
          <w:tab w:val="left" w:pos="8005"/>
          <w:tab w:val="left" w:leader="underscore" w:pos="8177"/>
          <w:tab w:val="left" w:pos="8311"/>
        </w:tabs>
        <w:wordWrap w:val="0"/>
        <w:snapToGrid w:val="0"/>
        <w:spacing w:after="100" w:afterAutospacing="1" w:line="240" w:lineRule="auto"/>
        <w:ind w:leftChars="1000"/>
        <w:jc w:val="both"/>
        <w:outlineLvl w:val="9"/>
        <w:rPr>
          <w:rFonts w:hint="eastAsia" w:ascii="黑体" w:hAnsi="黑体" w:eastAsia="黑体" w:cs="黑体"/>
          <w:b/>
          <w:bCs/>
          <w:sz w:val="36"/>
          <w:szCs w:val="36"/>
          <w:lang w:val="en-US" w:eastAsia="zh-CN"/>
        </w:rPr>
      </w:pPr>
    </w:p>
    <w:p>
      <w:pPr>
        <w:pStyle w:val="17"/>
        <w:numPr>
          <w:ilvl w:val="0"/>
          <w:numId w:val="0"/>
        </w:numPr>
        <w:tabs>
          <w:tab w:val="left" w:pos="8005"/>
          <w:tab w:val="left" w:leader="underscore" w:pos="8177"/>
          <w:tab w:val="left" w:pos="8311"/>
        </w:tabs>
        <w:wordWrap w:val="0"/>
        <w:snapToGrid w:val="0"/>
        <w:spacing w:after="100" w:afterAutospacing="1" w:line="240" w:lineRule="auto"/>
        <w:ind w:firstLine="3614" w:firstLineChars="1000"/>
        <w:jc w:val="both"/>
        <w:outlineLvl w:val="9"/>
        <w:rPr>
          <w:rFonts w:hint="eastAsia" w:ascii="黑体" w:hAnsi="黑体" w:eastAsia="黑体" w:cs="黑体"/>
          <w:b/>
          <w:bCs/>
          <w:sz w:val="36"/>
          <w:szCs w:val="36"/>
          <w:lang w:val="en-US" w:eastAsia="zh-CN"/>
        </w:rPr>
      </w:pPr>
      <w:bookmarkStart w:id="68" w:name="_Toc10606"/>
    </w:p>
    <w:p>
      <w:pPr>
        <w:pStyle w:val="17"/>
        <w:numPr>
          <w:ilvl w:val="0"/>
          <w:numId w:val="0"/>
        </w:numPr>
        <w:tabs>
          <w:tab w:val="left" w:pos="8005"/>
          <w:tab w:val="left" w:leader="underscore" w:pos="8177"/>
          <w:tab w:val="left" w:pos="8311"/>
        </w:tabs>
        <w:wordWrap w:val="0"/>
        <w:snapToGrid w:val="0"/>
        <w:spacing w:after="100" w:afterAutospacing="1" w:line="240" w:lineRule="auto"/>
        <w:ind w:firstLine="3614" w:firstLineChars="1000"/>
        <w:jc w:val="both"/>
        <w:outlineLvl w:val="9"/>
        <w:rPr>
          <w:rFonts w:hint="eastAsia" w:ascii="黑体" w:hAnsi="黑体" w:eastAsia="黑体" w:cs="黑体"/>
          <w:b/>
          <w:bCs/>
          <w:sz w:val="36"/>
          <w:szCs w:val="36"/>
          <w:lang w:val="en-US" w:eastAsia="zh-CN"/>
        </w:rPr>
      </w:pPr>
    </w:p>
    <w:p>
      <w:pPr>
        <w:pStyle w:val="17"/>
        <w:numPr>
          <w:ilvl w:val="0"/>
          <w:numId w:val="0"/>
        </w:numPr>
        <w:tabs>
          <w:tab w:val="left" w:pos="8005"/>
          <w:tab w:val="left" w:leader="underscore" w:pos="8177"/>
          <w:tab w:val="left" w:pos="8311"/>
        </w:tabs>
        <w:wordWrap w:val="0"/>
        <w:snapToGrid w:val="0"/>
        <w:spacing w:after="100" w:afterAutospacing="1" w:line="240" w:lineRule="auto"/>
        <w:ind w:firstLine="3614" w:firstLineChars="1000"/>
        <w:jc w:val="both"/>
        <w:outlineLvl w:val="9"/>
        <w:rPr>
          <w:rFonts w:hint="eastAsia" w:ascii="黑体" w:hAnsi="黑体" w:eastAsia="黑体" w:cs="黑体"/>
          <w:b/>
          <w:bCs/>
          <w:sz w:val="36"/>
          <w:szCs w:val="36"/>
          <w:lang w:val="en-US" w:eastAsia="zh-CN"/>
        </w:rPr>
      </w:pPr>
    </w:p>
    <w:p>
      <w:pPr>
        <w:pStyle w:val="17"/>
        <w:numPr>
          <w:ilvl w:val="0"/>
          <w:numId w:val="0"/>
        </w:numPr>
        <w:tabs>
          <w:tab w:val="left" w:pos="8005"/>
          <w:tab w:val="left" w:leader="underscore" w:pos="8177"/>
          <w:tab w:val="left" w:pos="8311"/>
        </w:tabs>
        <w:wordWrap w:val="0"/>
        <w:snapToGrid w:val="0"/>
        <w:spacing w:after="100" w:afterAutospacing="1" w:line="240" w:lineRule="auto"/>
        <w:ind w:firstLine="3614" w:firstLineChars="1000"/>
        <w:jc w:val="both"/>
        <w:outlineLvl w:val="9"/>
        <w:rPr>
          <w:rFonts w:hint="eastAsia" w:ascii="黑体" w:hAnsi="黑体" w:eastAsia="黑体" w:cs="黑体"/>
          <w:b/>
          <w:bCs/>
          <w:sz w:val="36"/>
          <w:szCs w:val="36"/>
          <w:lang w:val="en-US" w:eastAsia="zh-CN"/>
        </w:rPr>
      </w:pPr>
    </w:p>
    <w:p>
      <w:pPr>
        <w:pStyle w:val="3"/>
        <w:bidi w:val="0"/>
        <w:jc w:val="center"/>
        <w:outlineLvl w:val="0"/>
        <w:rPr>
          <w:rFonts w:hint="eastAsia"/>
          <w:lang w:val="en-US" w:eastAsia="zh-CN"/>
        </w:rPr>
      </w:pPr>
      <w:bookmarkStart w:id="69" w:name="_Toc1726"/>
      <w:bookmarkStart w:id="70" w:name="_Toc32361"/>
      <w:bookmarkStart w:id="71" w:name="_Toc19226"/>
      <w:r>
        <w:rPr>
          <w:rFonts w:hint="eastAsia"/>
          <w:lang w:val="en-US" w:eastAsia="zh-CN"/>
        </w:rPr>
        <w:t>五、模型建立与求解</w:t>
      </w:r>
      <w:bookmarkEnd w:id="68"/>
      <w:bookmarkEnd w:id="69"/>
      <w:bookmarkEnd w:id="70"/>
      <w:bookmarkEnd w:id="71"/>
    </w:p>
    <w:p>
      <w:pPr>
        <w:pStyle w:val="4"/>
        <w:bidi w:val="0"/>
        <w:outlineLvl w:val="1"/>
        <w:rPr>
          <w:rFonts w:hint="eastAsia"/>
          <w:lang w:val="en-US" w:eastAsia="zh-CN"/>
        </w:rPr>
      </w:pPr>
      <w:bookmarkStart w:id="72" w:name="_Toc24735"/>
      <w:bookmarkStart w:id="73" w:name="_Toc32463"/>
      <w:r>
        <w:rPr>
          <w:rFonts w:hint="eastAsia"/>
          <w:lang w:val="en-US" w:eastAsia="zh-CN"/>
        </w:rPr>
        <w:t>5.1 问题一的模型建立与求解</w:t>
      </w:r>
      <w:bookmarkEnd w:id="72"/>
      <w:bookmarkEnd w:id="73"/>
    </w:p>
    <w:p>
      <w:pPr>
        <w:autoSpaceDE w:val="0"/>
        <w:autoSpaceDN w:val="0"/>
        <w:adjustRightInd w:val="0"/>
        <w:spacing w:before="156" w:beforeLines="50" w:line="360" w:lineRule="atLeast"/>
        <w:jc w:val="left"/>
        <w:rPr>
          <w:rFonts w:hint="default" w:ascii="宋体" w:hAnsi="宋体" w:eastAsia="宋体"/>
          <w:sz w:val="24"/>
          <w:szCs w:val="24"/>
          <w:lang w:val="en-US" w:eastAsia="zh-CN"/>
        </w:rPr>
      </w:pPr>
      <w:r>
        <w:rPr>
          <w:rFonts w:hint="eastAsia" w:ascii="宋体" w:hAnsi="宋体" w:eastAsia="宋体" w:cs="宋体"/>
          <w:b w:val="0"/>
          <w:bCs w:val="0"/>
          <w:color w:val="000000"/>
          <w:kern w:val="0"/>
          <w:sz w:val="24"/>
          <w:szCs w:val="24"/>
          <w:lang w:val="en-US" w:eastAsia="zh-CN" w:bidi="ar"/>
        </w:rPr>
        <w:t xml:space="preserve">  初步假设有</w:t>
      </w:r>
      <w:r>
        <w:rPr>
          <w:rFonts w:hint="eastAsia" w:ascii="宋体" w:hAnsi="宋体" w:eastAsia="宋体"/>
          <w:sz w:val="24"/>
          <w:szCs w:val="24"/>
        </w:rPr>
        <w:t>诊断结果、化疗方案、化疗周期、淋巴结的位置</w:t>
      </w:r>
      <w:r>
        <w:rPr>
          <w:rFonts w:hint="eastAsia" w:ascii="宋体" w:hAnsi="宋体" w:eastAsia="宋体"/>
          <w:sz w:val="24"/>
          <w:szCs w:val="24"/>
          <w:lang w:eastAsia="zh-CN"/>
        </w:rPr>
        <w:t>、</w:t>
      </w:r>
      <w:r>
        <w:rPr>
          <w:rFonts w:hint="eastAsia" w:ascii="宋体" w:hAnsi="宋体" w:eastAsia="宋体"/>
          <w:sz w:val="24"/>
          <w:szCs w:val="24"/>
          <w:lang w:val="en-US" w:eastAsia="zh-CN"/>
        </w:rPr>
        <w:t>淋巴结的</w:t>
      </w:r>
      <w:r>
        <w:rPr>
          <w:rFonts w:hint="eastAsia" w:ascii="宋体" w:hAnsi="宋体" w:eastAsia="宋体"/>
          <w:sz w:val="24"/>
          <w:szCs w:val="24"/>
        </w:rPr>
        <w:t>数量</w:t>
      </w:r>
      <w:r>
        <w:rPr>
          <w:rFonts w:hint="eastAsia" w:ascii="宋体" w:hAnsi="宋体" w:eastAsia="宋体"/>
          <w:sz w:val="24"/>
          <w:szCs w:val="24"/>
          <w:lang w:val="en-US" w:eastAsia="zh-CN"/>
        </w:rPr>
        <w:t>五个影响因素，有</w:t>
      </w:r>
      <w:r>
        <w:rPr>
          <w:rFonts w:hint="eastAsia" w:ascii="宋体" w:hAnsi="宋体" w:eastAsia="宋体" w:cs="宋体"/>
          <w:b w:val="0"/>
          <w:bCs w:val="0"/>
          <w:color w:val="000000"/>
          <w:kern w:val="0"/>
          <w:sz w:val="24"/>
          <w:szCs w:val="24"/>
          <w:lang w:val="en-US" w:eastAsia="zh-CN" w:bidi="ar"/>
        </w:rPr>
        <w:t>术后淋巴结的转移与淋巴结的位置和数量的前后变化两个参量，</w:t>
      </w:r>
      <w:r>
        <w:rPr>
          <w:rFonts w:hint="eastAsia" w:ascii="宋体" w:hAnsi="宋体" w:eastAsia="宋体"/>
          <w:sz w:val="24"/>
          <w:szCs w:val="24"/>
        </w:rPr>
        <w:t>于是就影响因素与反映参量之间是否独立进行研究</w:t>
      </w:r>
      <w:r>
        <w:rPr>
          <w:rFonts w:hint="eastAsia" w:ascii="宋体" w:hAnsi="宋体" w:eastAsia="宋体"/>
          <w:sz w:val="24"/>
          <w:szCs w:val="24"/>
          <w:lang w:eastAsia="zh-CN"/>
        </w:rPr>
        <w:t>。</w:t>
      </w:r>
    </w:p>
    <w:p>
      <w:pPr>
        <w:pStyle w:val="4"/>
        <w:bidi w:val="0"/>
        <w:rPr>
          <w:rFonts w:hint="eastAsia"/>
          <w:lang w:val="en-US" w:eastAsia="zh-CN"/>
        </w:rPr>
      </w:pPr>
      <w:bookmarkStart w:id="74" w:name="_Toc18223"/>
      <w:r>
        <w:rPr>
          <w:rStyle w:val="26"/>
          <w:rFonts w:hint="eastAsia"/>
          <w:b/>
          <w:lang w:val="en-US" w:eastAsia="zh-CN"/>
        </w:rPr>
        <w:t>5.1.1</w:t>
      </w:r>
      <w:r>
        <w:rPr>
          <w:rFonts w:hint="eastAsia"/>
          <w:lang w:val="en-US" w:eastAsia="zh-CN"/>
        </w:rPr>
        <w:t xml:space="preserve"> 卡方独立性检验</w:t>
      </w:r>
      <w:bookmarkEnd w:id="74"/>
    </w:p>
    <w:p>
      <w:pPr>
        <w:autoSpaceDE w:val="0"/>
        <w:autoSpaceDN w:val="0"/>
        <w:adjustRightInd w:val="0"/>
        <w:spacing w:before="156" w:beforeLines="50" w:line="360" w:lineRule="atLeast"/>
        <w:jc w:val="left"/>
        <w:rPr>
          <w:rFonts w:hint="default" w:ascii="宋体" w:hAnsi="宋体" w:eastAsia="宋体"/>
          <w:sz w:val="24"/>
          <w:szCs w:val="24"/>
          <w:lang w:val="en-US" w:eastAsia="zh-CN"/>
        </w:rPr>
      </w:pPr>
      <w:r>
        <w:rPr>
          <w:rFonts w:hint="eastAsia" w:ascii="黑体" w:hAnsi="黑体" w:eastAsia="黑体" w:cs="黑体"/>
          <w:b/>
          <w:bCs/>
          <w:color w:val="000000"/>
          <w:kern w:val="0"/>
          <w:sz w:val="24"/>
          <w:szCs w:val="24"/>
          <w:lang w:val="en-US" w:eastAsia="zh-CN" w:bidi="ar"/>
        </w:rPr>
        <w:t xml:space="preserve">  </w:t>
      </w:r>
      <w:r>
        <w:rPr>
          <w:rFonts w:hint="eastAsia" w:ascii="宋体" w:hAnsi="宋体" w:eastAsia="宋体"/>
          <w:sz w:val="24"/>
          <w:szCs w:val="24"/>
        </w:rPr>
        <w:t>诊断结果、化疗方案、化疗周期这</w:t>
      </w:r>
      <w:r>
        <w:rPr>
          <w:rFonts w:hint="eastAsia" w:ascii="宋体" w:hAnsi="宋体" w:eastAsia="宋体"/>
          <w:sz w:val="24"/>
          <w:szCs w:val="24"/>
          <w:lang w:val="en-US" w:eastAsia="zh-CN"/>
        </w:rPr>
        <w:t>前</w:t>
      </w:r>
      <w:r>
        <w:rPr>
          <w:rFonts w:hint="eastAsia" w:ascii="宋体" w:hAnsi="宋体" w:eastAsia="宋体"/>
          <w:sz w:val="24"/>
          <w:szCs w:val="24"/>
        </w:rPr>
        <w:t>三个因素</w:t>
      </w:r>
      <w:r>
        <w:rPr>
          <w:rFonts w:hint="eastAsia" w:ascii="宋体" w:hAnsi="宋体" w:eastAsia="宋体"/>
          <w:sz w:val="24"/>
          <w:szCs w:val="24"/>
          <w:lang w:val="en-US" w:eastAsia="zh-CN"/>
        </w:rPr>
        <w:t>用</w:t>
      </w:r>
      <w:r>
        <w:rPr>
          <w:rFonts w:hint="eastAsia" w:ascii="宋体" w:hAnsi="宋体" w:eastAsia="宋体"/>
          <w:sz w:val="24"/>
          <w:szCs w:val="24"/>
          <w:highlight w:val="none"/>
        </w:rPr>
        <w:t>分类的方式进行研究</w:t>
      </w:r>
      <w:r>
        <w:rPr>
          <w:rFonts w:hint="eastAsia" w:ascii="宋体" w:hAnsi="宋体" w:eastAsia="宋体"/>
          <w:sz w:val="24"/>
          <w:szCs w:val="24"/>
        </w:rPr>
        <w:t>，</w:t>
      </w:r>
      <w:r>
        <w:rPr>
          <w:rFonts w:hint="eastAsia" w:ascii="宋体" w:hAnsi="宋体" w:eastAsia="宋体"/>
          <w:sz w:val="24"/>
          <w:szCs w:val="24"/>
          <w:lang w:val="en-US" w:eastAsia="zh-CN"/>
        </w:rPr>
        <w:t>我们</w:t>
      </w:r>
      <w:r>
        <w:rPr>
          <w:rFonts w:hint="eastAsia" w:ascii="宋体" w:hAnsi="宋体" w:eastAsia="宋体"/>
          <w:sz w:val="24"/>
          <w:szCs w:val="24"/>
          <w:highlight w:val="none"/>
        </w:rPr>
        <w:t>通过列联表进行独立性检验</w:t>
      </w:r>
      <w:r>
        <w:rPr>
          <w:rFonts w:hint="eastAsia" w:ascii="宋体" w:hAnsi="宋体" w:eastAsia="宋体"/>
          <w:sz w:val="24"/>
          <w:szCs w:val="24"/>
          <w:highlight w:val="none"/>
          <w:lang w:val="en-US" w:eastAsia="zh-CN"/>
        </w:rPr>
        <w:t>分别</w:t>
      </w:r>
      <w:r>
        <w:rPr>
          <w:rFonts w:hint="eastAsia" w:ascii="宋体" w:hAnsi="宋体" w:eastAsia="宋体"/>
          <w:sz w:val="24"/>
          <w:szCs w:val="24"/>
          <w:highlight w:val="none"/>
        </w:rPr>
        <w:t>验证是否</w:t>
      </w:r>
      <w:r>
        <w:rPr>
          <w:rFonts w:hint="eastAsia" w:ascii="宋体" w:hAnsi="宋体" w:eastAsia="宋体"/>
          <w:sz w:val="24"/>
          <w:szCs w:val="24"/>
          <w:highlight w:val="none"/>
          <w:lang w:val="en-US" w:eastAsia="zh-CN"/>
        </w:rPr>
        <w:t>与两个参量</w:t>
      </w:r>
      <w:r>
        <w:rPr>
          <w:rFonts w:hint="eastAsia" w:ascii="宋体" w:hAnsi="宋体" w:eastAsia="宋体"/>
          <w:sz w:val="24"/>
          <w:szCs w:val="24"/>
          <w:highlight w:val="none"/>
        </w:rPr>
        <w:t>相关</w:t>
      </w:r>
      <w:r>
        <w:rPr>
          <w:rFonts w:hint="eastAsia" w:ascii="宋体" w:hAnsi="宋体" w:eastAsia="宋体"/>
          <w:sz w:val="24"/>
          <w:szCs w:val="24"/>
        </w:rPr>
        <w:t>。</w:t>
      </w:r>
    </w:p>
    <w:p>
      <w:pPr>
        <w:pStyle w:val="6"/>
        <w:bidi w:val="0"/>
        <w:rPr>
          <w:rFonts w:hint="eastAsia"/>
          <w:lang w:val="en-US" w:eastAsia="zh-CN"/>
        </w:rPr>
      </w:pPr>
      <w:r>
        <w:rPr>
          <w:rFonts w:hint="eastAsia"/>
          <w:lang w:val="en-US" w:eastAsia="zh-CN"/>
        </w:rPr>
        <w:t>5.1.1.1 变量说明</w:t>
      </w:r>
    </w:p>
    <w:p>
      <w:pPr>
        <w:autoSpaceDE w:val="0"/>
        <w:autoSpaceDN w:val="0"/>
        <w:adjustRightInd w:val="0"/>
        <w:spacing w:before="156" w:beforeLines="50" w:line="360" w:lineRule="atLeast"/>
        <w:jc w:val="center"/>
        <w:rPr>
          <w:rFonts w:hint="eastAsia" w:ascii="黑体" w:hAnsi="黑体" w:eastAsia="黑体" w:cs="黑体"/>
          <w:b/>
          <w:bCs/>
          <w:color w:val="000000"/>
          <w:kern w:val="0"/>
          <w:sz w:val="30"/>
          <w:szCs w:val="30"/>
          <w:lang w:val="en-US" w:eastAsia="zh-CN" w:bidi="ar"/>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6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580" w:type="dxa"/>
            <w:tcBorders>
              <w:top w:val="single" w:color="000000" w:sz="8" w:space="0"/>
              <w:left w:val="dotted" w:color="auto" w:sz="8" w:space="0"/>
              <w:bottom w:val="single" w:color="000000" w:sz="8" w:space="0"/>
              <w:right w:val="dotted" w:color="auto" w:sz="8" w:space="0"/>
            </w:tcBorders>
            <w:shd w:val="clear" w:color="auto" w:fill="FFFFFF"/>
          </w:tcPr>
          <w:p>
            <w:pPr>
              <w:autoSpaceDE w:val="0"/>
              <w:autoSpaceDN w:val="0"/>
              <w:adjustRightInd w:val="0"/>
              <w:spacing w:before="156" w:beforeLines="50" w:line="360" w:lineRule="atLeast"/>
              <w:jc w:val="both"/>
              <w:rPr>
                <w:rFonts w:hint="eastAsia" w:ascii="宋体" w:hAnsi="宋体" w:eastAsia="宋体" w:cs="宋体"/>
                <w:b/>
                <w:bCs/>
                <w:color w:val="000000"/>
                <w:kern w:val="0"/>
                <w:sz w:val="28"/>
                <w:szCs w:val="28"/>
                <w:vertAlign w:val="baseline"/>
                <w:lang w:val="en-US" w:eastAsia="zh-CN" w:bidi="ar"/>
              </w:rPr>
            </w:pPr>
            <w:r>
              <w:rPr>
                <w:rFonts w:hint="eastAsia" w:ascii="宋体" w:hAnsi="宋体" w:eastAsia="宋体" w:cs="宋体"/>
                <w:b/>
                <w:bCs/>
                <w:color w:val="000000"/>
                <w:kern w:val="0"/>
                <w:sz w:val="28"/>
                <w:szCs w:val="28"/>
                <w:vertAlign w:val="baseline"/>
                <w:lang w:val="en-US" w:eastAsia="zh-CN" w:bidi="ar"/>
              </w:rPr>
              <w:t>变量名</w:t>
            </w:r>
          </w:p>
        </w:tc>
        <w:tc>
          <w:tcPr>
            <w:tcW w:w="6719" w:type="dxa"/>
            <w:tcBorders>
              <w:top w:val="single" w:color="000000" w:sz="8" w:space="0"/>
              <w:left w:val="dotted" w:color="auto" w:sz="8" w:space="0"/>
              <w:bottom w:val="single" w:color="000000" w:sz="8" w:space="0"/>
              <w:right w:val="dotted" w:color="auto" w:sz="8" w:space="0"/>
            </w:tcBorders>
            <w:shd w:val="clear" w:color="auto" w:fill="FFFFFF"/>
          </w:tcPr>
          <w:p>
            <w:pPr>
              <w:autoSpaceDE w:val="0"/>
              <w:autoSpaceDN w:val="0"/>
              <w:adjustRightInd w:val="0"/>
              <w:spacing w:before="156" w:beforeLines="50" w:line="360" w:lineRule="atLeast"/>
              <w:jc w:val="both"/>
              <w:rPr>
                <w:rFonts w:hint="eastAsia" w:ascii="宋体" w:hAnsi="宋体" w:eastAsia="宋体" w:cs="宋体"/>
                <w:b/>
                <w:bCs/>
                <w:color w:val="000000"/>
                <w:kern w:val="0"/>
                <w:sz w:val="28"/>
                <w:szCs w:val="28"/>
                <w:vertAlign w:val="baseline"/>
                <w:lang w:val="en-US" w:eastAsia="zh-CN" w:bidi="ar"/>
              </w:rPr>
            </w:pPr>
            <w:r>
              <w:rPr>
                <w:rFonts w:hint="eastAsia" w:ascii="宋体" w:hAnsi="宋体" w:eastAsia="宋体" w:cs="宋体"/>
                <w:b/>
                <w:bCs/>
                <w:color w:val="000000"/>
                <w:kern w:val="0"/>
                <w:sz w:val="28"/>
                <w:szCs w:val="28"/>
                <w:vertAlign w:val="baseline"/>
                <w:lang w:val="en-US" w:eastAsia="zh-CN" w:bidi="ar"/>
              </w:rPr>
              <w:t>符号说明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580" w:type="dxa"/>
            <w:tcBorders>
              <w:top w:val="single" w:color="000000"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jc w:val="both"/>
              <w:rPr>
                <w:rFonts w:hint="default" w:ascii="黑体" w:hAnsi="黑体" w:cs="黑体" w:eastAsiaTheme="minorEastAsia"/>
                <w:b/>
                <w:bCs/>
                <w:color w:val="000000"/>
                <w:kern w:val="0"/>
                <w:sz w:val="30"/>
                <w:szCs w:val="30"/>
                <w:vertAlign w:val="baseline"/>
                <w:lang w:val="en-US" w:eastAsia="zh-CN" w:bidi="ar"/>
              </w:rPr>
            </w:pPr>
            <w:r>
              <w:rPr>
                <w:rFonts w:hint="eastAsia" w:ascii="Times New Roman" w:hAnsi="Times New Roman" w:cs="Times New Roman"/>
                <w:b/>
                <w:bCs/>
                <w:color w:val="000000"/>
                <w:kern w:val="0"/>
                <w:sz w:val="24"/>
                <w:szCs w:val="24"/>
              </w:rPr>
              <w:t>T</w:t>
            </w:r>
            <w:r>
              <w:rPr>
                <w:rFonts w:ascii="Times New Roman" w:hAnsi="Times New Roman" w:cs="Times New Roman"/>
                <w:b/>
                <w:bCs/>
                <w:color w:val="000000"/>
                <w:kern w:val="0"/>
                <w:sz w:val="24"/>
                <w:szCs w:val="24"/>
              </w:rPr>
              <w:t>reat</w:t>
            </w:r>
            <w:r>
              <w:rPr>
                <w:rFonts w:hint="eastAsia" w:ascii="Times New Roman" w:hAnsi="Times New Roman" w:cs="Times New Roman"/>
                <w:b/>
                <w:bCs/>
                <w:color w:val="000000"/>
                <w:kern w:val="0"/>
                <w:sz w:val="24"/>
                <w:szCs w:val="24"/>
                <w:lang w:val="en-US" w:eastAsia="zh-CN"/>
              </w:rPr>
              <w:t>1.00</w:t>
            </w:r>
          </w:p>
        </w:tc>
        <w:tc>
          <w:tcPr>
            <w:tcW w:w="6719" w:type="dxa"/>
            <w:tcBorders>
              <w:top w:val="single" w:color="000000"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jc w:val="both"/>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rPr>
              <w:t>化疗方式CAPEOX和XELOX（两者这是俗名和学名的区别）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jc w:val="both"/>
              <w:rPr>
                <w:rFonts w:hint="default" w:ascii="黑体" w:hAnsi="黑体" w:eastAsia="黑体" w:cs="黑体"/>
                <w:b/>
                <w:bCs/>
                <w:color w:val="000000"/>
                <w:kern w:val="0"/>
                <w:sz w:val="30"/>
                <w:szCs w:val="30"/>
                <w:vertAlign w:val="baseline"/>
                <w:lang w:val="en-US" w:eastAsia="zh-CN" w:bidi="ar"/>
              </w:rPr>
            </w:pPr>
            <w:r>
              <w:rPr>
                <w:rFonts w:hint="eastAsia" w:ascii="Times New Roman" w:hAnsi="Times New Roman" w:cs="Times New Roman"/>
                <w:b/>
                <w:bCs/>
                <w:color w:val="000000"/>
                <w:kern w:val="0"/>
                <w:sz w:val="24"/>
                <w:szCs w:val="24"/>
              </w:rPr>
              <w:t>T</w:t>
            </w:r>
            <w:r>
              <w:rPr>
                <w:rFonts w:ascii="Times New Roman" w:hAnsi="Times New Roman" w:cs="Times New Roman"/>
                <w:b/>
                <w:bCs/>
                <w:color w:val="000000"/>
                <w:kern w:val="0"/>
                <w:sz w:val="24"/>
                <w:szCs w:val="24"/>
              </w:rPr>
              <w:t>reat</w:t>
            </w:r>
            <w:r>
              <w:rPr>
                <w:rFonts w:hint="eastAsia" w:ascii="Times New Roman" w:hAnsi="Times New Roman" w:cs="Times New Roman"/>
                <w:b/>
                <w:bCs/>
                <w:color w:val="000000"/>
                <w:kern w:val="0"/>
                <w:sz w:val="24"/>
                <w:szCs w:val="24"/>
                <w:lang w:val="en-US" w:eastAsia="zh-CN"/>
              </w:rPr>
              <w:t>2.00</w:t>
            </w:r>
          </w:p>
        </w:tc>
        <w:tc>
          <w:tcPr>
            <w:tcW w:w="6719"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jc w:val="both"/>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rPr>
              <w:t>FOLFOX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jc w:val="both"/>
              <w:rPr>
                <w:rFonts w:hint="default" w:ascii="黑体" w:hAnsi="黑体" w:cs="黑体" w:eastAsiaTheme="minorEastAsia"/>
                <w:b/>
                <w:bCs/>
                <w:color w:val="000000"/>
                <w:kern w:val="0"/>
                <w:sz w:val="30"/>
                <w:szCs w:val="30"/>
                <w:vertAlign w:val="baseline"/>
                <w:lang w:val="en-US" w:eastAsia="zh-CN" w:bidi="ar"/>
              </w:rPr>
            </w:pPr>
            <w:r>
              <w:rPr>
                <w:rFonts w:ascii="Times New Roman" w:hAnsi="Times New Roman" w:cs="Times New Roman"/>
                <w:b/>
                <w:bCs/>
                <w:color w:val="000000"/>
                <w:kern w:val="0"/>
                <w:sz w:val="24"/>
                <w:szCs w:val="24"/>
              </w:rPr>
              <w:t>Diagnosis</w:t>
            </w:r>
            <w:r>
              <w:rPr>
                <w:rFonts w:hint="eastAsia" w:ascii="Times New Roman" w:hAnsi="Times New Roman" w:cs="Times New Roman"/>
                <w:b/>
                <w:bCs/>
                <w:color w:val="000000"/>
                <w:kern w:val="0"/>
                <w:sz w:val="24"/>
                <w:szCs w:val="24"/>
                <w:lang w:val="en-US" w:eastAsia="zh-CN"/>
              </w:rPr>
              <w:t>1.00</w:t>
            </w:r>
          </w:p>
        </w:tc>
        <w:tc>
          <w:tcPr>
            <w:tcW w:w="6719"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jc w:val="both"/>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rPr>
              <w:t>直肠癌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jc w:val="both"/>
              <w:rPr>
                <w:rFonts w:hint="default" w:ascii="黑体" w:hAnsi="黑体" w:eastAsia="黑体" w:cs="黑体"/>
                <w:b/>
                <w:bCs/>
                <w:color w:val="000000"/>
                <w:kern w:val="0"/>
                <w:sz w:val="30"/>
                <w:szCs w:val="30"/>
                <w:vertAlign w:val="baseline"/>
                <w:lang w:val="en-US" w:eastAsia="zh-CN" w:bidi="ar"/>
              </w:rPr>
            </w:pPr>
            <w:r>
              <w:rPr>
                <w:rFonts w:ascii="Times New Roman" w:hAnsi="Times New Roman" w:cs="Times New Roman"/>
                <w:b/>
                <w:bCs/>
                <w:color w:val="000000"/>
                <w:kern w:val="0"/>
                <w:sz w:val="24"/>
                <w:szCs w:val="24"/>
              </w:rPr>
              <w:t>Diagnosis</w:t>
            </w:r>
            <w:r>
              <w:rPr>
                <w:rFonts w:hint="eastAsia" w:ascii="Times New Roman" w:hAnsi="Times New Roman" w:cs="Times New Roman"/>
                <w:b/>
                <w:bCs/>
                <w:color w:val="000000"/>
                <w:kern w:val="0"/>
                <w:sz w:val="24"/>
                <w:szCs w:val="24"/>
                <w:lang w:val="en-US" w:eastAsia="zh-CN"/>
              </w:rPr>
              <w:t>2.00</w:t>
            </w:r>
          </w:p>
        </w:tc>
        <w:tc>
          <w:tcPr>
            <w:tcW w:w="6719"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jc w:val="both"/>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rPr>
              <w:t>直肠腺癌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jc w:val="both"/>
              <w:rPr>
                <w:rFonts w:hint="default" w:ascii="黑体" w:hAnsi="黑体" w:cs="黑体" w:eastAsiaTheme="minorEastAsia"/>
                <w:b/>
                <w:bCs/>
                <w:color w:val="000000"/>
                <w:kern w:val="0"/>
                <w:sz w:val="30"/>
                <w:szCs w:val="30"/>
                <w:vertAlign w:val="baseline"/>
                <w:lang w:val="en-US" w:eastAsia="zh-CN" w:bidi="ar"/>
              </w:rPr>
            </w:pPr>
            <w:r>
              <w:rPr>
                <w:rFonts w:ascii="Times New Roman" w:hAnsi="Times New Roman" w:cs="Times New Roman"/>
                <w:b/>
                <w:bCs/>
                <w:color w:val="000000"/>
                <w:kern w:val="0"/>
                <w:sz w:val="24"/>
                <w:szCs w:val="24"/>
                <w:highlight w:val="none"/>
              </w:rPr>
              <w:t>Number</w:t>
            </w:r>
            <w:r>
              <w:rPr>
                <w:rFonts w:hint="eastAsia" w:ascii="Times New Roman" w:hAnsi="Times New Roman" w:cs="Times New Roman"/>
                <w:b/>
                <w:bCs/>
                <w:color w:val="000000"/>
                <w:kern w:val="0"/>
                <w:sz w:val="24"/>
                <w:szCs w:val="24"/>
                <w:highlight w:val="none"/>
                <w:lang w:val="en-US" w:eastAsia="zh-CN"/>
              </w:rPr>
              <w:t>0</w:t>
            </w:r>
          </w:p>
        </w:tc>
        <w:tc>
          <w:tcPr>
            <w:tcW w:w="6719"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jc w:val="both"/>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无淋巴结转移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jc w:val="both"/>
              <w:rPr>
                <w:rFonts w:hint="eastAsia" w:ascii="黑体" w:hAnsi="黑体" w:cs="黑体" w:eastAsiaTheme="minorEastAsia"/>
                <w:b/>
                <w:bCs/>
                <w:color w:val="000000"/>
                <w:kern w:val="0"/>
                <w:sz w:val="30"/>
                <w:szCs w:val="30"/>
                <w:vertAlign w:val="baseline"/>
                <w:lang w:val="en-US" w:eastAsia="zh-CN" w:bidi="ar"/>
              </w:rPr>
            </w:pPr>
            <w:r>
              <w:rPr>
                <w:rFonts w:ascii="Times New Roman" w:hAnsi="Times New Roman" w:cs="Times New Roman"/>
                <w:b/>
                <w:bCs/>
                <w:color w:val="000000"/>
                <w:kern w:val="0"/>
                <w:sz w:val="24"/>
                <w:szCs w:val="24"/>
                <w:highlight w:val="none"/>
              </w:rPr>
              <w:t>Number</w:t>
            </w:r>
            <w:r>
              <w:rPr>
                <w:rFonts w:hint="eastAsia" w:ascii="Times New Roman" w:hAnsi="Times New Roman" w:cs="Times New Roman"/>
                <w:b/>
                <w:bCs/>
                <w:color w:val="000000"/>
                <w:kern w:val="0"/>
                <w:sz w:val="24"/>
                <w:szCs w:val="24"/>
                <w:highlight w:val="none"/>
                <w:lang w:val="en-US" w:eastAsia="zh-CN"/>
              </w:rPr>
              <w:t>1</w:t>
            </w:r>
          </w:p>
        </w:tc>
        <w:tc>
          <w:tcPr>
            <w:tcW w:w="6719" w:type="dxa"/>
            <w:tcBorders>
              <w:top w:val="dotted" w:color="auto" w:sz="8" w:space="0"/>
              <w:left w:val="dotted" w:color="auto" w:sz="8" w:space="0"/>
              <w:bottom w:val="dotted" w:color="auto" w:sz="8" w:space="0"/>
              <w:right w:val="dotted" w:color="auto" w:sz="8" w:space="0"/>
            </w:tcBorders>
            <w:shd w:val="clear" w:color="auto" w:fill="FFFFFF"/>
          </w:tcPr>
          <w:p>
            <w:pPr>
              <w:autoSpaceDE w:val="0"/>
              <w:autoSpaceDN w:val="0"/>
              <w:adjustRightInd w:val="0"/>
              <w:spacing w:before="156" w:beforeLines="50" w:line="360" w:lineRule="atLeast"/>
              <w:jc w:val="both"/>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有淋巴结转移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580"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jc w:val="both"/>
              <w:rPr>
                <w:rFonts w:hint="default" w:ascii="黑体" w:hAnsi="黑体" w:eastAsia="黑体" w:cs="黑体"/>
                <w:b/>
                <w:bCs/>
                <w:color w:val="000000"/>
                <w:kern w:val="0"/>
                <w:sz w:val="30"/>
                <w:szCs w:val="30"/>
                <w:vertAlign w:val="baseline"/>
                <w:lang w:val="en-US" w:eastAsia="zh-CN" w:bidi="ar"/>
              </w:rPr>
            </w:pPr>
            <m:oMathPara>
              <m:oMath>
                <m:sSup>
                  <m:sSupPr>
                    <m:ctrlPr>
                      <w:rPr>
                        <w:rFonts w:ascii="Cambria Math" w:hAnsi="Cambria Math" w:cs="Times New Roman"/>
                        <w:b/>
                        <w:bCs/>
                        <w:i/>
                        <w:color w:val="000000"/>
                        <w:kern w:val="0"/>
                        <w:sz w:val="28"/>
                        <w:szCs w:val="28"/>
                      </w:rPr>
                    </m:ctrlPr>
                  </m:sSupPr>
                  <m:e>
                    <m:r>
                      <m:rPr>
                        <m:sty m:val="bi"/>
                      </m:rPr>
                      <w:rPr>
                        <w:rFonts w:hint="default" w:ascii="Cambria Math" w:hAnsi="Cambria Math" w:cs="Times New Roman"/>
                        <w:color w:val="000000"/>
                        <w:kern w:val="0"/>
                        <w:sz w:val="28"/>
                        <w:szCs w:val="28"/>
                      </w:rPr>
                      <m:t>χ</m:t>
                    </m:r>
                    <m:ctrlPr>
                      <w:rPr>
                        <w:rFonts w:ascii="Cambria Math" w:hAnsi="Cambria Math" w:cs="Times New Roman"/>
                        <w:b/>
                        <w:bCs/>
                        <w:i/>
                        <w:color w:val="000000"/>
                        <w:kern w:val="0"/>
                        <w:sz w:val="28"/>
                        <w:szCs w:val="28"/>
                      </w:rPr>
                    </m:ctrlPr>
                  </m:e>
                  <m:sup>
                    <m:r>
                      <m:rPr>
                        <m:sty m:val="bi"/>
                      </m:rPr>
                      <w:rPr>
                        <w:rFonts w:hint="default" w:ascii="Cambria Math" w:hAnsi="Cambria Math" w:cs="Times New Roman"/>
                        <w:color w:val="000000"/>
                        <w:kern w:val="0"/>
                        <w:sz w:val="28"/>
                        <w:szCs w:val="28"/>
                      </w:rPr>
                      <m:t>2</m:t>
                    </m:r>
                    <m:ctrlPr>
                      <w:rPr>
                        <w:rFonts w:ascii="Cambria Math" w:hAnsi="Cambria Math" w:cs="Times New Roman"/>
                        <w:b/>
                        <w:bCs/>
                        <w:i/>
                        <w:color w:val="000000"/>
                        <w:kern w:val="0"/>
                        <w:sz w:val="28"/>
                        <w:szCs w:val="28"/>
                      </w:rPr>
                    </m:ctrlPr>
                  </m:sup>
                </m:sSup>
              </m:oMath>
            </m:oMathPara>
          </w:p>
        </w:tc>
        <w:tc>
          <w:tcPr>
            <w:tcW w:w="6719" w:type="dxa"/>
            <w:tcBorders>
              <w:top w:val="dotted" w:color="auto" w:sz="8" w:space="0"/>
              <w:left w:val="dotted" w:color="auto" w:sz="8" w:space="0"/>
              <w:bottom w:val="dotted" w:color="auto" w:sz="8" w:space="0"/>
              <w:right w:val="dotted" w:color="auto" w:sz="8" w:space="0"/>
            </w:tcBorders>
            <w:shd w:val="clear" w:color="auto" w:fill="CCCCCC"/>
          </w:tcPr>
          <w:p>
            <w:pPr>
              <w:autoSpaceDE w:val="0"/>
              <w:autoSpaceDN w:val="0"/>
              <w:adjustRightInd w:val="0"/>
              <w:spacing w:before="156" w:beforeLines="50" w:line="360" w:lineRule="atLeast"/>
              <w:jc w:val="both"/>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皮尔逊卡方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580" w:type="dxa"/>
            <w:tcBorders>
              <w:top w:val="dotted" w:color="auto" w:sz="8" w:space="0"/>
              <w:left w:val="dotted" w:color="auto" w:sz="8" w:space="0"/>
              <w:bottom w:val="single" w:color="000000" w:sz="8" w:space="0"/>
              <w:right w:val="dotted" w:color="auto" w:sz="8" w:space="0"/>
            </w:tcBorders>
            <w:shd w:val="clear" w:color="auto" w:fill="FFFFFF"/>
          </w:tcPr>
          <w:p>
            <w:pPr>
              <w:autoSpaceDE w:val="0"/>
              <w:autoSpaceDN w:val="0"/>
              <w:adjustRightInd w:val="0"/>
              <w:spacing w:before="156" w:beforeLines="50" w:line="360" w:lineRule="atLeast"/>
              <w:jc w:val="both"/>
              <w:rPr>
                <w:rFonts w:hint="default" w:ascii="黑体" w:hAnsi="黑体" w:eastAsia="黑体" w:cs="黑体"/>
                <w:b/>
                <w:bCs/>
                <w:color w:val="000000"/>
                <w:kern w:val="0"/>
                <w:sz w:val="30"/>
                <w:szCs w:val="30"/>
                <w:vertAlign w:val="baseline"/>
                <w:lang w:val="en-US" w:eastAsia="zh-CN" w:bidi="ar"/>
              </w:rPr>
            </w:pPr>
            <m:oMathPara>
              <m:oMath>
                <m:sSubSup>
                  <m:sSubSupPr>
                    <m:ctrlPr>
                      <w:rPr>
                        <w:rFonts w:ascii="Cambria Math" w:hAnsi="Cambria Math" w:cs="Times New Roman"/>
                        <w:b/>
                        <w:bCs/>
                        <w:i/>
                        <w:color w:val="000000"/>
                        <w:kern w:val="0"/>
                        <w:sz w:val="28"/>
                        <w:szCs w:val="28"/>
                      </w:rPr>
                    </m:ctrlPr>
                  </m:sSubSupPr>
                  <m:e>
                    <m:r>
                      <m:rPr>
                        <m:sty m:val="bi"/>
                      </m:rPr>
                      <w:rPr>
                        <w:rFonts w:hint="default" w:ascii="Cambria Math" w:hAnsi="Cambria Math" w:cs="Times New Roman"/>
                        <w:color w:val="000000"/>
                        <w:kern w:val="0"/>
                        <w:sz w:val="28"/>
                        <w:szCs w:val="28"/>
                      </w:rPr>
                      <m:t>χ</m:t>
                    </m:r>
                    <m:ctrlPr>
                      <w:rPr>
                        <w:rFonts w:ascii="Cambria Math" w:hAnsi="Cambria Math" w:cs="Times New Roman"/>
                        <w:b/>
                        <w:bCs/>
                        <w:i/>
                        <w:color w:val="000000"/>
                        <w:kern w:val="0"/>
                        <w:sz w:val="28"/>
                        <w:szCs w:val="28"/>
                      </w:rPr>
                    </m:ctrlPr>
                  </m:e>
                  <m:sub>
                    <m:r>
                      <m:rPr>
                        <m:sty m:val="bi"/>
                      </m:rPr>
                      <w:rPr>
                        <w:rFonts w:hint="default" w:ascii="Cambria Math" w:hAnsi="Cambria Math" w:cs="Times New Roman"/>
                        <w:color w:val="000000"/>
                        <w:kern w:val="0"/>
                        <w:sz w:val="28"/>
                        <w:szCs w:val="28"/>
                      </w:rPr>
                      <m:t>L</m:t>
                    </m:r>
                    <m:ctrlPr>
                      <w:rPr>
                        <w:rFonts w:ascii="Cambria Math" w:hAnsi="Cambria Math" w:cs="Times New Roman"/>
                        <w:b/>
                        <w:bCs/>
                        <w:i/>
                        <w:color w:val="000000"/>
                        <w:kern w:val="0"/>
                        <w:sz w:val="28"/>
                        <w:szCs w:val="28"/>
                      </w:rPr>
                    </m:ctrlPr>
                  </m:sub>
                  <m:sup>
                    <m:r>
                      <m:rPr>
                        <m:sty m:val="bi"/>
                      </m:rPr>
                      <w:rPr>
                        <w:rFonts w:hint="default" w:ascii="Cambria Math" w:hAnsi="Cambria Math" w:cs="Times New Roman"/>
                        <w:color w:val="000000"/>
                        <w:kern w:val="0"/>
                        <w:sz w:val="28"/>
                        <w:szCs w:val="28"/>
                      </w:rPr>
                      <m:t>2</m:t>
                    </m:r>
                    <m:ctrlPr>
                      <w:rPr>
                        <w:rFonts w:ascii="Cambria Math" w:hAnsi="Cambria Math" w:cs="Times New Roman"/>
                        <w:b/>
                        <w:bCs/>
                        <w:i/>
                        <w:color w:val="000000"/>
                        <w:kern w:val="0"/>
                        <w:sz w:val="28"/>
                        <w:szCs w:val="28"/>
                      </w:rPr>
                    </m:ctrlPr>
                  </m:sup>
                </m:sSubSup>
              </m:oMath>
            </m:oMathPara>
          </w:p>
        </w:tc>
        <w:tc>
          <w:tcPr>
            <w:tcW w:w="6719" w:type="dxa"/>
            <w:tcBorders>
              <w:top w:val="dotted" w:color="auto" w:sz="8" w:space="0"/>
              <w:left w:val="dotted" w:color="auto" w:sz="8" w:space="0"/>
              <w:bottom w:val="single" w:color="000000" w:sz="8" w:space="0"/>
              <w:right w:val="dotted" w:color="auto" w:sz="8" w:space="0"/>
            </w:tcBorders>
            <w:shd w:val="clear" w:color="auto" w:fill="FFFFFF"/>
          </w:tcPr>
          <w:p>
            <w:pPr>
              <w:autoSpaceDE w:val="0"/>
              <w:autoSpaceDN w:val="0"/>
              <w:adjustRightInd w:val="0"/>
              <w:spacing w:before="156" w:beforeLines="50" w:line="360" w:lineRule="atLeast"/>
              <w:jc w:val="both"/>
              <w:rPr>
                <w:rFonts w:hint="eastAsia"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rPr>
              <w:t>似然比</w:t>
            </w:r>
          </w:p>
        </w:tc>
      </w:tr>
    </w:tbl>
    <w:p>
      <w:pPr>
        <w:pStyle w:val="6"/>
        <w:bidi w:val="0"/>
        <w:outlineLvl w:val="9"/>
        <w:rPr>
          <w:rFonts w:hint="default"/>
          <w:lang w:val="en-US" w:eastAsia="zh-CN"/>
        </w:rPr>
      </w:pPr>
    </w:p>
    <w:p>
      <w:pPr>
        <w:pStyle w:val="6"/>
        <w:bidi w:val="0"/>
        <w:rPr>
          <w:rFonts w:hint="eastAsia"/>
          <w:lang w:val="en-US" w:eastAsia="zh-CN"/>
        </w:rPr>
      </w:pPr>
      <w:r>
        <w:rPr>
          <w:rFonts w:hint="eastAsia"/>
          <w:lang w:val="en-US" w:eastAsia="zh-CN"/>
        </w:rPr>
        <w:t xml:space="preserve">5.1.1.2 </w:t>
      </w:r>
      <w:r>
        <w:rPr>
          <w:rFonts w:hint="eastAsia"/>
        </w:rPr>
        <w:t>诊断结果、化疗方案</w:t>
      </w:r>
      <w:r>
        <w:rPr>
          <w:rFonts w:hint="eastAsia"/>
          <w:lang w:val="en-US" w:eastAsia="zh-CN"/>
        </w:rPr>
        <w:t>与</w:t>
      </w:r>
      <w:r>
        <w:rPr>
          <w:rFonts w:hint="eastAsia"/>
        </w:rPr>
        <w:t>术后淋巴结转移情况</w:t>
      </w:r>
      <w:r>
        <w:rPr>
          <w:rFonts w:hint="eastAsia"/>
          <w:lang w:val="en-US" w:eastAsia="zh-CN"/>
        </w:rPr>
        <w:t>的独立性检验</w:t>
      </w:r>
    </w:p>
    <w:p>
      <w:pPr>
        <w:autoSpaceDE w:val="0"/>
        <w:autoSpaceDN w:val="0"/>
        <w:adjustRightInd w:val="0"/>
        <w:spacing w:before="156" w:beforeLines="50" w:line="360" w:lineRule="atLeast"/>
        <w:jc w:val="left"/>
        <w:rPr>
          <w:rFonts w:hint="default" w:ascii="黑体" w:hAnsi="黑体" w:eastAsia="黑体" w:cs="黑体"/>
          <w:sz w:val="30"/>
          <w:szCs w:val="30"/>
          <w:lang w:val="en-US" w:eastAsia="zh-CN"/>
        </w:rPr>
      </w:pPr>
    </w:p>
    <w:p>
      <w:pPr>
        <w:rPr>
          <w:rFonts w:hint="eastAsia" w:ascii="宋体" w:hAnsi="宋体" w:eastAsia="宋体"/>
          <w:sz w:val="24"/>
          <w:szCs w:val="24"/>
        </w:rPr>
      </w:pPr>
      <w:r>
        <w:rPr>
          <w:rFonts w:hint="eastAsia" w:ascii="宋体" w:hAnsi="宋体" w:eastAsia="宋体"/>
          <w:sz w:val="24"/>
          <w:szCs w:val="24"/>
        </w:rPr>
        <w:t>假设诊断结果和化疗方案与术后淋巴结转移情况无关</w:t>
      </w:r>
    </w:p>
    <w:p>
      <w:pPr>
        <w:rPr>
          <w:rFonts w:hint="eastAsia" w:ascii="宋体" w:hAnsi="宋体" w:eastAsia="宋体"/>
          <w:sz w:val="24"/>
          <w:szCs w:val="24"/>
        </w:rPr>
      </w:pPr>
      <w:r>
        <w:rPr>
          <w:rFonts w:hint="eastAsia" w:ascii="宋体" w:hAnsi="宋体" w:eastAsia="宋体"/>
          <w:sz w:val="24"/>
          <w:szCs w:val="24"/>
        </w:rPr>
        <w:t>得到</w:t>
      </w:r>
      <w:r>
        <w:rPr>
          <w:rFonts w:hint="eastAsia" w:ascii="宋体" w:hAnsi="宋体" w:eastAsia="宋体"/>
          <w:sz w:val="24"/>
          <w:szCs w:val="24"/>
          <w:lang w:val="en-US" w:eastAsia="zh-CN"/>
        </w:rPr>
        <w:t>以下三维</w:t>
      </w:r>
      <w:r>
        <w:rPr>
          <w:rFonts w:hint="eastAsia" w:ascii="宋体" w:hAnsi="宋体" w:eastAsia="宋体"/>
          <w:sz w:val="24"/>
          <w:szCs w:val="24"/>
        </w:rPr>
        <w:t>列联表（1）</w:t>
      </w:r>
    </w:p>
    <w:p>
      <w:pPr>
        <w:numPr>
          <w:ilvl w:val="0"/>
          <w:numId w:val="1"/>
        </w:numPr>
        <w:tabs>
          <w:tab w:val="left" w:pos="4143"/>
          <w:tab w:val="center" w:pos="4933"/>
        </w:tabs>
        <w:autoSpaceDE w:val="0"/>
        <w:autoSpaceDN w:val="0"/>
        <w:adjustRightInd w:val="0"/>
        <w:ind w:left="210" w:leftChars="0" w:firstLine="0" w:firstLineChars="0"/>
        <w:jc w:val="center"/>
        <w:rPr>
          <w:rFonts w:hint="eastAsia" w:ascii="Times New Roman" w:hAnsi="Times New Roman" w:cs="Times New Roman"/>
          <w:kern w:val="0"/>
          <w:sz w:val="24"/>
          <w:szCs w:val="24"/>
        </w:rPr>
      </w:pPr>
      <w:r>
        <w:rPr>
          <w:rFonts w:hint="eastAsia" w:ascii="Times New Roman" w:hAnsi="Times New Roman" w:cs="Times New Roman"/>
          <w:kern w:val="0"/>
          <w:sz w:val="24"/>
          <w:szCs w:val="24"/>
        </w:rPr>
        <w:t>列联表（1）</w:t>
      </w:r>
    </w:p>
    <w:tbl>
      <w:tblPr>
        <w:tblStyle w:val="10"/>
        <w:tblW w:w="727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737"/>
        <w:gridCol w:w="738"/>
        <w:gridCol w:w="1969"/>
        <w:gridCol w:w="1030"/>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265" w:type="dxa"/>
            <w:gridSpan w:val="7"/>
            <w:tcBorders>
              <w:top w:val="nil"/>
              <w:left w:val="nil"/>
              <w:bottom w:val="nil"/>
              <w:right w:val="nil"/>
            </w:tcBorders>
            <w:shd w:val="clear" w:color="auto" w:fill="FFFFFF"/>
            <w:vAlign w:val="center"/>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22"/>
              </w:rPr>
            </w:pPr>
            <w:r>
              <w:rPr>
                <w:rFonts w:ascii="MingLiU" w:hAnsi="Times New Roman" w:eastAsia="MingLiU" w:cs="MingLiU"/>
                <w:b/>
                <w:bCs/>
                <w:color w:val="010205"/>
                <w:kern w:val="0"/>
                <w:sz w:val="22"/>
              </w:rPr>
              <w:t xml:space="preserve">treat * number * diagnosis </w:t>
            </w:r>
            <w:r>
              <w:rPr>
                <w:rFonts w:hint="eastAsia" w:ascii="MingLiU" w:hAnsi="Times New Roman" w:eastAsia="MingLiU" w:cs="MingLiU"/>
                <w:b/>
                <w:bCs/>
                <w:color w:val="010205"/>
                <w:kern w:val="0"/>
                <w:sz w:val="22"/>
              </w:rPr>
              <w:t>交叉表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178" w:type="dxa"/>
            <w:gridSpan w:val="4"/>
            <w:vMerge w:val="restart"/>
            <w:tcBorders>
              <w:top w:val="nil"/>
              <w:left w:val="nil"/>
              <w:bottom w:val="nil"/>
              <w:right w:val="nil"/>
            </w:tcBorders>
            <w:shd w:val="clear" w:color="auto" w:fill="FFFFFF"/>
            <w:vAlign w:val="bottom"/>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diagnosis</w:t>
            </w:r>
          </w:p>
        </w:tc>
        <w:tc>
          <w:tcPr>
            <w:tcW w:w="2058" w:type="dxa"/>
            <w:gridSpan w:val="2"/>
            <w:tcBorders>
              <w:top w:val="nil"/>
              <w:left w:val="nil"/>
              <w:bottom w:val="nil"/>
              <w:right w:val="single" w:color="E0E0E0" w:sz="8" w:space="0"/>
            </w:tcBorders>
            <w:shd w:val="clear" w:color="auto" w:fill="FFFFFF"/>
            <w:vAlign w:val="bottom"/>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number</w:t>
            </w:r>
          </w:p>
        </w:tc>
        <w:tc>
          <w:tcPr>
            <w:tcW w:w="1029" w:type="dxa"/>
            <w:vMerge w:val="restart"/>
            <w:tcBorders>
              <w:top w:val="nil"/>
              <w:left w:val="single" w:color="E0E0E0" w:sz="8" w:space="0"/>
              <w:bottom w:val="nil"/>
              <w:right w:val="nil"/>
            </w:tcBorders>
            <w:shd w:val="clear" w:color="auto" w:fill="FFFFFF"/>
            <w:vAlign w:val="bottom"/>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178" w:type="dxa"/>
            <w:gridSpan w:val="4"/>
            <w:vMerge w:val="continue"/>
            <w:tcBorders>
              <w:top w:val="nil"/>
              <w:left w:val="nil"/>
              <w:bottom w:val="nil"/>
              <w:right w:val="nil"/>
            </w:tcBorders>
            <w:shd w:val="clear" w:color="auto" w:fill="FFFFFF"/>
            <w:vAlign w:val="bottom"/>
          </w:tcPr>
          <w:p>
            <w:pPr>
              <w:autoSpaceDE w:val="0"/>
              <w:autoSpaceDN w:val="0"/>
              <w:adjustRightInd w:val="0"/>
              <w:jc w:val="center"/>
              <w:rPr>
                <w:rFonts w:ascii="MingLiU" w:hAnsi="Times New Roman" w:eastAsia="MingLiU" w:cs="MingLiU"/>
                <w:color w:val="264A60"/>
                <w:kern w:val="0"/>
                <w:sz w:val="18"/>
                <w:szCs w:val="18"/>
              </w:rPr>
            </w:pPr>
          </w:p>
        </w:tc>
        <w:tc>
          <w:tcPr>
            <w:tcW w:w="1029" w:type="dxa"/>
            <w:tcBorders>
              <w:top w:val="nil"/>
              <w:left w:val="nil"/>
              <w:bottom w:val="single" w:color="152935" w:sz="8" w:space="0"/>
              <w:right w:val="single" w:color="E0E0E0" w:sz="8" w:space="0"/>
            </w:tcBorders>
            <w:shd w:val="clear" w:color="auto" w:fill="FFFFFF"/>
            <w:vAlign w:val="bottom"/>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.00</w:t>
            </w:r>
          </w:p>
        </w:tc>
        <w:tc>
          <w:tcPr>
            <w:tcW w:w="1029" w:type="dxa"/>
            <w:tcBorders>
              <w:top w:val="nil"/>
              <w:left w:val="single" w:color="E0E0E0" w:sz="8" w:space="0"/>
              <w:bottom w:val="single" w:color="152935" w:sz="8" w:space="0"/>
              <w:right w:val="single" w:color="E0E0E0" w:sz="8" w:space="0"/>
            </w:tcBorders>
            <w:shd w:val="clear" w:color="auto" w:fill="FFFFFF"/>
            <w:vAlign w:val="bottom"/>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029" w:type="dxa"/>
            <w:vMerge w:val="continue"/>
            <w:tcBorders>
              <w:top w:val="nil"/>
              <w:left w:val="single" w:color="E0E0E0" w:sz="8" w:space="0"/>
              <w:bottom w:val="nil"/>
              <w:right w:val="nil"/>
            </w:tcBorders>
            <w:shd w:val="clear" w:color="auto" w:fill="FFFFFF"/>
            <w:vAlign w:val="bottom"/>
          </w:tcPr>
          <w:p>
            <w:pPr>
              <w:autoSpaceDE w:val="0"/>
              <w:autoSpaceDN w:val="0"/>
              <w:adjustRightInd w:val="0"/>
              <w:jc w:val="center"/>
              <w:rPr>
                <w:rFonts w:ascii="MingLiU" w:hAnsi="Times New Roman" w:eastAsia="MingLiU" w:cs="MingLiU"/>
                <w:color w:val="264A60"/>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152935"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737" w:type="dxa"/>
            <w:vMerge w:val="restart"/>
            <w:tcBorders>
              <w:top w:val="single" w:color="152935"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treat</w:t>
            </w:r>
          </w:p>
        </w:tc>
        <w:tc>
          <w:tcPr>
            <w:tcW w:w="737" w:type="dxa"/>
            <w:vMerge w:val="restart"/>
            <w:tcBorders>
              <w:top w:val="single" w:color="152935"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967" w:type="dxa"/>
            <w:tcBorders>
              <w:top w:val="single" w:color="152935"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152935"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w:t>
            </w:r>
          </w:p>
        </w:tc>
        <w:tc>
          <w:tcPr>
            <w:tcW w:w="1029" w:type="dxa"/>
            <w:tcBorders>
              <w:top w:val="single" w:color="152935"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w:t>
            </w:r>
          </w:p>
        </w:tc>
        <w:tc>
          <w:tcPr>
            <w:tcW w:w="1029" w:type="dxa"/>
            <w:tcBorders>
              <w:top w:val="single" w:color="152935"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4.3</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75.0%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33.3%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85.7%</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15.4%</w:t>
            </w:r>
          </w:p>
        </w:tc>
        <w:tc>
          <w:tcPr>
            <w:tcW w:w="1029" w:type="dxa"/>
            <w:tcBorders>
              <w:top w:val="single" w:color="AEAEAE" w:sz="8" w:space="0"/>
              <w:left w:val="single" w:color="E0E0E0" w:sz="8" w:space="0"/>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46.2%</w:t>
            </w:r>
          </w:p>
        </w:tc>
        <w:tc>
          <w:tcPr>
            <w:tcW w:w="1029" w:type="dxa"/>
            <w:tcBorders>
              <w:top w:val="single" w:color="AEAEAE" w:sz="8" w:space="0"/>
              <w:left w:val="single" w:color="E0E0E0" w:sz="8" w:space="0"/>
              <w:bottom w:val="nil"/>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2.7</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66.7%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14.3%</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30.8%</w:t>
            </w:r>
          </w:p>
        </w:tc>
        <w:tc>
          <w:tcPr>
            <w:tcW w:w="1029" w:type="dxa"/>
            <w:tcBorders>
              <w:top w:val="single" w:color="AEAEAE" w:sz="8" w:space="0"/>
              <w:left w:val="single" w:color="E0E0E0" w:sz="8" w:space="0"/>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7.7%</w:t>
            </w:r>
          </w:p>
        </w:tc>
        <w:tc>
          <w:tcPr>
            <w:tcW w:w="1029" w:type="dxa"/>
            <w:tcBorders>
              <w:top w:val="single" w:color="AEAEAE" w:sz="8" w:space="0"/>
              <w:left w:val="single" w:color="E0E0E0" w:sz="8" w:space="0"/>
              <w:bottom w:val="nil"/>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46.2%</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53.8%</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46.2%</w:t>
            </w:r>
          </w:p>
        </w:tc>
        <w:tc>
          <w:tcPr>
            <w:tcW w:w="1029" w:type="dxa"/>
            <w:tcBorders>
              <w:top w:val="single" w:color="AEAEAE" w:sz="8" w:space="0"/>
              <w:left w:val="single" w:color="E0E0E0" w:sz="8" w:space="0"/>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53.8%</w:t>
            </w:r>
          </w:p>
        </w:tc>
        <w:tc>
          <w:tcPr>
            <w:tcW w:w="1029" w:type="dxa"/>
            <w:tcBorders>
              <w:top w:val="single" w:color="AEAEAE" w:sz="8" w:space="0"/>
              <w:left w:val="single" w:color="E0E0E0" w:sz="8" w:space="0"/>
              <w:bottom w:val="nil"/>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737" w:type="dxa"/>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treat</w:t>
            </w:r>
          </w:p>
        </w:tc>
        <w:tc>
          <w:tcPr>
            <w:tcW w:w="737" w:type="dxa"/>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11.7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5.3</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76.5%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23.5%</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65.0%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44.4%</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44.8%</w:t>
            </w:r>
          </w:p>
        </w:tc>
        <w:tc>
          <w:tcPr>
            <w:tcW w:w="1029" w:type="dxa"/>
            <w:tcBorders>
              <w:top w:val="single" w:color="AEAEAE" w:sz="8" w:space="0"/>
              <w:left w:val="single" w:color="E0E0E0" w:sz="8" w:space="0"/>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13.8%</w:t>
            </w:r>
          </w:p>
        </w:tc>
        <w:tc>
          <w:tcPr>
            <w:tcW w:w="1029" w:type="dxa"/>
            <w:tcBorders>
              <w:top w:val="single" w:color="AEAEAE" w:sz="8" w:space="0"/>
              <w:left w:val="single" w:color="E0E0E0" w:sz="8" w:space="0"/>
              <w:bottom w:val="nil"/>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58.3%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41.7%</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35.0%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55.6%</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24.1%</w:t>
            </w:r>
          </w:p>
        </w:tc>
        <w:tc>
          <w:tcPr>
            <w:tcW w:w="1029" w:type="dxa"/>
            <w:tcBorders>
              <w:top w:val="single" w:color="AEAEAE" w:sz="8" w:space="0"/>
              <w:left w:val="single" w:color="E0E0E0" w:sz="8" w:space="0"/>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17.2%</w:t>
            </w:r>
          </w:p>
        </w:tc>
        <w:tc>
          <w:tcPr>
            <w:tcW w:w="1029" w:type="dxa"/>
            <w:tcBorders>
              <w:top w:val="single" w:color="AEAEAE" w:sz="8" w:space="0"/>
              <w:left w:val="single" w:color="E0E0E0" w:sz="8" w:space="0"/>
              <w:bottom w:val="nil"/>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9</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9.0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69.0%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31.0%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69.0%</w:t>
            </w:r>
          </w:p>
        </w:tc>
        <w:tc>
          <w:tcPr>
            <w:tcW w:w="1029" w:type="dxa"/>
            <w:tcBorders>
              <w:top w:val="single" w:color="AEAEAE" w:sz="8" w:space="0"/>
              <w:left w:val="single" w:color="E0E0E0" w:sz="8" w:space="0"/>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31.0%</w:t>
            </w:r>
          </w:p>
        </w:tc>
        <w:tc>
          <w:tcPr>
            <w:tcW w:w="1029" w:type="dxa"/>
            <w:tcBorders>
              <w:top w:val="single" w:color="AEAEAE" w:sz="8" w:space="0"/>
              <w:left w:val="single" w:color="E0E0E0" w:sz="8" w:space="0"/>
              <w:bottom w:val="nil"/>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AEAEAE" w:sz="8" w:space="0"/>
              <w:left w:val="nil"/>
              <w:bottom w:val="single" w:color="152935"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737" w:type="dxa"/>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b/>
                <w:bCs/>
                <w:color w:val="264A60"/>
                <w:kern w:val="0"/>
                <w:sz w:val="24"/>
                <w:szCs w:val="24"/>
              </w:rPr>
              <w:t>treat</w:t>
            </w:r>
          </w:p>
        </w:tc>
        <w:tc>
          <w:tcPr>
            <w:tcW w:w="737" w:type="dxa"/>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9.5</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57.7%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62.5%</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35.7%</w:t>
            </w:r>
          </w:p>
        </w:tc>
        <w:tc>
          <w:tcPr>
            <w:tcW w:w="1029" w:type="dxa"/>
            <w:tcBorders>
              <w:top w:val="single" w:color="AEAEAE" w:sz="8" w:space="0"/>
              <w:left w:val="single" w:color="E0E0E0" w:sz="8" w:space="0"/>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23.8%</w:t>
            </w:r>
          </w:p>
        </w:tc>
        <w:tc>
          <w:tcPr>
            <w:tcW w:w="1029" w:type="dxa"/>
            <w:tcBorders>
              <w:top w:val="single" w:color="AEAEAE" w:sz="8" w:space="0"/>
              <w:left w:val="single" w:color="E0E0E0" w:sz="8" w:space="0"/>
              <w:bottom w:val="nil"/>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11</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6.5</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64.7%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35.3%</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37.5%</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nil"/>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26.2%</w:t>
            </w:r>
          </w:p>
        </w:tc>
        <w:tc>
          <w:tcPr>
            <w:tcW w:w="1029" w:type="dxa"/>
            <w:tcBorders>
              <w:top w:val="single" w:color="AEAEAE" w:sz="8" w:space="0"/>
              <w:left w:val="single" w:color="E0E0E0" w:sz="8" w:space="0"/>
              <w:bottom w:val="nil"/>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14.3%</w:t>
            </w:r>
          </w:p>
        </w:tc>
        <w:tc>
          <w:tcPr>
            <w:tcW w:w="1029" w:type="dxa"/>
            <w:tcBorders>
              <w:top w:val="single" w:color="AEAEAE" w:sz="8" w:space="0"/>
              <w:left w:val="single" w:color="E0E0E0" w:sz="8" w:space="0"/>
              <w:bottom w:val="nil"/>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restart"/>
            <w:tcBorders>
              <w:top w:val="single" w:color="AEAEAE" w:sz="8" w:space="0"/>
              <w:left w:val="nil"/>
              <w:bottom w:val="single" w:color="152935"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treat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61.9%</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38.1%</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AEAEAE"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29" w:type="dxa"/>
            <w:tcBorders>
              <w:top w:val="single" w:color="AEAEAE" w:sz="8" w:space="0"/>
              <w:left w:val="nil"/>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29" w:type="dxa"/>
            <w:tcBorders>
              <w:top w:val="single" w:color="AEAEAE" w:sz="8" w:space="0"/>
              <w:left w:val="single" w:color="E0E0E0" w:sz="8" w:space="0"/>
              <w:bottom w:val="single" w:color="AEAEAE"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967" w:type="dxa"/>
            <w:tcBorders>
              <w:top w:val="single" w:color="AEAEAE" w:sz="8" w:space="0"/>
              <w:left w:val="nil"/>
              <w:bottom w:val="single" w:color="152935" w:sz="8" w:space="0"/>
              <w:right w:val="nil"/>
            </w:tcBorders>
            <w:shd w:val="clear" w:color="auto" w:fill="E0E0E0"/>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占总计的百分比</w:t>
            </w:r>
          </w:p>
        </w:tc>
        <w:tc>
          <w:tcPr>
            <w:tcW w:w="1029" w:type="dxa"/>
            <w:tcBorders>
              <w:top w:val="single" w:color="AEAEAE" w:sz="8" w:space="0"/>
              <w:left w:val="nil"/>
              <w:bottom w:val="single" w:color="152935"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61.9%</w:t>
            </w:r>
          </w:p>
        </w:tc>
        <w:tc>
          <w:tcPr>
            <w:tcW w:w="1029" w:type="dxa"/>
            <w:tcBorders>
              <w:top w:val="single" w:color="AEAEAE" w:sz="8" w:space="0"/>
              <w:left w:val="single" w:color="E0E0E0" w:sz="8" w:space="0"/>
              <w:bottom w:val="single" w:color="152935" w:sz="8" w:space="0"/>
              <w:right w:val="single" w:color="E0E0E0" w:sz="8" w:space="0"/>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38.1%</w:t>
            </w:r>
          </w:p>
        </w:tc>
        <w:tc>
          <w:tcPr>
            <w:tcW w:w="1029" w:type="dxa"/>
            <w:tcBorders>
              <w:top w:val="single" w:color="AEAEAE" w:sz="8" w:space="0"/>
              <w:left w:val="single" w:color="E0E0E0" w:sz="8" w:space="0"/>
              <w:bottom w:val="single" w:color="152935" w:sz="8" w:space="0"/>
              <w:right w:val="nil"/>
            </w:tcBorders>
            <w:shd w:val="clear" w:color="auto" w:fill="FFFFFF"/>
          </w:tcPr>
          <w:p>
            <w:pPr>
              <w:numPr>
                <w:ilvl w:val="0"/>
                <w:numId w:val="1"/>
              </w:numPr>
              <w:autoSpaceDE w:val="0"/>
              <w:autoSpaceDN w:val="0"/>
              <w:adjustRightInd w:val="0"/>
              <w:spacing w:line="320" w:lineRule="atLeast"/>
              <w:ind w:left="210" w:leftChars="0" w:right="60" w:firstLine="0" w:firstLineChars="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bl>
    <w:p>
      <w:pPr>
        <w:autoSpaceDE w:val="0"/>
        <w:autoSpaceDN w:val="0"/>
        <w:adjustRightInd w:val="0"/>
        <w:spacing w:line="400" w:lineRule="atLeast"/>
        <w:jc w:val="left"/>
        <w:rPr>
          <w:rFonts w:hint="eastAsia" w:ascii="Times New Roman" w:hAnsi="Times New Roman" w:cs="Times New Roman"/>
          <w:kern w:val="0"/>
          <w:sz w:val="24"/>
          <w:szCs w:val="24"/>
        </w:rPr>
      </w:pPr>
    </w:p>
    <w:p>
      <w:pPr>
        <w:autoSpaceDE w:val="0"/>
        <w:autoSpaceDN w:val="0"/>
        <w:adjustRightInd w:val="0"/>
        <w:spacing w:line="400" w:lineRule="atLeast"/>
        <w:jc w:val="left"/>
        <w:rPr>
          <w:rFonts w:ascii="Times New Roman" w:hAnsi="Times New Roman" w:cs="Times New Roman"/>
          <w:kern w:val="0"/>
          <w:sz w:val="24"/>
          <w:szCs w:val="24"/>
        </w:rPr>
      </w:pPr>
      <w:r>
        <w:rPr>
          <w:rFonts w:hint="eastAsia" w:ascii="Times New Roman" w:hAnsi="Times New Roman" w:cs="Times New Roman"/>
          <w:kern w:val="0"/>
          <w:sz w:val="24"/>
          <w:szCs w:val="24"/>
        </w:rPr>
        <w:t>接下来，我们进行卡方独立性检验计算</w:t>
      </w:r>
      <m:oMath>
        <m:sSup>
          <m:sSupPr>
            <m:ctrlPr>
              <w:rPr>
                <w:rFonts w:ascii="Cambria Math" w:hAnsi="Cambria Math" w:cs="Times New Roman"/>
                <w:i/>
                <w:kern w:val="0"/>
                <w:sz w:val="24"/>
                <w:szCs w:val="24"/>
              </w:rPr>
            </m:ctrlPr>
          </m:sSupPr>
          <m:e>
            <m:r>
              <m:rPr/>
              <w:rPr>
                <w:rFonts w:ascii="Cambria Math" w:hAnsi="Cambria Math" w:cs="Times New Roman"/>
                <w:kern w:val="0"/>
                <w:sz w:val="24"/>
                <w:szCs w:val="24"/>
              </w:rPr>
              <m:t>χ</m:t>
            </m:r>
            <m:ctrlPr>
              <w:rPr>
                <w:rFonts w:ascii="Cambria Math" w:hAnsi="Cambria Math" w:cs="Times New Roman"/>
                <w:i/>
                <w:kern w:val="0"/>
                <w:sz w:val="24"/>
                <w:szCs w:val="24"/>
              </w:rPr>
            </m:ctrlPr>
          </m:e>
          <m:sup>
            <m:r>
              <m:rPr/>
              <w:rPr>
                <w:rFonts w:ascii="Cambria Math" w:hAnsi="Cambria Math" w:cs="Times New Roman"/>
                <w:kern w:val="0"/>
                <w:sz w:val="24"/>
                <w:szCs w:val="24"/>
              </w:rPr>
              <m:t>2</m:t>
            </m:r>
            <m:ctrlPr>
              <w:rPr>
                <w:rFonts w:ascii="Cambria Math" w:hAnsi="Cambria Math" w:cs="Times New Roman"/>
                <w:i/>
                <w:kern w:val="0"/>
                <w:sz w:val="24"/>
                <w:szCs w:val="24"/>
              </w:rPr>
            </m:ctrlPr>
          </m:sup>
        </m:sSup>
      </m:oMath>
      <w:r>
        <w:rPr>
          <w:rFonts w:hint="eastAsia" w:ascii="Times New Roman" w:hAnsi="Times New Roman" w:cs="Times New Roman"/>
          <w:kern w:val="0"/>
          <w:sz w:val="24"/>
          <w:szCs w:val="24"/>
        </w:rPr>
        <w:t>和似然比检验计算</w:t>
      </w:r>
      <m:oMath>
        <m:sSubSup>
          <m:sSubSupPr>
            <m:ctrlPr>
              <w:rPr>
                <w:rFonts w:ascii="Cambria Math" w:hAnsi="Cambria Math" w:cs="Times New Roman"/>
                <w:i/>
                <w:kern w:val="0"/>
                <w:sz w:val="24"/>
                <w:szCs w:val="24"/>
              </w:rPr>
            </m:ctrlPr>
          </m:sSubSupPr>
          <m:e>
            <m:r>
              <m:rPr/>
              <w:rPr>
                <w:rFonts w:ascii="Cambria Math" w:hAnsi="Cambria Math" w:cs="Times New Roman"/>
                <w:kern w:val="0"/>
                <w:sz w:val="24"/>
                <w:szCs w:val="24"/>
              </w:rPr>
              <m:t>χ</m:t>
            </m:r>
            <m:ctrlPr>
              <w:rPr>
                <w:rFonts w:ascii="Cambria Math" w:hAnsi="Cambria Math" w:cs="Times New Roman"/>
                <w:i/>
                <w:kern w:val="0"/>
                <w:sz w:val="24"/>
                <w:szCs w:val="24"/>
              </w:rPr>
            </m:ctrlPr>
          </m:e>
          <m:sub>
            <m:r>
              <m:rPr/>
              <w:rPr>
                <w:rFonts w:ascii="Cambria Math" w:hAnsi="Cambria Math" w:cs="Times New Roman"/>
                <w:kern w:val="0"/>
                <w:sz w:val="24"/>
                <w:szCs w:val="24"/>
              </w:rPr>
              <m:t>L</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sSubSup>
      </m:oMath>
    </w:p>
    <w:p>
      <w:pPr>
        <w:autoSpaceDE w:val="0"/>
        <w:autoSpaceDN w:val="0"/>
        <w:adjustRightInd w:val="0"/>
        <w:spacing w:line="400" w:lineRule="atLeast"/>
        <w:jc w:val="left"/>
        <w:rPr>
          <w:rFonts w:ascii="Times New Roman" w:hAnsi="Times New Roman" w:cs="Times New Roman"/>
          <w:kern w:val="0"/>
          <w:sz w:val="24"/>
          <w:szCs w:val="24"/>
        </w:rPr>
      </w:pPr>
      <m:oMathPara>
        <m:oMath>
          <m:sSup>
            <m:sSupPr>
              <m:ctrlPr>
                <w:rPr>
                  <w:rFonts w:ascii="Cambria Math" w:hAnsi="Cambria Math" w:cs="Times New Roman"/>
                  <w:i/>
                  <w:kern w:val="0"/>
                  <w:sz w:val="24"/>
                  <w:szCs w:val="24"/>
                </w:rPr>
              </m:ctrlPr>
            </m:sSupPr>
            <m:e>
              <m:r>
                <m:rPr/>
                <w:rPr>
                  <w:rFonts w:ascii="Cambria Math" w:hAnsi="Cambria Math" w:cs="Times New Roman"/>
                  <w:kern w:val="0"/>
                  <w:sz w:val="24"/>
                  <w:szCs w:val="24"/>
                </w:rPr>
                <m:t>χ</m:t>
              </m:r>
              <m:ctrlPr>
                <w:rPr>
                  <w:rFonts w:ascii="Cambria Math" w:hAnsi="Cambria Math" w:cs="Times New Roman"/>
                  <w:i/>
                  <w:kern w:val="0"/>
                  <w:sz w:val="24"/>
                  <w:szCs w:val="24"/>
                </w:rPr>
              </m:ctrlPr>
            </m:e>
            <m:sup>
              <m:r>
                <m:rPr/>
                <w:rPr>
                  <w:rFonts w:ascii="Cambria Math" w:hAnsi="Cambria Math" w:cs="Times New Roman"/>
                  <w:kern w:val="0"/>
                  <w:sz w:val="24"/>
                  <w:szCs w:val="24"/>
                </w:rPr>
                <m:t>2</m:t>
              </m:r>
              <m:ctrlPr>
                <w:rPr>
                  <w:rFonts w:ascii="Cambria Math" w:hAnsi="Cambria Math" w:cs="Times New Roman"/>
                  <w:i/>
                  <w:kern w:val="0"/>
                  <w:sz w:val="24"/>
                  <w:szCs w:val="24"/>
                </w:rPr>
              </m:ctrlPr>
            </m:sup>
          </m:sSup>
          <m:r>
            <m:rPr/>
            <w:rPr>
              <w:rFonts w:ascii="Cambria Math" w:hAnsi="Cambria Math" w:cs="Times New Roman"/>
              <w:kern w:val="0"/>
              <w:sz w:val="24"/>
              <w:szCs w:val="24"/>
            </w:rPr>
            <m:t>=</m:t>
          </m:r>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i=1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j=1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k=1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f>
                        <m:fPr>
                          <m:ctrlPr>
                            <w:rPr>
                              <w:rFonts w:ascii="Cambria Math" w:hAnsi="Cambria Math" w:cs="Times New Roman"/>
                              <w:i/>
                              <w:kern w:val="0"/>
                              <w:sz w:val="24"/>
                              <w:szCs w:val="24"/>
                            </w:rPr>
                          </m:ctrlPr>
                        </m:fPr>
                        <m:num>
                          <m:sSup>
                            <m:sSupPr>
                              <m:ctrlPr>
                                <w:rPr>
                                  <w:rFonts w:ascii="Cambria Math" w:hAnsi="Cambria Math" w:cs="Times New Roman"/>
                                  <w:i/>
                                  <w:kern w:val="0"/>
                                  <w:sz w:val="24"/>
                                  <w:szCs w:val="24"/>
                                </w:rPr>
                              </m:ctrlPr>
                            </m:sSupPr>
                            <m:e>
                              <m:r>
                                <m:rPr/>
                                <w:rPr>
                                  <w:rFonts w:ascii="Cambria Math" w:hAnsi="Cambria Math" w:cs="Times New Roman"/>
                                  <w:kern w:val="0"/>
                                  <w:sz w:val="24"/>
                                  <w:szCs w:val="24"/>
                                </w:rPr>
                                <m:t>(</m:t>
                              </m:r>
                              <m:sSub>
                                <m:sSubPr>
                                  <m:ctrlPr>
                                    <w:rPr>
                                      <w:rFonts w:ascii="Cambria Math" w:hAnsi="Cambria Math" w:cs="Times New Roman"/>
                                      <w:i/>
                                      <w:kern w:val="0"/>
                                      <w:sz w:val="24"/>
                                      <w:szCs w:val="24"/>
                                    </w:rPr>
                                  </m:ctrlPr>
                                </m:sSubPr>
                                <m:e>
                                  <m:r>
                                    <m:rPr/>
                                    <w:rPr>
                                      <w:rFonts w:ascii="Cambria Math" w:hAnsi="Cambria Math" w:cs="Times New Roman"/>
                                      <w:kern w:val="0"/>
                                      <w:sz w:val="24"/>
                                      <w:szCs w:val="24"/>
                                    </w:rPr>
                                    <m:t>n</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r>
                                <m:rPr/>
                                <w:rPr>
                                  <w:rFonts w:ascii="Cambria Math" w:hAnsi="Cambria Math" w:cs="Times New Roman"/>
                                  <w:kern w:val="0"/>
                                  <w:sz w:val="24"/>
                                  <w:szCs w:val="24"/>
                                </w:rPr>
                                <m:t>−</m:t>
                              </m:r>
                              <m:sSub>
                                <m:sSubPr>
                                  <m:ctrlPr>
                                    <w:rPr>
                                      <w:rFonts w:ascii="Cambria Math" w:hAnsi="Cambria Math" w:cs="Times New Roman"/>
                                      <w:i/>
                                      <w:kern w:val="0"/>
                                      <w:sz w:val="24"/>
                                      <w:szCs w:val="24"/>
                                    </w:rPr>
                                  </m:ctrlPr>
                                </m:sSubPr>
                                <m:e>
                                  <m:r>
                                    <m:rPr/>
                                    <w:rPr>
                                      <w:rFonts w:ascii="Cambria Math" w:hAnsi="Cambria Math" w:cs="Times New Roman"/>
                                      <w:kern w:val="0"/>
                                      <w:sz w:val="24"/>
                                      <w:szCs w:val="24"/>
                                    </w:rPr>
                                    <m:t>E</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r>
                                <m:rPr/>
                                <w:rPr>
                                  <w:rFonts w:ascii="Cambria Math" w:hAnsi="Cambria Math" w:cs="Times New Roman"/>
                                  <w:kern w:val="0"/>
                                  <w:sz w:val="24"/>
                                  <w:szCs w:val="24"/>
                                </w:rPr>
                                <m:t>)</m:t>
                              </m:r>
                              <m:ctrlPr>
                                <w:rPr>
                                  <w:rFonts w:ascii="Cambria Math" w:hAnsi="Cambria Math" w:cs="Times New Roman"/>
                                  <w:i/>
                                  <w:kern w:val="0"/>
                                  <w:sz w:val="24"/>
                                  <w:szCs w:val="24"/>
                                </w:rPr>
                              </m:ctrlPr>
                            </m:e>
                            <m:sup>
                              <m:r>
                                <m:rPr/>
                                <w:rPr>
                                  <w:rFonts w:ascii="Cambria Math" w:hAnsi="Cambria Math" w:cs="Times New Roman"/>
                                  <w:kern w:val="0"/>
                                  <w:sz w:val="24"/>
                                  <w:szCs w:val="24"/>
                                </w:rPr>
                                <m:t>2</m:t>
                              </m:r>
                              <m:ctrlPr>
                                <w:rPr>
                                  <w:rFonts w:ascii="Cambria Math" w:hAnsi="Cambria Math" w:cs="Times New Roman"/>
                                  <w:i/>
                                  <w:kern w:val="0"/>
                                  <w:sz w:val="24"/>
                                  <w:szCs w:val="24"/>
                                </w:rPr>
                              </m:ctrlPr>
                            </m:sup>
                          </m:sSup>
                          <m:ctrlPr>
                            <w:rPr>
                              <w:rFonts w:ascii="Cambria Math" w:hAnsi="Cambria Math" w:cs="Times New Roman"/>
                              <w:i/>
                              <w:kern w:val="0"/>
                              <w:sz w:val="24"/>
                              <w:szCs w:val="24"/>
                            </w:rPr>
                          </m:ctrlPr>
                        </m:num>
                        <m:den>
                          <m:sSub>
                            <m:sSubPr>
                              <m:ctrlPr>
                                <w:rPr>
                                  <w:rFonts w:ascii="Cambria Math" w:hAnsi="Cambria Math" w:cs="Times New Roman"/>
                                  <w:i/>
                                  <w:kern w:val="0"/>
                                  <w:sz w:val="24"/>
                                  <w:szCs w:val="24"/>
                                </w:rPr>
                              </m:ctrlPr>
                            </m:sSubPr>
                            <m:e>
                              <m:r>
                                <m:rPr/>
                                <w:rPr>
                                  <w:rFonts w:ascii="Cambria Math" w:hAnsi="Cambria Math" w:cs="Times New Roman"/>
                                  <w:kern w:val="0"/>
                                  <w:sz w:val="24"/>
                                  <w:szCs w:val="24"/>
                                </w:rPr>
                                <m:t>E</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ctrlPr>
                            <w:rPr>
                              <w:rFonts w:ascii="Cambria Math" w:hAnsi="Cambria Math" w:cs="Times New Roman"/>
                              <w:i/>
                              <w:kern w:val="0"/>
                              <w:sz w:val="24"/>
                              <w:szCs w:val="24"/>
                            </w:rPr>
                          </m:ctrlPr>
                        </m:den>
                      </m:f>
                      <m:ctrlPr>
                        <w:rPr>
                          <w:rFonts w:ascii="Cambria Math" w:hAnsi="Cambria Math" w:cs="Times New Roman"/>
                          <w:i/>
                          <w:kern w:val="0"/>
                          <w:sz w:val="24"/>
                          <w:szCs w:val="24"/>
                        </w:rPr>
                      </m:ctrlPr>
                    </m:e>
                  </m:nary>
                  <m:ctrlPr>
                    <w:rPr>
                      <w:rFonts w:ascii="Cambria Math" w:hAnsi="Cambria Math" w:cs="Times New Roman"/>
                      <w:i/>
                      <w:kern w:val="0"/>
                      <w:sz w:val="24"/>
                      <w:szCs w:val="24"/>
                    </w:rPr>
                  </m:ctrlPr>
                </m:e>
              </m:nary>
              <m:ctrlPr>
                <w:rPr>
                  <w:rFonts w:ascii="Cambria Math" w:hAnsi="Cambria Math" w:cs="Times New Roman"/>
                  <w:i/>
                  <w:kern w:val="0"/>
                  <w:sz w:val="24"/>
                  <w:szCs w:val="24"/>
                </w:rPr>
              </m:ctrlPr>
            </m:e>
          </m:nary>
        </m:oMath>
      </m:oMathPara>
    </w:p>
    <w:p>
      <w:pPr>
        <w:autoSpaceDE w:val="0"/>
        <w:autoSpaceDN w:val="0"/>
        <w:adjustRightInd w:val="0"/>
        <w:spacing w:line="400" w:lineRule="atLeast"/>
        <w:jc w:val="left"/>
        <w:rPr>
          <w:rFonts w:ascii="Times New Roman" w:hAnsi="Times New Roman" w:cs="Times New Roman"/>
          <w:kern w:val="0"/>
          <w:sz w:val="24"/>
          <w:szCs w:val="24"/>
        </w:rPr>
      </w:pPr>
      <m:oMathPara>
        <m:oMath>
          <m:sSubSup>
            <m:sSubSupPr>
              <m:ctrlPr>
                <w:rPr>
                  <w:rFonts w:ascii="Cambria Math" w:hAnsi="Cambria Math" w:cs="Times New Roman"/>
                  <w:i/>
                  <w:kern w:val="0"/>
                  <w:sz w:val="24"/>
                  <w:szCs w:val="24"/>
                </w:rPr>
              </m:ctrlPr>
            </m:sSubSupPr>
            <m:e>
              <m:r>
                <m:rPr/>
                <w:rPr>
                  <w:rFonts w:ascii="Cambria Math" w:hAnsi="Cambria Math" w:cs="Times New Roman"/>
                  <w:kern w:val="0"/>
                  <w:sz w:val="24"/>
                  <w:szCs w:val="24"/>
                </w:rPr>
                <m:t>χ</m:t>
              </m:r>
              <m:ctrlPr>
                <w:rPr>
                  <w:rFonts w:ascii="Cambria Math" w:hAnsi="Cambria Math" w:cs="Times New Roman"/>
                  <w:i/>
                  <w:kern w:val="0"/>
                  <w:sz w:val="24"/>
                  <w:szCs w:val="24"/>
                </w:rPr>
              </m:ctrlPr>
            </m:e>
            <m:sub>
              <m:r>
                <m:rPr/>
                <w:rPr>
                  <w:rFonts w:ascii="Cambria Math" w:hAnsi="Cambria Math" w:cs="Times New Roman"/>
                  <w:kern w:val="0"/>
                  <w:sz w:val="24"/>
                  <w:szCs w:val="24"/>
                </w:rPr>
                <m:t>L</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sSubSup>
          <m:r>
            <m:rPr/>
            <w:rPr>
              <w:rFonts w:ascii="Cambria Math" w:hAnsi="Cambria Math" w:cs="Times New Roman"/>
              <w:kern w:val="0"/>
              <w:sz w:val="24"/>
              <w:szCs w:val="24"/>
            </w:rPr>
            <m:t>=2</m:t>
          </m:r>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i=1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j=1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nary>
                    <m:naryPr>
                      <m:chr m:val="∑"/>
                      <m:limLoc m:val="undOvr"/>
                      <m:ctrlPr>
                        <w:rPr>
                          <w:rFonts w:ascii="Cambria Math" w:hAnsi="Cambria Math" w:cs="Times New Roman"/>
                          <w:i/>
                          <w:kern w:val="0"/>
                          <w:sz w:val="24"/>
                          <w:szCs w:val="24"/>
                        </w:rPr>
                      </m:ctrlPr>
                    </m:naryPr>
                    <m:sub>
                      <m:r>
                        <m:rPr/>
                        <w:rPr>
                          <w:rFonts w:ascii="Cambria Math" w:hAnsi="Cambria Math" w:cs="Times New Roman"/>
                          <w:kern w:val="0"/>
                          <w:sz w:val="24"/>
                          <w:szCs w:val="24"/>
                        </w:rPr>
                        <m:t>k=1</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e>
                      <m:sSub>
                        <m:sSubPr>
                          <m:ctrlPr>
                            <w:rPr>
                              <w:rFonts w:ascii="Cambria Math" w:hAnsi="Cambria Math" w:cs="Times New Roman"/>
                              <w:i/>
                              <w:kern w:val="0"/>
                              <w:sz w:val="24"/>
                              <w:szCs w:val="24"/>
                            </w:rPr>
                          </m:ctrlPr>
                        </m:sSubPr>
                        <m:e>
                          <m:r>
                            <m:rPr/>
                            <w:rPr>
                              <w:rFonts w:ascii="Cambria Math" w:hAnsi="Cambria Math" w:cs="Times New Roman"/>
                              <w:kern w:val="0"/>
                              <w:sz w:val="24"/>
                              <w:szCs w:val="24"/>
                            </w:rPr>
                            <m:t>n</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r>
                        <m:rPr>
                          <m:sty m:val="p"/>
                        </m:rPr>
                        <w:rPr>
                          <w:rFonts w:ascii="Cambria Math" w:hAnsi="Cambria Math" w:cs="Times New Roman"/>
                          <w:kern w:val="0"/>
                          <w:sz w:val="24"/>
                          <w:szCs w:val="24"/>
                        </w:rPr>
                        <m:t>ln⁡</m:t>
                      </m:r>
                      <m:r>
                        <m:rPr/>
                        <w:rPr>
                          <w:rFonts w:ascii="Cambria Math" w:hAnsi="Cambria Math" w:cs="Times New Roman"/>
                          <w:kern w:val="0"/>
                          <w:sz w:val="24"/>
                          <w:szCs w:val="24"/>
                        </w:rPr>
                        <m:t>(</m:t>
                      </m:r>
                      <m:f>
                        <m:fPr>
                          <m:ctrlPr>
                            <w:rPr>
                              <w:rFonts w:ascii="Cambria Math" w:hAnsi="Cambria Math" w:cs="Times New Roman"/>
                              <w:i/>
                              <w:kern w:val="0"/>
                              <w:sz w:val="24"/>
                              <w:szCs w:val="24"/>
                            </w:rPr>
                          </m:ctrlPr>
                        </m:fPr>
                        <m:num>
                          <m:sSub>
                            <m:sSubPr>
                              <m:ctrlPr>
                                <w:rPr>
                                  <w:rFonts w:ascii="Cambria Math" w:hAnsi="Cambria Math" w:cs="Times New Roman"/>
                                  <w:i/>
                                  <w:kern w:val="0"/>
                                  <w:sz w:val="24"/>
                                  <w:szCs w:val="24"/>
                                </w:rPr>
                              </m:ctrlPr>
                            </m:sSubPr>
                            <m:e>
                              <m:r>
                                <m:rPr/>
                                <w:rPr>
                                  <w:rFonts w:ascii="Cambria Math" w:hAnsi="Cambria Math" w:cs="Times New Roman"/>
                                  <w:kern w:val="0"/>
                                  <w:sz w:val="24"/>
                                  <w:szCs w:val="24"/>
                                </w:rPr>
                                <m:t>n</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ctrlPr>
                            <w:rPr>
                              <w:rFonts w:ascii="Cambria Math" w:hAnsi="Cambria Math" w:cs="Times New Roman"/>
                              <w:i/>
                              <w:kern w:val="0"/>
                              <w:sz w:val="24"/>
                              <w:szCs w:val="24"/>
                            </w:rPr>
                          </m:ctrlPr>
                        </m:num>
                        <m:den>
                          <m:sSub>
                            <m:sSubPr>
                              <m:ctrlPr>
                                <w:rPr>
                                  <w:rFonts w:ascii="Cambria Math" w:hAnsi="Cambria Math" w:cs="Times New Roman"/>
                                  <w:i/>
                                  <w:kern w:val="0"/>
                                  <w:sz w:val="24"/>
                                  <w:szCs w:val="24"/>
                                </w:rPr>
                              </m:ctrlPr>
                            </m:sSubPr>
                            <m:e>
                              <m:r>
                                <m:rPr/>
                                <w:rPr>
                                  <w:rFonts w:ascii="Cambria Math" w:hAnsi="Cambria Math" w:cs="Times New Roman"/>
                                  <w:kern w:val="0"/>
                                  <w:sz w:val="24"/>
                                  <w:szCs w:val="24"/>
                                </w:rPr>
                                <m:t>E</m:t>
                              </m:r>
                              <m:ctrlPr>
                                <w:rPr>
                                  <w:rFonts w:ascii="Cambria Math" w:hAnsi="Cambria Math" w:cs="Times New Roman"/>
                                  <w:i/>
                                  <w:kern w:val="0"/>
                                  <w:sz w:val="24"/>
                                  <w:szCs w:val="24"/>
                                </w:rPr>
                              </m:ctrlPr>
                            </m:e>
                            <m:sub>
                              <m:r>
                                <m:rPr/>
                                <w:rPr>
                                  <w:rFonts w:ascii="Cambria Math" w:hAnsi="Cambria Math" w:cs="Times New Roman"/>
                                  <w:kern w:val="0"/>
                                  <w:sz w:val="24"/>
                                  <w:szCs w:val="24"/>
                                </w:rPr>
                                <m:t>ijk</m:t>
                              </m:r>
                              <m:ctrlPr>
                                <w:rPr>
                                  <w:rFonts w:ascii="Cambria Math" w:hAnsi="Cambria Math" w:cs="Times New Roman"/>
                                  <w:i/>
                                  <w:kern w:val="0"/>
                                  <w:sz w:val="24"/>
                                  <w:szCs w:val="24"/>
                                </w:rPr>
                              </m:ctrlPr>
                            </m:sub>
                          </m:sSub>
                          <m:ctrlPr>
                            <w:rPr>
                              <w:rFonts w:ascii="Cambria Math" w:hAnsi="Cambria Math" w:cs="Times New Roman"/>
                              <w:i/>
                              <w:kern w:val="0"/>
                              <w:sz w:val="24"/>
                              <w:szCs w:val="24"/>
                            </w:rPr>
                          </m:ctrlPr>
                        </m:den>
                      </m:f>
                      <m:r>
                        <m:rPr/>
                        <w:rPr>
                          <w:rFonts w:ascii="Cambria Math" w:hAnsi="Cambria Math" w:cs="Times New Roman"/>
                          <w:kern w:val="0"/>
                          <w:sz w:val="24"/>
                          <w:szCs w:val="24"/>
                        </w:rPr>
                        <m:t>)</m:t>
                      </m:r>
                      <m:ctrlPr>
                        <w:rPr>
                          <w:rFonts w:ascii="Cambria Math" w:hAnsi="Cambria Math" w:cs="Times New Roman"/>
                          <w:i/>
                          <w:kern w:val="0"/>
                          <w:sz w:val="24"/>
                          <w:szCs w:val="24"/>
                        </w:rPr>
                      </m:ctrlPr>
                    </m:e>
                  </m:nary>
                  <m:ctrlPr>
                    <w:rPr>
                      <w:rFonts w:ascii="Cambria Math" w:hAnsi="Cambria Math" w:cs="Times New Roman"/>
                      <w:i/>
                      <w:kern w:val="0"/>
                      <w:sz w:val="24"/>
                      <w:szCs w:val="24"/>
                    </w:rPr>
                  </m:ctrlPr>
                </m:e>
              </m:nary>
              <m:ctrlPr>
                <w:rPr>
                  <w:rFonts w:ascii="Cambria Math" w:hAnsi="Cambria Math" w:cs="Times New Roman"/>
                  <w:i/>
                  <w:kern w:val="0"/>
                  <w:sz w:val="24"/>
                  <w:szCs w:val="24"/>
                </w:rPr>
              </m:ctrlPr>
            </m:e>
          </m:nary>
        </m:oMath>
      </m:oMathPara>
    </w:p>
    <w:p>
      <w:pPr>
        <w:autoSpaceDE w:val="0"/>
        <w:autoSpaceDN w:val="0"/>
        <w:adjustRightInd w:val="0"/>
        <w:spacing w:line="400" w:lineRule="atLeast"/>
        <w:jc w:val="left"/>
        <w:rPr>
          <w:rFonts w:ascii="Times New Roman" w:hAnsi="Times New Roman" w:cs="Times New Roman"/>
          <w:kern w:val="0"/>
          <w:sz w:val="24"/>
          <w:szCs w:val="24"/>
        </w:rPr>
      </w:pPr>
      <w:r>
        <w:rPr>
          <w:rFonts w:hint="eastAsia" w:ascii="Times New Roman" w:hAnsi="Times New Roman" w:cs="Times New Roman"/>
          <w:kern w:val="0"/>
          <w:sz w:val="24"/>
          <w:szCs w:val="24"/>
        </w:rPr>
        <w:t>进而，我们得到表2</w:t>
      </w:r>
    </w:p>
    <w:p>
      <w:pPr>
        <w:autoSpaceDE w:val="0"/>
        <w:autoSpaceDN w:val="0"/>
        <w:adjustRightInd w:val="0"/>
        <w:jc w:val="center"/>
        <w:rPr>
          <w:rFonts w:ascii="Times New Roman" w:hAnsi="Times New Roman" w:cs="Times New Roman"/>
          <w:kern w:val="0"/>
          <w:sz w:val="24"/>
          <w:szCs w:val="24"/>
        </w:rPr>
      </w:pPr>
      <w:r>
        <w:rPr>
          <w:rFonts w:hint="eastAsia" w:ascii="Times New Roman" w:hAnsi="Times New Roman" w:cs="Times New Roman"/>
          <w:kern w:val="0"/>
          <w:sz w:val="24"/>
          <w:szCs w:val="24"/>
        </w:rPr>
        <w:t>表（2）</w:t>
      </w:r>
    </w:p>
    <w:tbl>
      <w:tblPr>
        <w:tblStyle w:val="10"/>
        <w:tblW w:w="8808"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6"/>
        <w:gridCol w:w="1584"/>
        <w:gridCol w:w="1030"/>
        <w:gridCol w:w="1030"/>
        <w:gridCol w:w="1476"/>
        <w:gridCol w:w="1476"/>
        <w:gridCol w:w="14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MingLiU" w:hAnsi="Times New Roman" w:eastAsia="MingLiU" w:cs="MingLiU"/>
                <w:color w:val="010205"/>
                <w:kern w:val="0"/>
                <w:sz w:val="22"/>
              </w:rPr>
            </w:pPr>
            <w:r>
              <w:rPr>
                <w:rFonts w:hint="eastAsia" w:ascii="MingLiU" w:hAnsi="Times New Roman" w:eastAsia="MingLiU" w:cs="MingLiU"/>
                <w:b/>
                <w:bCs/>
                <w:color w:val="010205"/>
                <w:kern w:val="0"/>
                <w:sz w:val="22"/>
              </w:rPr>
              <w:t>卡方检验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2320" w:type="dxa"/>
            <w:gridSpan w:val="2"/>
            <w:tcBorders>
              <w:top w:val="nil"/>
              <w:left w:val="nil"/>
              <w:bottom w:val="single" w:color="152935" w:sz="8" w:space="0"/>
              <w:right w:val="nil"/>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diagnosis</w:t>
            </w:r>
          </w:p>
        </w:tc>
        <w:tc>
          <w:tcPr>
            <w:tcW w:w="1029"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值</w:t>
            </w:r>
          </w:p>
        </w:tc>
        <w:tc>
          <w:tcPr>
            <w:tcW w:w="1029"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自由度</w:t>
            </w:r>
          </w:p>
        </w:tc>
        <w:tc>
          <w:tcPr>
            <w:tcW w:w="1475"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渐进显著性（双侧）</w:t>
            </w:r>
          </w:p>
        </w:tc>
        <w:tc>
          <w:tcPr>
            <w:tcW w:w="1475"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精确显著性（双侧）</w:t>
            </w:r>
          </w:p>
        </w:tc>
        <w:tc>
          <w:tcPr>
            <w:tcW w:w="1475" w:type="dxa"/>
            <w:tcBorders>
              <w:top w:val="nil"/>
              <w:left w:val="single" w:color="E0E0E0" w:sz="8" w:space="0"/>
              <w:bottom w:val="single" w:color="152935" w:sz="8" w:space="0"/>
              <w:right w:val="nil"/>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精确显著性（单侧）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583"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3.745</w:t>
            </w:r>
            <w:r>
              <w:rPr>
                <w:rFonts w:ascii="MingLiU" w:hAnsi="Times New Roman" w:eastAsia="MingLiU" w:cs="MingLiU"/>
                <w:color w:val="010205"/>
                <w:kern w:val="0"/>
                <w:sz w:val="18"/>
                <w:szCs w:val="18"/>
                <w:vertAlign w:val="superscript"/>
              </w:rPr>
              <w:t>c</w:t>
            </w:r>
          </w:p>
        </w:tc>
        <w:tc>
          <w:tcPr>
            <w:tcW w:w="1029"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.053</w:t>
            </w:r>
          </w:p>
        </w:tc>
        <w:tc>
          <w:tcPr>
            <w:tcW w:w="1475" w:type="dxa"/>
            <w:tcBorders>
              <w:top w:val="single" w:color="152935"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152935"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1.859</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.173</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3.943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.047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.103</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3.457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.063</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c>
          <w:tcPr>
            <w:tcW w:w="1029"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1.081</w:t>
            </w:r>
            <w:r>
              <w:rPr>
                <w:rFonts w:ascii="MingLiU" w:hAnsi="Times New Roman" w:eastAsia="MingLiU" w:cs="MingLiU"/>
                <w:color w:val="010205"/>
                <w:kern w:val="0"/>
                <w:sz w:val="18"/>
                <w:szCs w:val="18"/>
                <w:vertAlign w:val="superscript"/>
              </w:rPr>
              <w:t>d</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.298</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.527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1.073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.300</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.422</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1.044</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.307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w:t>
            </w:r>
          </w:p>
        </w:tc>
        <w:tc>
          <w:tcPr>
            <w:tcW w:w="1029"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.095</w:t>
            </w:r>
            <w:r>
              <w:rPr>
                <w:rFonts w:ascii="MingLiU" w:hAnsi="Times New Roman" w:eastAsia="MingLiU" w:cs="MingLiU"/>
                <w:color w:val="010205"/>
                <w:kern w:val="0"/>
                <w:sz w:val="18"/>
                <w:szCs w:val="18"/>
                <w:vertAlign w:val="superscript"/>
              </w:rPr>
              <w:t>a</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.758</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.000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.095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.757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.093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.761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both"/>
              <w:rPr>
                <w:rFonts w:ascii="Times New Roman" w:hAnsi="Times New Roman" w:cs="Times New Roman"/>
                <w:kern w:val="0"/>
                <w:sz w:val="24"/>
                <w:szCs w:val="24"/>
              </w:rPr>
            </w:pPr>
          </w:p>
        </w:tc>
        <w:tc>
          <w:tcPr>
            <w:tcW w:w="1583"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w:t>
            </w:r>
          </w:p>
        </w:tc>
        <w:tc>
          <w:tcPr>
            <w:tcW w:w="1029"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a. 0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(0.0%)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6.48</w:t>
            </w:r>
            <w:r>
              <w:rPr>
                <w:rFonts w:hint="eastAsia" w:ascii="MingLiU" w:hAnsi="Times New Roman" w:eastAsia="MingLiU" w:cs="MingLiU"/>
                <w:color w:val="010205"/>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b. </w:t>
            </w:r>
            <w:r>
              <w:rPr>
                <w:rFonts w:hint="eastAsia" w:ascii="MingLiU" w:hAnsi="Times New Roman" w:eastAsia="MingLiU" w:cs="MingLiU"/>
                <w:color w:val="010205"/>
                <w:kern w:val="0"/>
                <w:sz w:val="18"/>
                <w:szCs w:val="18"/>
              </w:rPr>
              <w:t>仅针对</w:t>
            </w:r>
            <w:r>
              <w:rPr>
                <w:rFonts w:ascii="MingLiU" w:hAnsi="Times New Roman" w:eastAsia="MingLiU" w:cs="MingLiU"/>
                <w:color w:val="010205"/>
                <w:kern w:val="0"/>
                <w:sz w:val="18"/>
                <w:szCs w:val="18"/>
              </w:rPr>
              <w:t xml:space="preserve"> 2x2 </w:t>
            </w:r>
            <w:r>
              <w:rPr>
                <w:rFonts w:hint="eastAsia" w:ascii="MingLiU" w:hAnsi="Times New Roman" w:eastAsia="MingLiU" w:cs="MingLiU"/>
                <w:color w:val="010205"/>
                <w:kern w:val="0"/>
                <w:sz w:val="18"/>
                <w:szCs w:val="18"/>
              </w:rPr>
              <w:t>表进行计算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c. 4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(100.0%)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2.31</w:t>
            </w:r>
            <w:r>
              <w:rPr>
                <w:rFonts w:hint="eastAsia" w:ascii="MingLiU" w:hAnsi="Times New Roman" w:eastAsia="MingLiU" w:cs="MingLiU"/>
                <w:color w:val="010205"/>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d. 1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(25.0%)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3.72</w:t>
            </w:r>
            <w:r>
              <w:rPr>
                <w:rFonts w:hint="eastAsia" w:ascii="MingLiU" w:hAnsi="Times New Roman" w:eastAsia="MingLiU" w:cs="MingLiU"/>
                <w:color w:val="010205"/>
                <w:kern w:val="0"/>
                <w:sz w:val="18"/>
                <w:szCs w:val="18"/>
              </w:rPr>
              <w:t>。</w:t>
            </w:r>
          </w:p>
        </w:tc>
      </w:tr>
    </w:tbl>
    <w:p>
      <w:pPr>
        <w:autoSpaceDE w:val="0"/>
        <w:autoSpaceDN w:val="0"/>
        <w:adjustRightInd w:val="0"/>
        <w:spacing w:line="400" w:lineRule="atLeast"/>
        <w:jc w:val="left"/>
        <w:rPr>
          <w:rFonts w:hint="eastAsia" w:ascii="Times New Roman" w:hAnsi="Times New Roman" w:cs="Times New Roman"/>
          <w:kern w:val="0"/>
          <w:sz w:val="28"/>
          <w:szCs w:val="28"/>
        </w:rPr>
      </w:pPr>
    </w:p>
    <w:p>
      <w:pPr>
        <w:autoSpaceDE w:val="0"/>
        <w:autoSpaceDN w:val="0"/>
        <w:adjustRightInd w:val="0"/>
        <w:spacing w:line="400" w:lineRule="atLeast"/>
        <w:jc w:val="left"/>
        <w:rPr>
          <w:rFonts w:hint="eastAsia" w:ascii="宋体" w:hAnsi="宋体" w:eastAsia="宋体" w:cs="宋体"/>
          <w:kern w:val="0"/>
          <w:sz w:val="24"/>
          <w:szCs w:val="24"/>
        </w:rPr>
      </w:pPr>
      <w:r>
        <w:rPr>
          <w:rFonts w:hint="eastAsia" w:ascii="宋体" w:hAnsi="宋体" w:eastAsia="宋体" w:cs="宋体"/>
          <w:kern w:val="0"/>
          <w:sz w:val="24"/>
          <w:szCs w:val="24"/>
        </w:rPr>
        <w:t>所以</w:t>
      </w:r>
      <m:oMath>
        <m:sSup>
          <m:sSupPr>
            <m:ctrlPr>
              <w:rPr>
                <w:rFonts w:ascii="Cambria Math" w:hAnsi="Cambria Math" w:cs="Times New Roman"/>
                <w:i/>
                <w:kern w:val="0"/>
                <w:sz w:val="24"/>
                <w:szCs w:val="24"/>
              </w:rPr>
            </m:ctrlPr>
          </m:sSupPr>
          <m:e>
            <m:r>
              <m:rPr/>
              <w:rPr>
                <w:rFonts w:ascii="Cambria Math" w:hAnsi="Cambria Math" w:cs="Times New Roman"/>
                <w:kern w:val="0"/>
                <w:sz w:val="24"/>
                <w:szCs w:val="24"/>
              </w:rPr>
              <m:t>χ</m:t>
            </m:r>
            <m:ctrlPr>
              <w:rPr>
                <w:rFonts w:ascii="Cambria Math" w:hAnsi="Cambria Math" w:cs="Times New Roman"/>
                <w:i/>
                <w:kern w:val="0"/>
                <w:sz w:val="24"/>
                <w:szCs w:val="24"/>
              </w:rPr>
            </m:ctrlPr>
          </m:e>
          <m:sup>
            <m:r>
              <m:rPr/>
              <w:rPr>
                <w:rFonts w:ascii="Cambria Math" w:hAnsi="Cambria Math" w:cs="Times New Roman"/>
                <w:kern w:val="0"/>
                <w:sz w:val="24"/>
                <w:szCs w:val="24"/>
              </w:rPr>
              <m:t>2</m:t>
            </m:r>
            <m:ctrlPr>
              <w:rPr>
                <w:rFonts w:ascii="Cambria Math" w:hAnsi="Cambria Math" w:cs="Times New Roman"/>
                <w:i/>
                <w:kern w:val="0"/>
                <w:sz w:val="24"/>
                <w:szCs w:val="24"/>
              </w:rPr>
            </m:ctrlPr>
          </m:sup>
        </m:sSup>
        <m:r>
          <m:rPr/>
          <w:rPr>
            <w:rFonts w:ascii="Cambria Math" w:hAnsi="Cambria Math" w:cs="Times New Roman"/>
            <w:kern w:val="0"/>
            <w:sz w:val="24"/>
            <w:szCs w:val="24"/>
          </w:rPr>
          <m:t>=0.095</m:t>
        </m:r>
      </m:oMath>
      <w:r>
        <w:rPr>
          <w:rFonts w:hint="eastAsia" w:ascii="Times New Roman" w:hAnsi="Times New Roman" w:cs="Times New Roman"/>
          <w:kern w:val="0"/>
          <w:sz w:val="24"/>
          <w:szCs w:val="24"/>
        </w:rPr>
        <w:t>，</w:t>
      </w:r>
      <m:oMath>
        <m:sSubSup>
          <m:sSubSupPr>
            <m:ctrlPr>
              <w:rPr>
                <w:rFonts w:ascii="Cambria Math" w:hAnsi="Cambria Math" w:cs="Times New Roman"/>
                <w:i/>
                <w:kern w:val="0"/>
                <w:sz w:val="24"/>
                <w:szCs w:val="24"/>
              </w:rPr>
            </m:ctrlPr>
          </m:sSubSupPr>
          <m:e>
            <m:r>
              <m:rPr/>
              <w:rPr>
                <w:rFonts w:ascii="Cambria Math" w:hAnsi="Cambria Math" w:cs="Times New Roman"/>
                <w:kern w:val="0"/>
                <w:sz w:val="24"/>
                <w:szCs w:val="24"/>
              </w:rPr>
              <m:t>χ</m:t>
            </m:r>
            <m:ctrlPr>
              <w:rPr>
                <w:rFonts w:ascii="Cambria Math" w:hAnsi="Cambria Math" w:cs="Times New Roman"/>
                <w:i/>
                <w:kern w:val="0"/>
                <w:sz w:val="24"/>
                <w:szCs w:val="24"/>
              </w:rPr>
            </m:ctrlPr>
          </m:e>
          <m:sub>
            <m:r>
              <m:rPr/>
              <w:rPr>
                <w:rFonts w:ascii="Cambria Math" w:hAnsi="Cambria Math" w:cs="Times New Roman"/>
                <w:kern w:val="0"/>
                <w:sz w:val="24"/>
                <w:szCs w:val="24"/>
              </w:rPr>
              <m:t>L</m:t>
            </m:r>
            <m:ctrlPr>
              <w:rPr>
                <w:rFonts w:ascii="Cambria Math" w:hAnsi="Cambria Math" w:cs="Times New Roman"/>
                <w:i/>
                <w:kern w:val="0"/>
                <w:sz w:val="24"/>
                <w:szCs w:val="24"/>
              </w:rPr>
            </m:ctrlPr>
          </m:sub>
          <m:sup>
            <m:r>
              <m:rPr/>
              <w:rPr>
                <w:rFonts w:ascii="Cambria Math" w:hAnsi="Cambria Math" w:cs="Times New Roman"/>
                <w:kern w:val="0"/>
                <w:sz w:val="24"/>
                <w:szCs w:val="24"/>
              </w:rPr>
              <m:t>2</m:t>
            </m:r>
            <m:ctrlPr>
              <w:rPr>
                <w:rFonts w:ascii="Cambria Math" w:hAnsi="Cambria Math" w:cs="Times New Roman"/>
                <w:i/>
                <w:kern w:val="0"/>
                <w:sz w:val="24"/>
                <w:szCs w:val="24"/>
              </w:rPr>
            </m:ctrlPr>
          </m:sup>
        </m:sSubSup>
        <m:r>
          <m:rPr/>
          <w:rPr>
            <w:rFonts w:ascii="Cambria Math" w:hAnsi="Cambria Math" w:cs="Times New Roman"/>
            <w:kern w:val="0"/>
            <w:sz w:val="24"/>
            <w:szCs w:val="24"/>
          </w:rPr>
          <m:t>=0.095</m:t>
        </m:r>
      </m:oMath>
      <w:r>
        <w:rPr>
          <w:rFonts w:hint="eastAsia" w:ascii="Times New Roman" w:hAnsi="Times New Roman" w:cs="Times New Roman"/>
          <w:kern w:val="0"/>
          <w:sz w:val="24"/>
          <w:szCs w:val="24"/>
        </w:rPr>
        <w:t>。</w:t>
      </w:r>
      <w:r>
        <w:rPr>
          <w:rFonts w:hint="eastAsia" w:ascii="宋体" w:hAnsi="宋体" w:eastAsia="宋体" w:cs="宋体"/>
          <w:kern w:val="0"/>
          <w:sz w:val="24"/>
          <w:szCs w:val="24"/>
        </w:rPr>
        <w:t>通过查表可知当</w:t>
      </w:r>
      <m:oMath>
        <m:r>
          <m:rPr/>
          <w:rPr>
            <w:rFonts w:hint="eastAsia" w:ascii="Cambria Math" w:hAnsi="Cambria Math" w:eastAsia="宋体" w:cs="宋体"/>
            <w:kern w:val="0"/>
            <w:sz w:val="24"/>
            <w:szCs w:val="24"/>
          </w:rPr>
          <m:t>α=0.95</m:t>
        </m:r>
      </m:oMath>
      <w:r>
        <w:rPr>
          <w:rFonts w:hint="eastAsia" w:ascii="宋体" w:hAnsi="宋体" w:eastAsia="宋体" w:cs="宋体"/>
          <w:kern w:val="0"/>
          <w:sz w:val="24"/>
          <w:szCs w:val="24"/>
        </w:rPr>
        <w:t>时，临界值为0.1026，所以可以在犯错误概率不超过5%的情况下认为有关系。</w:t>
      </w:r>
    </w:p>
    <w:p>
      <w:pPr>
        <w:autoSpaceDE w:val="0"/>
        <w:autoSpaceDN w:val="0"/>
        <w:adjustRightInd w:val="0"/>
        <w:spacing w:line="400" w:lineRule="atLeast"/>
        <w:jc w:val="left"/>
        <w:rPr>
          <w:rFonts w:hint="eastAsia" w:ascii="宋体" w:hAnsi="宋体" w:eastAsia="宋体" w:cs="宋体"/>
          <w:kern w:val="0"/>
          <w:sz w:val="24"/>
          <w:szCs w:val="24"/>
        </w:rPr>
      </w:pPr>
      <w:r>
        <w:rPr>
          <w:rFonts w:hint="eastAsia" w:ascii="宋体" w:hAnsi="宋体" w:eastAsia="宋体" w:cs="宋体"/>
          <w:kern w:val="0"/>
          <w:sz w:val="24"/>
          <w:szCs w:val="24"/>
        </w:rPr>
        <w:t>所以在此模型中我们认为这三者有关。</w:t>
      </w:r>
    </w:p>
    <w:p>
      <w:pPr>
        <w:autoSpaceDE w:val="0"/>
        <w:autoSpaceDN w:val="0"/>
        <w:adjustRightInd w:val="0"/>
        <w:spacing w:line="400" w:lineRule="atLeast"/>
        <w:jc w:val="left"/>
        <w:rPr>
          <w:rFonts w:hint="eastAsia" w:ascii="宋体" w:hAnsi="宋体" w:eastAsia="宋体" w:cs="宋体"/>
          <w:kern w:val="0"/>
          <w:sz w:val="24"/>
          <w:szCs w:val="24"/>
        </w:rPr>
      </w:pPr>
    </w:p>
    <w:p>
      <w:pPr>
        <w:pStyle w:val="6"/>
        <w:bidi w:val="0"/>
        <w:rPr>
          <w:rFonts w:hint="eastAsia"/>
          <w:lang w:val="en-US" w:eastAsia="zh-CN"/>
        </w:rPr>
      </w:pPr>
      <w:r>
        <w:rPr>
          <w:rFonts w:hint="eastAsia"/>
          <w:lang w:val="en-US" w:eastAsia="zh-CN"/>
        </w:rPr>
        <w:t>5.1.1.3 化疗周期与淋巴结数量转移与增减情况的独立性检验</w:t>
      </w:r>
    </w:p>
    <w:tbl>
      <w:tblPr>
        <w:tblStyle w:val="10"/>
        <w:tblW w:w="6533"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7"/>
        <w:gridCol w:w="737"/>
        <w:gridCol w:w="1969"/>
        <w:gridCol w:w="1030"/>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6533" w:type="dxa"/>
            <w:gridSpan w:val="6"/>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MingLiU" w:hAnsi="Times New Roman" w:eastAsia="MingLiU" w:cs="MingLiU"/>
                <w:color w:val="010205"/>
                <w:kern w:val="0"/>
                <w:sz w:val="22"/>
              </w:rPr>
            </w:pPr>
            <w:r>
              <w:rPr>
                <w:rFonts w:ascii="MingLiU" w:hAnsi="Times New Roman" w:eastAsia="MingLiU" w:cs="MingLiU"/>
                <w:b/>
                <w:bCs/>
                <w:color w:val="010205"/>
                <w:kern w:val="0"/>
                <w:sz w:val="22"/>
              </w:rPr>
              <w:t xml:space="preserve">time * number </w:t>
            </w:r>
            <w:r>
              <w:rPr>
                <w:rFonts w:hint="eastAsia" w:ascii="MingLiU" w:hAnsi="Times New Roman" w:eastAsia="MingLiU" w:cs="MingLiU"/>
                <w:b/>
                <w:bCs/>
                <w:color w:val="010205"/>
                <w:kern w:val="0"/>
                <w:sz w:val="22"/>
              </w:rPr>
              <w:t>交叉表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3443" w:type="dxa"/>
            <w:gridSpan w:val="3"/>
            <w:vMerge w:val="restart"/>
            <w:tcBorders>
              <w:top w:val="nil"/>
              <w:left w:val="nil"/>
              <w:bottom w:val="nil"/>
              <w:right w:val="nil"/>
            </w:tcBorders>
            <w:shd w:val="clear" w:color="auto" w:fill="FFFFFF"/>
            <w:vAlign w:val="bottom"/>
          </w:tcPr>
          <w:p>
            <w:pPr>
              <w:autoSpaceDE w:val="0"/>
              <w:autoSpaceDN w:val="0"/>
              <w:adjustRightInd w:val="0"/>
              <w:jc w:val="both"/>
              <w:rPr>
                <w:rFonts w:ascii="Times New Roman" w:hAnsi="Times New Roman" w:cs="Times New Roman"/>
                <w:kern w:val="0"/>
                <w:sz w:val="24"/>
                <w:szCs w:val="24"/>
              </w:rPr>
            </w:pPr>
          </w:p>
        </w:tc>
        <w:tc>
          <w:tcPr>
            <w:tcW w:w="2060" w:type="dxa"/>
            <w:gridSpan w:val="2"/>
            <w:tcBorders>
              <w:top w:val="nil"/>
              <w:left w:val="nil"/>
              <w:bottom w:val="nil"/>
              <w:right w:val="single" w:color="E0E0E0" w:sz="8" w:space="0"/>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number</w:t>
            </w:r>
          </w:p>
        </w:tc>
        <w:tc>
          <w:tcPr>
            <w:tcW w:w="1030" w:type="dxa"/>
            <w:vMerge w:val="restart"/>
            <w:tcBorders>
              <w:top w:val="nil"/>
              <w:left w:val="single" w:color="E0E0E0" w:sz="8" w:space="0"/>
              <w:bottom w:val="nil"/>
              <w:right w:val="nil"/>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3443" w:type="dxa"/>
            <w:gridSpan w:val="3"/>
            <w:vMerge w:val="continue"/>
            <w:tcBorders>
              <w:top w:val="nil"/>
              <w:left w:val="nil"/>
              <w:bottom w:val="nil"/>
              <w:right w:val="nil"/>
            </w:tcBorders>
            <w:shd w:val="clear" w:color="auto" w:fill="FFFFFF"/>
            <w:vAlign w:val="bottom"/>
          </w:tcPr>
          <w:p>
            <w:pPr>
              <w:autoSpaceDE w:val="0"/>
              <w:autoSpaceDN w:val="0"/>
              <w:adjustRightInd w:val="0"/>
              <w:jc w:val="both"/>
              <w:rPr>
                <w:rFonts w:ascii="MingLiU" w:hAnsi="Times New Roman" w:eastAsia="MingLiU" w:cs="MingLiU"/>
                <w:color w:val="264A60"/>
                <w:kern w:val="0"/>
                <w:sz w:val="18"/>
                <w:szCs w:val="18"/>
              </w:rPr>
            </w:pPr>
          </w:p>
        </w:tc>
        <w:tc>
          <w:tcPr>
            <w:tcW w:w="1030"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.00</w:t>
            </w:r>
          </w:p>
        </w:tc>
        <w:tc>
          <w:tcPr>
            <w:tcW w:w="1030"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030" w:type="dxa"/>
            <w:vMerge w:val="continue"/>
            <w:tcBorders>
              <w:top w:val="nil"/>
              <w:left w:val="single" w:color="E0E0E0" w:sz="8" w:space="0"/>
              <w:bottom w:val="nil"/>
              <w:right w:val="nil"/>
            </w:tcBorders>
            <w:shd w:val="clear" w:color="auto" w:fill="FFFFFF"/>
            <w:vAlign w:val="bottom"/>
          </w:tcPr>
          <w:p>
            <w:pPr>
              <w:autoSpaceDE w:val="0"/>
              <w:autoSpaceDN w:val="0"/>
              <w:adjustRightInd w:val="0"/>
              <w:jc w:val="both"/>
              <w:rPr>
                <w:rFonts w:ascii="MingLiU" w:hAnsi="Times New Roman" w:eastAsia="MingLiU" w:cs="MingLiU"/>
                <w:color w:val="264A60"/>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time</w:t>
            </w:r>
          </w:p>
        </w:tc>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969"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w:t>
            </w:r>
          </w:p>
        </w:tc>
        <w:tc>
          <w:tcPr>
            <w:tcW w:w="1030"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w:t>
            </w:r>
          </w:p>
        </w:tc>
        <w:tc>
          <w:tcPr>
            <w:tcW w:w="1030" w:type="dxa"/>
            <w:tcBorders>
              <w:top w:val="single" w:color="152935"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0.0%</w:t>
            </w:r>
          </w:p>
        </w:tc>
        <w:tc>
          <w:tcPr>
            <w:tcW w:w="1030"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11.4%</w:t>
            </w:r>
          </w:p>
        </w:tc>
        <w:tc>
          <w:tcPr>
            <w:tcW w:w="1030"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8.9</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16.7%</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83.3%</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13.3%</w:t>
            </w:r>
          </w:p>
        </w:tc>
        <w:tc>
          <w:tcPr>
            <w:tcW w:w="1030"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22.7%</w:t>
            </w:r>
          </w:p>
        </w:tc>
        <w:tc>
          <w:tcPr>
            <w:tcW w:w="1030"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3.00</w:t>
            </w: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9</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13</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5.6</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16.4</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40.9%</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59.1%</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60.0%</w:t>
            </w:r>
          </w:p>
        </w:tc>
        <w:tc>
          <w:tcPr>
            <w:tcW w:w="1030"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29.5%</w:t>
            </w:r>
          </w:p>
        </w:tc>
        <w:tc>
          <w:tcPr>
            <w:tcW w:w="1030"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4.00</w:t>
            </w: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5.1</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14.9</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20.0%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80.0%</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26.7%</w:t>
            </w:r>
          </w:p>
        </w:tc>
        <w:tc>
          <w:tcPr>
            <w:tcW w:w="1030" w:type="dxa"/>
            <w:tcBorders>
              <w:top w:val="single" w:color="AEAEAE" w:sz="8" w:space="0"/>
              <w:left w:val="single" w:color="E0E0E0" w:sz="8" w:space="0"/>
              <w:bottom w:val="nil"/>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36.4%</w:t>
            </w:r>
          </w:p>
        </w:tc>
        <w:tc>
          <w:tcPr>
            <w:tcW w:w="1030"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74" w:type="dxa"/>
            <w:gridSpan w:val="2"/>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44</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期望计数</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15.0</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44.0</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time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25.4%</w:t>
            </w:r>
          </w:p>
        </w:tc>
        <w:tc>
          <w:tcPr>
            <w:tcW w:w="1030"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74.6%</w:t>
            </w:r>
          </w:p>
        </w:tc>
        <w:tc>
          <w:tcPr>
            <w:tcW w:w="1030"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74" w:type="dxa"/>
            <w:gridSpan w:val="2"/>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both"/>
              <w:rPr>
                <w:rFonts w:ascii="MingLiU" w:hAnsi="Times New Roman" w:eastAsia="MingLiU" w:cs="MingLiU"/>
                <w:color w:val="010205"/>
                <w:kern w:val="0"/>
                <w:sz w:val="18"/>
                <w:szCs w:val="18"/>
              </w:rPr>
            </w:pPr>
          </w:p>
        </w:tc>
        <w:tc>
          <w:tcPr>
            <w:tcW w:w="1969"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占</w:t>
            </w:r>
            <w:r>
              <w:rPr>
                <w:rFonts w:ascii="MingLiU" w:hAnsi="Times New Roman" w:eastAsia="MingLiU" w:cs="MingLiU"/>
                <w:color w:val="264A60"/>
                <w:kern w:val="0"/>
                <w:sz w:val="18"/>
                <w:szCs w:val="18"/>
              </w:rPr>
              <w:t xml:space="preserve"> number </w:t>
            </w:r>
            <w:r>
              <w:rPr>
                <w:rFonts w:hint="eastAsia" w:ascii="MingLiU" w:hAnsi="Times New Roman" w:eastAsia="MingLiU" w:cs="MingLiU"/>
                <w:color w:val="264A60"/>
                <w:kern w:val="0"/>
                <w:sz w:val="18"/>
                <w:szCs w:val="18"/>
              </w:rPr>
              <w:t>的百分比</w:t>
            </w:r>
          </w:p>
        </w:tc>
        <w:tc>
          <w:tcPr>
            <w:tcW w:w="1030"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30" w:type="dxa"/>
            <w:tcBorders>
              <w:top w:val="single" w:color="AEAEAE" w:sz="8" w:space="0"/>
              <w:left w:val="single" w:color="E0E0E0" w:sz="8" w:space="0"/>
              <w:bottom w:val="single" w:color="152935"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c>
          <w:tcPr>
            <w:tcW w:w="1030" w:type="dxa"/>
            <w:tcBorders>
              <w:top w:val="single" w:color="AEAEAE" w:sz="8" w:space="0"/>
              <w:left w:val="single" w:color="E0E0E0" w:sz="8" w:space="0"/>
              <w:bottom w:val="single" w:color="152935"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100.0%</w:t>
            </w:r>
          </w:p>
        </w:tc>
      </w:tr>
    </w:tbl>
    <w:p>
      <w:pPr>
        <w:autoSpaceDE w:val="0"/>
        <w:autoSpaceDN w:val="0"/>
        <w:adjustRightInd w:val="0"/>
        <w:spacing w:line="400" w:lineRule="atLeast"/>
        <w:jc w:val="center"/>
        <w:rPr>
          <w:rFonts w:ascii="Times New Roman" w:hAnsi="Times New Roman" w:cs="Times New Roman"/>
          <w:kern w:val="0"/>
          <w:sz w:val="24"/>
          <w:szCs w:val="24"/>
        </w:rPr>
      </w:pPr>
    </w:p>
    <w:p>
      <w:pPr>
        <w:autoSpaceDE w:val="0"/>
        <w:autoSpaceDN w:val="0"/>
        <w:adjustRightInd w:val="0"/>
        <w:jc w:val="center"/>
        <w:rPr>
          <w:rFonts w:ascii="Times New Roman" w:hAnsi="Times New Roman" w:cs="Times New Roman"/>
          <w:kern w:val="0"/>
          <w:sz w:val="24"/>
          <w:szCs w:val="24"/>
        </w:rPr>
      </w:pPr>
    </w:p>
    <w:tbl>
      <w:tblPr>
        <w:tblStyle w:val="10"/>
        <w:tblW w:w="475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14"/>
        <w:gridCol w:w="1030"/>
        <w:gridCol w:w="1030"/>
        <w:gridCol w:w="14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747" w:type="dxa"/>
            <w:gridSpan w:val="4"/>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MingLiU" w:hAnsi="Times New Roman" w:eastAsia="MingLiU" w:cs="MingLiU"/>
                <w:color w:val="010205"/>
                <w:kern w:val="0"/>
                <w:sz w:val="22"/>
              </w:rPr>
            </w:pPr>
            <w:r>
              <w:rPr>
                <w:rFonts w:hint="eastAsia" w:ascii="MingLiU" w:hAnsi="Times New Roman" w:eastAsia="MingLiU" w:cs="MingLiU"/>
                <w:b/>
                <w:bCs/>
                <w:color w:val="010205"/>
                <w:kern w:val="0"/>
                <w:sz w:val="22"/>
              </w:rPr>
              <w:t>卡方检验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nil"/>
              <w:left w:val="nil"/>
              <w:bottom w:val="single" w:color="152935" w:sz="8" w:space="0"/>
              <w:right w:val="nil"/>
            </w:tcBorders>
            <w:shd w:val="clear" w:color="auto" w:fill="FFFFFF"/>
            <w:vAlign w:val="bottom"/>
          </w:tcPr>
          <w:p>
            <w:pPr>
              <w:autoSpaceDE w:val="0"/>
              <w:autoSpaceDN w:val="0"/>
              <w:adjustRightInd w:val="0"/>
              <w:jc w:val="both"/>
              <w:rPr>
                <w:rFonts w:ascii="Times New Roman" w:hAnsi="Times New Roman" w:cs="Times New Roman"/>
                <w:kern w:val="0"/>
                <w:sz w:val="24"/>
                <w:szCs w:val="24"/>
              </w:rPr>
            </w:pPr>
          </w:p>
        </w:tc>
        <w:tc>
          <w:tcPr>
            <w:tcW w:w="1029"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值</w:t>
            </w:r>
          </w:p>
        </w:tc>
        <w:tc>
          <w:tcPr>
            <w:tcW w:w="1029"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自由度</w:t>
            </w:r>
          </w:p>
        </w:tc>
        <w:tc>
          <w:tcPr>
            <w:tcW w:w="1475" w:type="dxa"/>
            <w:tcBorders>
              <w:top w:val="nil"/>
              <w:left w:val="single" w:color="E0E0E0" w:sz="8" w:space="0"/>
              <w:bottom w:val="single" w:color="152935" w:sz="8" w:space="0"/>
              <w:right w:val="nil"/>
            </w:tcBorders>
            <w:shd w:val="clear" w:color="auto" w:fill="FFFFFF"/>
            <w:vAlign w:val="bottom"/>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渐进显著性（双侧）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5.283</w:t>
            </w:r>
            <w:r>
              <w:rPr>
                <w:rFonts w:ascii="MingLiU" w:hAnsi="Times New Roman" w:eastAsia="MingLiU" w:cs="MingLiU"/>
                <w:color w:val="010205"/>
                <w:kern w:val="0"/>
                <w:sz w:val="18"/>
                <w:szCs w:val="18"/>
                <w:vertAlign w:val="superscript"/>
              </w:rPr>
              <w:t>a</w:t>
            </w:r>
          </w:p>
        </w:tc>
        <w:tc>
          <w:tcPr>
            <w:tcW w:w="1029"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w:t>
            </w:r>
          </w:p>
        </w:tc>
        <w:tc>
          <w:tcPr>
            <w:tcW w:w="1475" w:type="dxa"/>
            <w:tcBorders>
              <w:top w:val="single" w:color="152935"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6.303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.098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.628</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214"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both"/>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59</w:t>
            </w:r>
          </w:p>
        </w:tc>
        <w:tc>
          <w:tcPr>
            <w:tcW w:w="1029"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nil"/>
            </w:tcBorders>
            <w:shd w:val="clear" w:color="auto" w:fill="FFFFFF"/>
            <w:vAlign w:val="center"/>
          </w:tcPr>
          <w:p>
            <w:pPr>
              <w:autoSpaceDE w:val="0"/>
              <w:autoSpaceDN w:val="0"/>
              <w:adjustRightInd w:val="0"/>
              <w:jc w:val="both"/>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4747" w:type="dxa"/>
            <w:gridSpan w:val="4"/>
            <w:tcBorders>
              <w:top w:val="nil"/>
              <w:left w:val="nil"/>
              <w:bottom w:val="nil"/>
              <w:right w:val="nil"/>
            </w:tcBorders>
            <w:shd w:val="clear" w:color="auto" w:fill="FFFFFF"/>
          </w:tcPr>
          <w:p>
            <w:pPr>
              <w:autoSpaceDE w:val="0"/>
              <w:autoSpaceDN w:val="0"/>
              <w:adjustRightInd w:val="0"/>
              <w:spacing w:line="320" w:lineRule="atLeast"/>
              <w:ind w:left="60" w:right="60"/>
              <w:jc w:val="both"/>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a. 3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(37.5%)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1.27</w:t>
            </w:r>
            <w:r>
              <w:rPr>
                <w:rFonts w:hint="eastAsia" w:ascii="MingLiU" w:hAnsi="Times New Roman" w:eastAsia="MingLiU" w:cs="MingLiU"/>
                <w:color w:val="010205"/>
                <w:kern w:val="0"/>
                <w:sz w:val="18"/>
                <w:szCs w:val="18"/>
              </w:rPr>
              <w:t>。</w:t>
            </w:r>
          </w:p>
        </w:tc>
      </w:tr>
    </w:tbl>
    <w:p>
      <w:pPr>
        <w:autoSpaceDE w:val="0"/>
        <w:autoSpaceDN w:val="0"/>
        <w:adjustRightInd w:val="0"/>
        <w:spacing w:line="400" w:lineRule="atLeast"/>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综上所述，化疗周期与淋巴结增减数量和转移无关，即化疗周期不是影响淋巴结消退分级的关键因素。</w:t>
      </w:r>
    </w:p>
    <w:p>
      <w:pPr>
        <w:autoSpaceDE w:val="0"/>
        <w:autoSpaceDN w:val="0"/>
        <w:adjustRightInd w:val="0"/>
        <w:spacing w:line="400" w:lineRule="atLeast"/>
        <w:jc w:val="left"/>
        <w:rPr>
          <w:rFonts w:hint="eastAsia" w:ascii="宋体" w:hAnsi="宋体" w:eastAsia="宋体" w:cs="宋体"/>
          <w:kern w:val="0"/>
          <w:sz w:val="24"/>
          <w:szCs w:val="24"/>
        </w:rPr>
      </w:pPr>
    </w:p>
    <w:p>
      <w:pPr>
        <w:pStyle w:val="6"/>
        <w:bidi w:val="0"/>
        <w:rPr>
          <w:rFonts w:hint="eastAsia"/>
          <w:lang w:val="en-US" w:eastAsia="zh-CN"/>
        </w:rPr>
      </w:pPr>
      <w:r>
        <w:rPr>
          <w:rFonts w:hint="eastAsia"/>
          <w:lang w:val="en-US" w:eastAsia="zh-CN"/>
        </w:rPr>
        <w:t xml:space="preserve">5.1.1.4 </w:t>
      </w:r>
      <w:r>
        <w:rPr>
          <w:rFonts w:hint="eastAsia"/>
        </w:rPr>
        <w:t>诊断结果、化疗方案</w:t>
      </w:r>
      <w:r>
        <w:rPr>
          <w:rFonts w:hint="eastAsia"/>
          <w:lang w:val="en-US" w:eastAsia="zh-CN"/>
        </w:rPr>
        <w:t>与</w:t>
      </w:r>
      <w:r>
        <w:rPr>
          <w:rFonts w:hint="eastAsia"/>
        </w:rPr>
        <w:t>术后淋巴结</w:t>
      </w:r>
      <w:r>
        <w:rPr>
          <w:rFonts w:hint="eastAsia"/>
          <w:lang w:val="en-US" w:eastAsia="zh-CN"/>
        </w:rPr>
        <w:t>数量增减的独立性检验</w:t>
      </w:r>
    </w:p>
    <w:p>
      <w:pPr>
        <w:autoSpaceDE w:val="0"/>
        <w:autoSpaceDN w:val="0"/>
        <w:adjustRightInd w:val="0"/>
        <w:spacing w:line="400" w:lineRule="atLeast"/>
        <w:jc w:val="left"/>
        <w:rPr>
          <w:rFonts w:hint="eastAsia" w:ascii="宋体" w:hAnsi="宋体" w:eastAsia="宋体" w:cs="宋体"/>
          <w:kern w:val="0"/>
          <w:sz w:val="24"/>
          <w:szCs w:val="24"/>
        </w:rPr>
      </w:pPr>
    </w:p>
    <w:p>
      <w:pPr>
        <w:autoSpaceDE w:val="0"/>
        <w:autoSpaceDN w:val="0"/>
        <w:adjustRightInd w:val="0"/>
        <w:spacing w:line="400" w:lineRule="atLeast"/>
        <w:jc w:val="left"/>
        <w:rPr>
          <w:rFonts w:hint="eastAsia" w:ascii="宋体" w:hAnsi="宋体" w:eastAsia="宋体" w:cs="宋体"/>
          <w:kern w:val="0"/>
          <w:sz w:val="24"/>
          <w:szCs w:val="24"/>
        </w:rPr>
      </w:pPr>
      <w:r>
        <w:rPr>
          <w:rFonts w:hint="eastAsia" w:ascii="宋体" w:hAnsi="宋体" w:eastAsia="宋体" w:cs="宋体"/>
          <w:kern w:val="0"/>
          <w:sz w:val="24"/>
          <w:szCs w:val="24"/>
        </w:rPr>
        <w:t>同理，我们又对诊断结果和化疗方案与淋巴结数量增减的关系进行了独立性检验，所得结果如表（3）：</w:t>
      </w:r>
    </w:p>
    <w:p>
      <w:pPr>
        <w:autoSpaceDE w:val="0"/>
        <w:autoSpaceDN w:val="0"/>
        <w:adjustRightInd w:val="0"/>
        <w:jc w:val="center"/>
        <w:rPr>
          <w:rFonts w:ascii="Times New Roman" w:hAnsi="Times New Roman" w:cs="Times New Roman"/>
          <w:kern w:val="0"/>
          <w:sz w:val="24"/>
          <w:szCs w:val="24"/>
        </w:rPr>
      </w:pPr>
      <w:r>
        <w:rPr>
          <w:rFonts w:hint="eastAsia" w:ascii="Times New Roman" w:hAnsi="Times New Roman" w:cs="Times New Roman"/>
          <w:kern w:val="0"/>
          <w:sz w:val="24"/>
          <w:szCs w:val="24"/>
        </w:rPr>
        <w:t>表（3）</w:t>
      </w:r>
    </w:p>
    <w:tbl>
      <w:tblPr>
        <w:tblStyle w:val="10"/>
        <w:tblW w:w="880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36"/>
        <w:gridCol w:w="1584"/>
        <w:gridCol w:w="1030"/>
        <w:gridCol w:w="1030"/>
        <w:gridCol w:w="1476"/>
        <w:gridCol w:w="1476"/>
        <w:gridCol w:w="14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ascii="MingLiU" w:hAnsi="Times New Roman" w:eastAsia="MingLiU" w:cs="MingLiU"/>
                <w:color w:val="010205"/>
                <w:kern w:val="0"/>
                <w:sz w:val="22"/>
              </w:rPr>
            </w:pPr>
            <w:r>
              <w:rPr>
                <w:rFonts w:hint="eastAsia" w:ascii="MingLiU" w:hAnsi="Times New Roman" w:eastAsia="MingLiU" w:cs="MingLiU"/>
                <w:b/>
                <w:bCs/>
                <w:color w:val="010205"/>
                <w:kern w:val="0"/>
                <w:sz w:val="22"/>
              </w:rPr>
              <w:t>卡方检验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20" w:type="dxa"/>
            <w:gridSpan w:val="2"/>
            <w:tcBorders>
              <w:top w:val="nil"/>
              <w:left w:val="nil"/>
              <w:bottom w:val="single" w:color="152935" w:sz="8" w:space="0"/>
              <w:right w:val="nil"/>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treat</w:t>
            </w:r>
          </w:p>
        </w:tc>
        <w:tc>
          <w:tcPr>
            <w:tcW w:w="1029"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值</w:t>
            </w:r>
          </w:p>
        </w:tc>
        <w:tc>
          <w:tcPr>
            <w:tcW w:w="1029"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自由度</w:t>
            </w:r>
          </w:p>
        </w:tc>
        <w:tc>
          <w:tcPr>
            <w:tcW w:w="1475"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渐进显著性（双侧）</w:t>
            </w:r>
          </w:p>
        </w:tc>
        <w:tc>
          <w:tcPr>
            <w:tcW w:w="1475" w:type="dxa"/>
            <w:tcBorders>
              <w:top w:val="nil"/>
              <w:left w:val="single" w:color="E0E0E0" w:sz="8" w:space="0"/>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精确显著性（双侧）</w:t>
            </w:r>
          </w:p>
        </w:tc>
        <w:tc>
          <w:tcPr>
            <w:tcW w:w="1475" w:type="dxa"/>
            <w:tcBorders>
              <w:top w:val="nil"/>
              <w:left w:val="single" w:color="E0E0E0" w:sz="8" w:space="0"/>
              <w:bottom w:val="single" w:color="152935" w:sz="8" w:space="0"/>
              <w:right w:val="nil"/>
            </w:tcBorders>
            <w:shd w:val="clear" w:color="auto" w:fill="FFFFFF"/>
            <w:vAlign w:val="bottom"/>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精确显著性（单侧）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1.00</w:t>
            </w:r>
          </w:p>
        </w:tc>
        <w:tc>
          <w:tcPr>
            <w:tcW w:w="1583"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6.005</w:t>
            </w:r>
            <w:r>
              <w:rPr>
                <w:rFonts w:ascii="MingLiU" w:hAnsi="Times New Roman" w:eastAsia="MingLiU" w:cs="MingLiU"/>
                <w:color w:val="010205"/>
                <w:kern w:val="0"/>
                <w:sz w:val="18"/>
                <w:szCs w:val="18"/>
                <w:vertAlign w:val="superscript"/>
              </w:rPr>
              <w:t>c</w:t>
            </w:r>
          </w:p>
        </w:tc>
        <w:tc>
          <w:tcPr>
            <w:tcW w:w="1029"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152935"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.014</w:t>
            </w:r>
          </w:p>
        </w:tc>
        <w:tc>
          <w:tcPr>
            <w:tcW w:w="1475" w:type="dxa"/>
            <w:tcBorders>
              <w:top w:val="single" w:color="152935"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152935"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4.052</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.044</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6.103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.013</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.028</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5.765</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.016</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25</w:t>
            </w:r>
          </w:p>
        </w:tc>
        <w:tc>
          <w:tcPr>
            <w:tcW w:w="1029"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ascii="MingLiU" w:hAnsi="Times New Roman" w:eastAsia="MingLiU" w:cs="MingLiU"/>
                <w:color w:val="264A60"/>
                <w:kern w:val="0"/>
                <w:sz w:val="18"/>
                <w:szCs w:val="18"/>
              </w:rPr>
              <w:t>2.00</w:t>
            </w: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.726</w:t>
            </w:r>
            <w:r>
              <w:rPr>
                <w:rFonts w:ascii="MingLiU" w:hAnsi="Times New Roman" w:eastAsia="MingLiU" w:cs="MingLiU"/>
                <w:color w:val="010205"/>
                <w:kern w:val="0"/>
                <w:sz w:val="18"/>
                <w:szCs w:val="18"/>
                <w:vertAlign w:val="superscript"/>
              </w:rPr>
              <w:t>d</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.394</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.087</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.768</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.770</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.380</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.600</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.395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.683</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.409</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nil"/>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17</w:t>
            </w:r>
          </w:p>
        </w:tc>
        <w:tc>
          <w:tcPr>
            <w:tcW w:w="1029"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nil"/>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总计</w:t>
            </w: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皮尔逊卡方</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1.981</w:t>
            </w:r>
            <w:r>
              <w:rPr>
                <w:rFonts w:ascii="MingLiU" w:hAnsi="Times New Roman" w:eastAsia="MingLiU" w:cs="MingLiU"/>
                <w:color w:val="010205"/>
                <w:kern w:val="0"/>
                <w:sz w:val="18"/>
                <w:szCs w:val="18"/>
                <w:vertAlign w:val="superscript"/>
              </w:rPr>
              <w:t>a</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.159</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连续性修正</w:t>
            </w:r>
            <w:r>
              <w:rPr>
                <w:rFonts w:ascii="MingLiU" w:hAnsi="Times New Roman" w:eastAsia="MingLiU" w:cs="MingLiU"/>
                <w:color w:val="264A60"/>
                <w:kern w:val="0"/>
                <w:sz w:val="18"/>
                <w:szCs w:val="18"/>
                <w:vertAlign w:val="superscript"/>
              </w:rPr>
              <w:t>b</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1.131</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.287</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似然比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1.952</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.162</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费希尔精确检验</w:t>
            </w:r>
          </w:p>
        </w:tc>
        <w:tc>
          <w:tcPr>
            <w:tcW w:w="1029" w:type="dxa"/>
            <w:tcBorders>
              <w:top w:val="single" w:color="AEAEAE" w:sz="8" w:space="0"/>
              <w:left w:val="nil"/>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029"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.187</w:t>
            </w:r>
          </w:p>
        </w:tc>
        <w:tc>
          <w:tcPr>
            <w:tcW w:w="1475"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MingLiU" w:hAnsi="Times New Roman" w:eastAsia="MingLiU" w:cs="MingLiU"/>
                <w:color w:val="010205"/>
                <w:kern w:val="0"/>
                <w:sz w:val="18"/>
                <w:szCs w:val="18"/>
              </w:rPr>
            </w:pPr>
          </w:p>
        </w:tc>
        <w:tc>
          <w:tcPr>
            <w:tcW w:w="1583"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线性关联</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1.934</w:t>
            </w:r>
          </w:p>
        </w:tc>
        <w:tc>
          <w:tcPr>
            <w:tcW w:w="1029"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w:t>
            </w:r>
          </w:p>
        </w:tc>
        <w:tc>
          <w:tcPr>
            <w:tcW w:w="1475" w:type="dxa"/>
            <w:tcBorders>
              <w:top w:val="single" w:color="AEAEAE" w:sz="8" w:space="0"/>
              <w:left w:val="single" w:color="E0E0E0" w:sz="8" w:space="0"/>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.164</w:t>
            </w:r>
          </w:p>
        </w:tc>
        <w:tc>
          <w:tcPr>
            <w:tcW w:w="1475" w:type="dxa"/>
            <w:tcBorders>
              <w:top w:val="single" w:color="AEAEAE" w:sz="8" w:space="0"/>
              <w:left w:val="single" w:color="E0E0E0" w:sz="8" w:space="0"/>
              <w:bottom w:val="single" w:color="AEAEAE"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AEAEAE"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ascii="Times New Roman" w:hAnsi="Times New Roman" w:cs="Times New Roman"/>
                <w:kern w:val="0"/>
                <w:sz w:val="24"/>
                <w:szCs w:val="24"/>
              </w:rPr>
            </w:pPr>
          </w:p>
        </w:tc>
        <w:tc>
          <w:tcPr>
            <w:tcW w:w="1583"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ascii="MingLiU" w:hAnsi="Times New Roman" w:eastAsia="MingLiU" w:cs="MingLiU"/>
                <w:color w:val="264A60"/>
                <w:kern w:val="0"/>
                <w:sz w:val="18"/>
                <w:szCs w:val="18"/>
              </w:rPr>
            </w:pPr>
            <w:r>
              <w:rPr>
                <w:rFonts w:hint="eastAsia" w:ascii="MingLiU" w:hAnsi="Times New Roman" w:eastAsia="MingLiU" w:cs="MingLiU"/>
                <w:color w:val="264A60"/>
                <w:kern w:val="0"/>
                <w:sz w:val="18"/>
                <w:szCs w:val="18"/>
              </w:rPr>
              <w:t>有效个案数</w:t>
            </w:r>
          </w:p>
        </w:tc>
        <w:tc>
          <w:tcPr>
            <w:tcW w:w="1029"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42</w:t>
            </w:r>
          </w:p>
        </w:tc>
        <w:tc>
          <w:tcPr>
            <w:tcW w:w="1029"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single" w:color="E0E0E0" w:sz="8" w:space="0"/>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c>
          <w:tcPr>
            <w:tcW w:w="1475" w:type="dxa"/>
            <w:tcBorders>
              <w:top w:val="single" w:color="AEAEAE" w:sz="8" w:space="0"/>
              <w:left w:val="single" w:color="E0E0E0" w:sz="8" w:space="0"/>
              <w:bottom w:val="single" w:color="152935" w:sz="8" w:space="0"/>
              <w:right w:val="nil"/>
            </w:tcBorders>
            <w:shd w:val="clear" w:color="auto" w:fill="FFFFFF"/>
            <w:vAlign w:val="center"/>
          </w:tcPr>
          <w:p>
            <w:pPr>
              <w:autoSpaceDE w:val="0"/>
              <w:autoSpaceDN w:val="0"/>
              <w:adjustRightInd w:val="0"/>
              <w:jc w:val="center"/>
              <w:rPr>
                <w:rFonts w:ascii="Times New Roman" w:hAnsi="Times New Roman" w:cs="Times New Roman"/>
                <w:kern w:val="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a. 1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(25.0%)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4.95</w:t>
            </w:r>
            <w:r>
              <w:rPr>
                <w:rFonts w:hint="eastAsia" w:ascii="MingLiU" w:hAnsi="Times New Roman" w:eastAsia="MingLiU" w:cs="MingLiU"/>
                <w:color w:val="010205"/>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b. </w:t>
            </w:r>
            <w:r>
              <w:rPr>
                <w:rFonts w:hint="eastAsia" w:ascii="MingLiU" w:hAnsi="Times New Roman" w:eastAsia="MingLiU" w:cs="MingLiU"/>
                <w:color w:val="010205"/>
                <w:kern w:val="0"/>
                <w:sz w:val="18"/>
                <w:szCs w:val="18"/>
              </w:rPr>
              <w:t>仅针对</w:t>
            </w:r>
            <w:r>
              <w:rPr>
                <w:rFonts w:ascii="MingLiU" w:hAnsi="Times New Roman" w:eastAsia="MingLiU" w:cs="MingLiU"/>
                <w:color w:val="010205"/>
                <w:kern w:val="0"/>
                <w:sz w:val="18"/>
                <w:szCs w:val="18"/>
              </w:rPr>
              <w:t xml:space="preserve"> 2x2 </w:t>
            </w:r>
            <w:r>
              <w:rPr>
                <w:rFonts w:hint="eastAsia" w:ascii="MingLiU" w:hAnsi="Times New Roman" w:eastAsia="MingLiU" w:cs="MingLiU"/>
                <w:color w:val="010205"/>
                <w:kern w:val="0"/>
                <w:sz w:val="18"/>
                <w:szCs w:val="18"/>
              </w:rPr>
              <w:t>表进行计算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c. 2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(50.0%)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3.20</w:t>
            </w:r>
            <w:r>
              <w:rPr>
                <w:rFonts w:hint="eastAsia" w:ascii="MingLiU" w:hAnsi="Times New Roman" w:eastAsia="MingLiU" w:cs="MingLiU"/>
                <w:color w:val="010205"/>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803" w:type="dxa"/>
            <w:gridSpan w:val="7"/>
            <w:tcBorders>
              <w:top w:val="nil"/>
              <w:left w:val="nil"/>
              <w:bottom w:val="nil"/>
              <w:right w:val="nil"/>
            </w:tcBorders>
            <w:shd w:val="clear" w:color="auto" w:fill="FFFFFF"/>
          </w:tcPr>
          <w:p>
            <w:pPr>
              <w:autoSpaceDE w:val="0"/>
              <w:autoSpaceDN w:val="0"/>
              <w:adjustRightInd w:val="0"/>
              <w:spacing w:line="320" w:lineRule="atLeast"/>
              <w:ind w:left="60" w:right="60"/>
              <w:jc w:val="center"/>
              <w:rPr>
                <w:rFonts w:ascii="MingLiU" w:hAnsi="Times New Roman" w:eastAsia="MingLiU" w:cs="MingLiU"/>
                <w:color w:val="010205"/>
                <w:kern w:val="0"/>
                <w:sz w:val="18"/>
                <w:szCs w:val="18"/>
              </w:rPr>
            </w:pPr>
            <w:r>
              <w:rPr>
                <w:rFonts w:ascii="MingLiU" w:hAnsi="Times New Roman" w:eastAsia="MingLiU" w:cs="MingLiU"/>
                <w:color w:val="010205"/>
                <w:kern w:val="0"/>
                <w:sz w:val="18"/>
                <w:szCs w:val="18"/>
              </w:rPr>
              <w:t xml:space="preserve">d. 3 </w:t>
            </w:r>
            <w:r>
              <w:rPr>
                <w:rFonts w:hint="eastAsia" w:ascii="MingLiU" w:hAnsi="Times New Roman" w:eastAsia="MingLiU" w:cs="MingLiU"/>
                <w:color w:val="010205"/>
                <w:kern w:val="0"/>
                <w:sz w:val="18"/>
                <w:szCs w:val="18"/>
              </w:rPr>
              <w:t>个单元格</w:t>
            </w:r>
            <w:r>
              <w:rPr>
                <w:rFonts w:ascii="MingLiU" w:hAnsi="Times New Roman" w:eastAsia="MingLiU" w:cs="MingLiU"/>
                <w:color w:val="010205"/>
                <w:kern w:val="0"/>
                <w:sz w:val="18"/>
                <w:szCs w:val="18"/>
              </w:rPr>
              <w:t xml:space="preserve"> (75.0%) </w:t>
            </w:r>
            <w:r>
              <w:rPr>
                <w:rFonts w:hint="eastAsia" w:ascii="MingLiU" w:hAnsi="Times New Roman" w:eastAsia="MingLiU" w:cs="MingLiU"/>
                <w:color w:val="010205"/>
                <w:kern w:val="0"/>
                <w:sz w:val="18"/>
                <w:szCs w:val="18"/>
              </w:rPr>
              <w:t>的期望计数小于</w:t>
            </w:r>
            <w:r>
              <w:rPr>
                <w:rFonts w:ascii="MingLiU" w:hAnsi="Times New Roman" w:eastAsia="MingLiU" w:cs="MingLiU"/>
                <w:color w:val="010205"/>
                <w:kern w:val="0"/>
                <w:sz w:val="18"/>
                <w:szCs w:val="18"/>
              </w:rPr>
              <w:t xml:space="preserve"> 5</w:t>
            </w:r>
            <w:r>
              <w:rPr>
                <w:rFonts w:hint="eastAsia" w:ascii="MingLiU" w:hAnsi="Times New Roman" w:eastAsia="MingLiU" w:cs="MingLiU"/>
                <w:color w:val="010205"/>
                <w:kern w:val="0"/>
                <w:sz w:val="18"/>
                <w:szCs w:val="18"/>
              </w:rPr>
              <w:t>。最小期望计数为</w:t>
            </w:r>
            <w:r>
              <w:rPr>
                <w:rFonts w:ascii="MingLiU" w:hAnsi="Times New Roman" w:eastAsia="MingLiU" w:cs="MingLiU"/>
                <w:color w:val="010205"/>
                <w:kern w:val="0"/>
                <w:sz w:val="18"/>
                <w:szCs w:val="18"/>
              </w:rPr>
              <w:t xml:space="preserve"> 1.76</w:t>
            </w:r>
            <w:r>
              <w:rPr>
                <w:rFonts w:hint="eastAsia" w:ascii="MingLiU" w:hAnsi="Times New Roman" w:eastAsia="MingLiU" w:cs="MingLiU"/>
                <w:color w:val="010205"/>
                <w:kern w:val="0"/>
                <w:sz w:val="18"/>
                <w:szCs w:val="18"/>
              </w:rPr>
              <w:t>。</w:t>
            </w:r>
          </w:p>
        </w:tc>
      </w:tr>
    </w:tbl>
    <w:p>
      <w:pPr>
        <w:autoSpaceDE w:val="0"/>
        <w:autoSpaceDN w:val="0"/>
        <w:adjustRightInd w:val="0"/>
        <w:spacing w:line="400" w:lineRule="atLeast"/>
        <w:jc w:val="left"/>
        <w:rPr>
          <w:rFonts w:ascii="Times New Roman" w:hAnsi="Times New Roman" w:cs="Times New Roman"/>
          <w:kern w:val="0"/>
          <w:sz w:val="24"/>
          <w:szCs w:val="24"/>
        </w:rPr>
      </w:pPr>
    </w:p>
    <w:p>
      <w:pPr>
        <w:autoSpaceDE w:val="0"/>
        <w:autoSpaceDN w:val="0"/>
        <w:adjustRightInd w:val="0"/>
        <w:spacing w:line="400" w:lineRule="atLeast"/>
        <w:jc w:val="left"/>
        <w:rPr>
          <w:rFonts w:hint="eastAsia" w:ascii="宋体" w:hAnsi="宋体" w:eastAsia="宋体" w:cs="宋体"/>
          <w:kern w:val="0"/>
          <w:sz w:val="24"/>
          <w:szCs w:val="24"/>
        </w:rPr>
      </w:pPr>
      <w:r>
        <w:rPr>
          <w:rFonts w:hint="eastAsia" w:ascii="宋体" w:hAnsi="宋体" w:eastAsia="宋体" w:cs="宋体"/>
          <w:kern w:val="0"/>
          <w:sz w:val="24"/>
          <w:szCs w:val="24"/>
        </w:rPr>
        <w:t>显然，这三个参量之间是独立的。</w:t>
      </w:r>
    </w:p>
    <w:p>
      <w:pPr>
        <w:autoSpaceDE w:val="0"/>
        <w:autoSpaceDN w:val="0"/>
        <w:adjustRightInd w:val="0"/>
        <w:spacing w:line="400" w:lineRule="atLeast"/>
        <w:jc w:val="left"/>
        <w:rPr>
          <w:rFonts w:hint="eastAsia" w:ascii="宋体" w:hAnsi="宋体" w:eastAsia="宋体" w:cs="宋体"/>
          <w:kern w:val="0"/>
          <w:sz w:val="24"/>
          <w:szCs w:val="24"/>
        </w:rPr>
      </w:pPr>
      <w:r>
        <w:rPr>
          <w:rFonts w:hint="eastAsia" w:ascii="宋体" w:hAnsi="宋体" w:eastAsia="宋体" w:cs="宋体"/>
          <w:kern w:val="0"/>
          <w:sz w:val="24"/>
          <w:szCs w:val="24"/>
        </w:rPr>
        <w:t>综上，我们认为在以淋巴结转移情况为考核参量的条件下，诊断结果和化疗方案是它的影响因素。</w:t>
      </w:r>
    </w:p>
    <w:p/>
    <w:p>
      <w:pPr>
        <w:pStyle w:val="5"/>
        <w:bidi w:val="0"/>
        <w:outlineLvl w:val="2"/>
        <w:rPr>
          <w:rFonts w:hint="eastAsia"/>
          <w:lang w:val="en-US" w:eastAsia="zh-CN"/>
        </w:rPr>
      </w:pPr>
      <w:bookmarkStart w:id="75" w:name="_Toc28875"/>
      <w:r>
        <w:rPr>
          <w:rFonts w:hint="eastAsia"/>
          <w:lang w:val="en-US" w:eastAsia="zh-CN"/>
        </w:rPr>
        <w:t>5.1.2 回归分析</w:t>
      </w:r>
      <w:bookmarkEnd w:id="75"/>
    </w:p>
    <w:p>
      <w:pPr>
        <w:pStyle w:val="6"/>
        <w:bidi w:val="0"/>
        <w:rPr>
          <w:rFonts w:hint="eastAsia"/>
          <w:lang w:val="en-US" w:eastAsia="zh-CN"/>
        </w:rPr>
      </w:pPr>
      <w:r>
        <w:rPr>
          <w:rFonts w:hint="eastAsia"/>
          <w:lang w:val="en-US" w:eastAsia="zh-CN"/>
        </w:rPr>
        <w:t xml:space="preserve">5.1.2.1 </w:t>
      </w:r>
      <w:r>
        <w:rPr>
          <w:rFonts w:hint="eastAsia"/>
        </w:rPr>
        <w:t>放射野淋巴结的数量对淋巴结对治疗反映的影响</w:t>
      </w:r>
    </w:p>
    <w:p>
      <w:pPr>
        <w:rPr>
          <w:rFonts w:hint="eastAsia" w:ascii="宋体" w:hAnsi="宋体" w:eastAsia="宋体" w:cs="宋体"/>
          <w:sz w:val="24"/>
          <w:szCs w:val="24"/>
        </w:rPr>
      </w:pPr>
      <w:r>
        <w:rPr>
          <w:rFonts w:hint="eastAsia" w:ascii="宋体" w:hAnsi="宋体" w:eastAsia="宋体" w:cs="宋体"/>
          <w:sz w:val="24"/>
          <w:szCs w:val="24"/>
          <w:lang w:val="en-US" w:eastAsia="zh-CN"/>
        </w:rPr>
        <w:t>利</w:t>
      </w:r>
      <w:r>
        <w:rPr>
          <w:rFonts w:hint="eastAsia" w:ascii="宋体" w:hAnsi="宋体" w:eastAsia="宋体" w:cs="宋体"/>
          <w:sz w:val="24"/>
          <w:szCs w:val="24"/>
        </w:rPr>
        <w:t>用回归分析研究放射野淋巴结的数量对淋巴结对治疗反映的影响。</w:t>
      </w:r>
    </w:p>
    <w:p>
      <w:pPr>
        <w:rPr>
          <w:rFonts w:hint="eastAsia" w:ascii="宋体" w:hAnsi="宋体" w:eastAsia="宋体" w:cs="宋体"/>
          <w:sz w:val="24"/>
          <w:szCs w:val="24"/>
        </w:rPr>
      </w:pPr>
      <w:r>
        <w:rPr>
          <w:rFonts w:hint="eastAsia" w:ascii="宋体" w:hAnsi="宋体" w:eastAsia="宋体" w:cs="宋体"/>
          <w:sz w:val="24"/>
          <w:szCs w:val="24"/>
        </w:rPr>
        <w:t>我们以放疗野的淋巴结数目作为自变量，以术后淋巴结的平均转移量作为因变量，得到如表（4）的数据</w:t>
      </w:r>
    </w:p>
    <w:p>
      <w:pPr>
        <w:rPr>
          <w:rFonts w:hint="eastAsia" w:ascii="宋体" w:hAnsi="宋体" w:eastAsia="宋体" w:cs="宋体"/>
          <w:sz w:val="24"/>
          <w:szCs w:val="24"/>
        </w:rPr>
      </w:pPr>
    </w:p>
    <w:p>
      <w:pPr>
        <w:jc w:val="center"/>
        <w:rPr>
          <w:sz w:val="24"/>
          <w:szCs w:val="24"/>
        </w:rPr>
      </w:pPr>
      <w:r>
        <w:rPr>
          <w:rFonts w:hint="eastAsia" w:ascii="宋体" w:hAnsi="宋体" w:eastAsia="宋体" w:cs="宋体"/>
          <w:sz w:val="24"/>
          <w:szCs w:val="24"/>
        </w:rPr>
        <w:t>表（4</w:t>
      </w:r>
      <w:r>
        <w:rPr>
          <w:rFonts w:hint="eastAsia"/>
          <w:sz w:val="24"/>
          <w:szCs w:val="24"/>
        </w:rPr>
        <w:t>）</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687"/>
        <w:gridCol w:w="687"/>
        <w:gridCol w:w="687"/>
        <w:gridCol w:w="688"/>
        <w:gridCol w:w="688"/>
        <w:gridCol w:w="688"/>
        <w:gridCol w:w="688"/>
        <w:gridCol w:w="688"/>
        <w:gridCol w:w="688"/>
        <w:gridCol w:w="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1" w:type="dxa"/>
          </w:tcPr>
          <w:p>
            <w:pPr>
              <w:jc w:val="center"/>
              <w:rPr>
                <w:rFonts w:hint="eastAsia"/>
                <w:sz w:val="24"/>
                <w:szCs w:val="24"/>
              </w:rPr>
            </w:pPr>
            <w:r>
              <w:rPr>
                <w:sz w:val="24"/>
                <w:szCs w:val="24"/>
              </w:rPr>
              <w:t>Initial</w:t>
            </w:r>
          </w:p>
        </w:tc>
        <w:tc>
          <w:tcPr>
            <w:tcW w:w="687" w:type="dxa"/>
          </w:tcPr>
          <w:p>
            <w:pPr>
              <w:jc w:val="center"/>
              <w:rPr>
                <w:rFonts w:hint="eastAsia"/>
                <w:sz w:val="24"/>
                <w:szCs w:val="24"/>
              </w:rPr>
            </w:pPr>
            <w:r>
              <w:rPr>
                <w:rFonts w:hint="eastAsia"/>
                <w:sz w:val="24"/>
                <w:szCs w:val="24"/>
              </w:rPr>
              <w:t>0</w:t>
            </w:r>
          </w:p>
        </w:tc>
        <w:tc>
          <w:tcPr>
            <w:tcW w:w="687" w:type="dxa"/>
          </w:tcPr>
          <w:p>
            <w:pPr>
              <w:jc w:val="center"/>
              <w:rPr>
                <w:rFonts w:hint="eastAsia"/>
                <w:sz w:val="24"/>
                <w:szCs w:val="24"/>
              </w:rPr>
            </w:pPr>
            <w:r>
              <w:rPr>
                <w:rFonts w:hint="eastAsia"/>
                <w:sz w:val="24"/>
                <w:szCs w:val="24"/>
              </w:rPr>
              <w:t>1</w:t>
            </w:r>
          </w:p>
        </w:tc>
        <w:tc>
          <w:tcPr>
            <w:tcW w:w="687" w:type="dxa"/>
          </w:tcPr>
          <w:p>
            <w:pPr>
              <w:jc w:val="center"/>
              <w:rPr>
                <w:rFonts w:hint="eastAsia"/>
                <w:sz w:val="24"/>
                <w:szCs w:val="24"/>
              </w:rPr>
            </w:pPr>
            <w:r>
              <w:rPr>
                <w:rFonts w:hint="eastAsia"/>
                <w:sz w:val="24"/>
                <w:szCs w:val="24"/>
              </w:rPr>
              <w:t>2</w:t>
            </w:r>
          </w:p>
        </w:tc>
        <w:tc>
          <w:tcPr>
            <w:tcW w:w="688" w:type="dxa"/>
          </w:tcPr>
          <w:p>
            <w:pPr>
              <w:jc w:val="center"/>
              <w:rPr>
                <w:rFonts w:hint="eastAsia"/>
                <w:sz w:val="24"/>
                <w:szCs w:val="24"/>
              </w:rPr>
            </w:pPr>
            <w:r>
              <w:rPr>
                <w:rFonts w:hint="eastAsia"/>
                <w:sz w:val="24"/>
                <w:szCs w:val="24"/>
              </w:rPr>
              <w:t>3</w:t>
            </w:r>
          </w:p>
        </w:tc>
        <w:tc>
          <w:tcPr>
            <w:tcW w:w="688" w:type="dxa"/>
          </w:tcPr>
          <w:p>
            <w:pPr>
              <w:jc w:val="center"/>
              <w:rPr>
                <w:rFonts w:hint="eastAsia"/>
                <w:sz w:val="24"/>
                <w:szCs w:val="24"/>
              </w:rPr>
            </w:pPr>
            <w:r>
              <w:rPr>
                <w:rFonts w:hint="eastAsia"/>
                <w:sz w:val="24"/>
                <w:szCs w:val="24"/>
              </w:rPr>
              <w:t>4</w:t>
            </w:r>
          </w:p>
        </w:tc>
        <w:tc>
          <w:tcPr>
            <w:tcW w:w="688" w:type="dxa"/>
          </w:tcPr>
          <w:p>
            <w:pPr>
              <w:jc w:val="center"/>
              <w:rPr>
                <w:rFonts w:hint="eastAsia"/>
                <w:sz w:val="24"/>
                <w:szCs w:val="24"/>
              </w:rPr>
            </w:pPr>
            <w:r>
              <w:rPr>
                <w:rFonts w:hint="eastAsia"/>
                <w:sz w:val="24"/>
                <w:szCs w:val="24"/>
              </w:rPr>
              <w:t>5</w:t>
            </w:r>
          </w:p>
        </w:tc>
        <w:tc>
          <w:tcPr>
            <w:tcW w:w="688" w:type="dxa"/>
          </w:tcPr>
          <w:p>
            <w:pPr>
              <w:jc w:val="center"/>
              <w:rPr>
                <w:rFonts w:hint="eastAsia"/>
                <w:sz w:val="24"/>
                <w:szCs w:val="24"/>
              </w:rPr>
            </w:pPr>
            <w:r>
              <w:rPr>
                <w:rFonts w:hint="eastAsia"/>
                <w:sz w:val="24"/>
                <w:szCs w:val="24"/>
              </w:rPr>
              <w:t>6</w:t>
            </w:r>
          </w:p>
        </w:tc>
        <w:tc>
          <w:tcPr>
            <w:tcW w:w="688" w:type="dxa"/>
          </w:tcPr>
          <w:p>
            <w:pPr>
              <w:jc w:val="center"/>
              <w:rPr>
                <w:rFonts w:hint="eastAsia"/>
                <w:sz w:val="24"/>
                <w:szCs w:val="24"/>
              </w:rPr>
            </w:pPr>
            <w:r>
              <w:rPr>
                <w:rFonts w:hint="eastAsia"/>
                <w:sz w:val="24"/>
                <w:szCs w:val="24"/>
              </w:rPr>
              <w:t>7</w:t>
            </w:r>
          </w:p>
        </w:tc>
        <w:tc>
          <w:tcPr>
            <w:tcW w:w="688" w:type="dxa"/>
          </w:tcPr>
          <w:p>
            <w:pPr>
              <w:jc w:val="center"/>
              <w:rPr>
                <w:rFonts w:hint="eastAsia"/>
                <w:sz w:val="24"/>
                <w:szCs w:val="24"/>
              </w:rPr>
            </w:pPr>
            <w:r>
              <w:rPr>
                <w:rFonts w:hint="eastAsia"/>
                <w:sz w:val="24"/>
                <w:szCs w:val="24"/>
              </w:rPr>
              <w:t>8</w:t>
            </w:r>
          </w:p>
        </w:tc>
        <w:tc>
          <w:tcPr>
            <w:tcW w:w="658" w:type="dxa"/>
          </w:tcPr>
          <w:p>
            <w:pPr>
              <w:jc w:val="center"/>
              <w:rPr>
                <w:rFonts w:hint="eastAsia"/>
                <w:sz w:val="24"/>
                <w:szCs w:val="24"/>
              </w:rPr>
            </w:pPr>
            <w:r>
              <w:rPr>
                <w:rFonts w:hint="eastAsia"/>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1" w:type="dxa"/>
          </w:tcPr>
          <w:p>
            <w:pPr>
              <w:jc w:val="center"/>
              <w:rPr>
                <w:rFonts w:hint="eastAsia"/>
                <w:sz w:val="24"/>
                <w:szCs w:val="24"/>
              </w:rPr>
            </w:pPr>
            <w:r>
              <w:rPr>
                <w:rFonts w:hint="eastAsia"/>
                <w:sz w:val="24"/>
                <w:szCs w:val="24"/>
              </w:rPr>
              <w:t>f</w:t>
            </w:r>
            <w:r>
              <w:rPr>
                <w:sz w:val="24"/>
                <w:szCs w:val="24"/>
              </w:rPr>
              <w:t>inal</w:t>
            </w:r>
          </w:p>
        </w:tc>
        <w:tc>
          <w:tcPr>
            <w:tcW w:w="687" w:type="dxa"/>
          </w:tcPr>
          <w:p>
            <w:pPr>
              <w:jc w:val="center"/>
              <w:rPr>
                <w:rFonts w:hint="eastAsia"/>
                <w:sz w:val="24"/>
                <w:szCs w:val="24"/>
              </w:rPr>
            </w:pPr>
            <w:r>
              <w:rPr>
                <w:rFonts w:hint="eastAsia"/>
                <w:sz w:val="24"/>
                <w:szCs w:val="24"/>
              </w:rPr>
              <w:t>0</w:t>
            </w:r>
            <w:r>
              <w:rPr>
                <w:sz w:val="24"/>
                <w:szCs w:val="24"/>
              </w:rPr>
              <w:t>.57</w:t>
            </w:r>
          </w:p>
        </w:tc>
        <w:tc>
          <w:tcPr>
            <w:tcW w:w="687" w:type="dxa"/>
          </w:tcPr>
          <w:p>
            <w:pPr>
              <w:jc w:val="center"/>
              <w:rPr>
                <w:rFonts w:hint="eastAsia"/>
                <w:sz w:val="24"/>
                <w:szCs w:val="24"/>
              </w:rPr>
            </w:pPr>
            <w:r>
              <w:rPr>
                <w:rFonts w:hint="eastAsia"/>
                <w:sz w:val="24"/>
                <w:szCs w:val="24"/>
              </w:rPr>
              <w:t>0</w:t>
            </w:r>
            <w:r>
              <w:rPr>
                <w:sz w:val="24"/>
                <w:szCs w:val="24"/>
              </w:rPr>
              <w:t>.89</w:t>
            </w:r>
          </w:p>
        </w:tc>
        <w:tc>
          <w:tcPr>
            <w:tcW w:w="687" w:type="dxa"/>
          </w:tcPr>
          <w:p>
            <w:pPr>
              <w:jc w:val="center"/>
              <w:rPr>
                <w:rFonts w:hint="eastAsia"/>
                <w:sz w:val="24"/>
                <w:szCs w:val="24"/>
              </w:rPr>
            </w:pPr>
            <w:r>
              <w:rPr>
                <w:rFonts w:hint="eastAsia"/>
                <w:sz w:val="24"/>
                <w:szCs w:val="24"/>
              </w:rPr>
              <w:t>0</w:t>
            </w:r>
            <w:r>
              <w:rPr>
                <w:sz w:val="24"/>
                <w:szCs w:val="24"/>
              </w:rPr>
              <w:t>.71</w:t>
            </w:r>
          </w:p>
        </w:tc>
        <w:tc>
          <w:tcPr>
            <w:tcW w:w="688" w:type="dxa"/>
          </w:tcPr>
          <w:p>
            <w:pPr>
              <w:jc w:val="center"/>
              <w:rPr>
                <w:rFonts w:hint="eastAsia"/>
                <w:sz w:val="24"/>
                <w:szCs w:val="24"/>
              </w:rPr>
            </w:pPr>
            <w:r>
              <w:rPr>
                <w:rFonts w:hint="eastAsia"/>
                <w:sz w:val="24"/>
                <w:szCs w:val="24"/>
              </w:rPr>
              <w:t>0</w:t>
            </w:r>
            <w:r>
              <w:rPr>
                <w:sz w:val="24"/>
                <w:szCs w:val="24"/>
              </w:rPr>
              <w:t>.29</w:t>
            </w:r>
          </w:p>
        </w:tc>
        <w:tc>
          <w:tcPr>
            <w:tcW w:w="688" w:type="dxa"/>
          </w:tcPr>
          <w:p>
            <w:pPr>
              <w:jc w:val="center"/>
              <w:rPr>
                <w:rFonts w:hint="eastAsia"/>
                <w:sz w:val="24"/>
                <w:szCs w:val="24"/>
              </w:rPr>
            </w:pPr>
            <w:r>
              <w:rPr>
                <w:rFonts w:hint="eastAsia"/>
                <w:sz w:val="24"/>
                <w:szCs w:val="24"/>
              </w:rPr>
              <w:t>0</w:t>
            </w:r>
            <w:r>
              <w:rPr>
                <w:sz w:val="24"/>
                <w:szCs w:val="24"/>
              </w:rPr>
              <w:t>.45</w:t>
            </w:r>
          </w:p>
        </w:tc>
        <w:tc>
          <w:tcPr>
            <w:tcW w:w="688" w:type="dxa"/>
          </w:tcPr>
          <w:p>
            <w:pPr>
              <w:jc w:val="center"/>
              <w:rPr>
                <w:rFonts w:hint="eastAsia"/>
                <w:sz w:val="24"/>
                <w:szCs w:val="24"/>
              </w:rPr>
            </w:pPr>
            <w:r>
              <w:rPr>
                <w:rFonts w:hint="eastAsia"/>
                <w:sz w:val="24"/>
                <w:szCs w:val="24"/>
              </w:rPr>
              <w:t>0</w:t>
            </w:r>
            <w:r>
              <w:rPr>
                <w:sz w:val="24"/>
                <w:szCs w:val="24"/>
              </w:rPr>
              <w:t>.83</w:t>
            </w:r>
          </w:p>
        </w:tc>
        <w:tc>
          <w:tcPr>
            <w:tcW w:w="688" w:type="dxa"/>
          </w:tcPr>
          <w:p>
            <w:pPr>
              <w:jc w:val="center"/>
              <w:rPr>
                <w:rFonts w:hint="eastAsia"/>
                <w:sz w:val="24"/>
                <w:szCs w:val="24"/>
              </w:rPr>
            </w:pPr>
            <w:r>
              <w:rPr>
                <w:rFonts w:hint="eastAsia"/>
                <w:sz w:val="24"/>
                <w:szCs w:val="24"/>
              </w:rPr>
              <w:t>0</w:t>
            </w:r>
            <w:r>
              <w:rPr>
                <w:sz w:val="24"/>
                <w:szCs w:val="24"/>
              </w:rPr>
              <w:t>.00</w:t>
            </w:r>
          </w:p>
        </w:tc>
        <w:tc>
          <w:tcPr>
            <w:tcW w:w="688" w:type="dxa"/>
          </w:tcPr>
          <w:p>
            <w:pPr>
              <w:jc w:val="center"/>
              <w:rPr>
                <w:rFonts w:hint="eastAsia"/>
                <w:sz w:val="24"/>
                <w:szCs w:val="24"/>
              </w:rPr>
            </w:pPr>
            <w:r>
              <w:rPr>
                <w:rFonts w:hint="eastAsia"/>
                <w:sz w:val="24"/>
                <w:szCs w:val="24"/>
              </w:rPr>
              <w:t>1</w:t>
            </w:r>
            <w:r>
              <w:rPr>
                <w:sz w:val="24"/>
                <w:szCs w:val="24"/>
              </w:rPr>
              <w:t>.25</w:t>
            </w:r>
          </w:p>
        </w:tc>
        <w:tc>
          <w:tcPr>
            <w:tcW w:w="688" w:type="dxa"/>
          </w:tcPr>
          <w:p>
            <w:pPr>
              <w:jc w:val="center"/>
              <w:rPr>
                <w:rFonts w:hint="eastAsia"/>
                <w:sz w:val="24"/>
                <w:szCs w:val="24"/>
              </w:rPr>
            </w:pPr>
            <w:r>
              <w:rPr>
                <w:rFonts w:hint="eastAsia"/>
                <w:sz w:val="24"/>
                <w:szCs w:val="24"/>
              </w:rPr>
              <w:t>2</w:t>
            </w:r>
            <w:r>
              <w:rPr>
                <w:sz w:val="24"/>
                <w:szCs w:val="24"/>
              </w:rPr>
              <w:t>.33</w:t>
            </w:r>
          </w:p>
        </w:tc>
        <w:tc>
          <w:tcPr>
            <w:tcW w:w="658" w:type="dxa"/>
          </w:tcPr>
          <w:p>
            <w:pPr>
              <w:jc w:val="center"/>
              <w:rPr>
                <w:rFonts w:hint="eastAsia"/>
                <w:sz w:val="24"/>
                <w:szCs w:val="24"/>
              </w:rPr>
            </w:pPr>
            <w:r>
              <w:rPr>
                <w:rFonts w:hint="eastAsia"/>
                <w:sz w:val="24"/>
                <w:szCs w:val="24"/>
              </w:rPr>
              <w:t>0</w:t>
            </w:r>
            <w:r>
              <w:rPr>
                <w:sz w:val="24"/>
                <w:szCs w:val="24"/>
              </w:rPr>
              <w:t>.00</w:t>
            </w:r>
          </w:p>
        </w:tc>
      </w:tr>
    </w:tbl>
    <w:p>
      <w:pPr>
        <w:jc w:val="left"/>
        <w:rPr>
          <w:rFonts w:hint="eastAsia" w:ascii="宋体" w:hAnsi="宋体" w:eastAsia="宋体" w:cs="宋体"/>
          <w:sz w:val="24"/>
          <w:szCs w:val="24"/>
        </w:rPr>
      </w:pPr>
    </w:p>
    <w:p>
      <w:pPr>
        <w:jc w:val="left"/>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sz w:val="24"/>
          <w:szCs w:val="24"/>
        </w:rPr>
        <w:t>进而，带入SPSS中进行回归分析，得到如下多条曲线</w:t>
      </w:r>
    </w:p>
    <w:p>
      <w:pPr>
        <w:jc w:val="left"/>
        <w:rPr>
          <w:rFonts w:hint="eastAsia" w:ascii="宋体" w:hAnsi="宋体" w:eastAsia="宋体" w:cs="宋体"/>
          <w:sz w:val="24"/>
          <w:szCs w:val="24"/>
        </w:rPr>
      </w:pPr>
    </w:p>
    <w:p>
      <w:pPr>
        <w:jc w:val="center"/>
      </w:pPr>
      <w:r>
        <w:rPr>
          <w:rFonts w:ascii="Times New Roman" w:hAnsi="Times New Roman" w:cs="Times New Roman"/>
          <w:kern w:val="0"/>
          <w:sz w:val="24"/>
          <w:szCs w:val="24"/>
        </w:rPr>
        <w:drawing>
          <wp:inline distT="0" distB="0" distL="0" distR="0">
            <wp:extent cx="5274310" cy="310515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105150"/>
                    </a:xfrm>
                    <a:prstGeom prst="rect">
                      <a:avLst/>
                    </a:prstGeom>
                    <a:noFill/>
                    <a:ln>
                      <a:noFill/>
                    </a:ln>
                  </pic:spPr>
                </pic:pic>
              </a:graphicData>
            </a:graphic>
          </wp:inline>
        </w:drawing>
      </w:r>
    </w:p>
    <w:p>
      <w:pPr>
        <w:autoSpaceDE w:val="0"/>
        <w:autoSpaceDN w:val="0"/>
        <w:adjustRightInd w:val="0"/>
        <w:jc w:val="left"/>
        <w:rPr>
          <w:rFonts w:ascii="Times New Roman" w:hAnsi="Times New Roman" w:cs="Times New Roman"/>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kern w:val="0"/>
          <w:sz w:val="24"/>
          <w:szCs w:val="24"/>
        </w:rPr>
        <w:t>从中可以看出三次回归最为符合，所以进行单独分析，得到：</w:t>
      </w:r>
    </w:p>
    <w:p>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kern w:val="0"/>
          <w:sz w:val="24"/>
          <w:szCs w:val="24"/>
        </w:rPr>
        <w:drawing>
          <wp:inline distT="0" distB="0" distL="0" distR="0">
            <wp:extent cx="5274310" cy="310515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105150"/>
                    </a:xfrm>
                    <a:prstGeom prst="rect">
                      <a:avLst/>
                    </a:prstGeom>
                    <a:noFill/>
                    <a:ln>
                      <a:noFill/>
                    </a:ln>
                  </pic:spPr>
                </pic:pic>
              </a:graphicData>
            </a:graphic>
          </wp:inline>
        </w:drawing>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因此</w:t>
      </w:r>
      <w:r>
        <w:rPr>
          <w:rFonts w:hint="eastAsia" w:ascii="宋体" w:hAnsi="宋体" w:eastAsia="宋体" w:cs="宋体"/>
          <w:kern w:val="0"/>
          <w:sz w:val="24"/>
          <w:szCs w:val="24"/>
        </w:rPr>
        <w:t>，放疗野的淋巴结数量会影响术后淋巴结转移量，即放疗野的淋巴结数量是淋巴结消退分级的影响因素。</w:t>
      </w:r>
    </w:p>
    <w:p>
      <w:pPr>
        <w:autoSpaceDE w:val="0"/>
        <w:autoSpaceDN w:val="0"/>
        <w:adjustRightInd w:val="0"/>
        <w:jc w:val="left"/>
        <w:rPr>
          <w:rFonts w:hint="eastAsia" w:ascii="宋体" w:hAnsi="宋体" w:eastAsia="宋体" w:cs="宋体"/>
          <w:kern w:val="0"/>
          <w:sz w:val="24"/>
          <w:szCs w:val="24"/>
        </w:rPr>
      </w:pPr>
    </w:p>
    <w:p>
      <w:pPr>
        <w:pStyle w:val="6"/>
        <w:bidi w:val="0"/>
        <w:rPr>
          <w:rFonts w:hint="eastAsia"/>
        </w:rPr>
      </w:pPr>
      <w:r>
        <w:rPr>
          <w:rFonts w:hint="eastAsia"/>
          <w:lang w:val="en-US" w:eastAsia="zh-CN"/>
        </w:rPr>
        <w:t xml:space="preserve">5.1.2.2 </w:t>
      </w:r>
      <w:r>
        <w:rPr>
          <w:rFonts w:hint="eastAsia"/>
        </w:rPr>
        <w:t>放射野淋巴结的</w:t>
      </w:r>
      <w:r>
        <w:rPr>
          <w:rFonts w:hint="eastAsia"/>
          <w:lang w:val="en-US" w:eastAsia="zh-CN"/>
        </w:rPr>
        <w:t>位置</w:t>
      </w:r>
      <w:r>
        <w:rPr>
          <w:rFonts w:hint="eastAsia"/>
        </w:rPr>
        <w:t>对淋巴结对治疗反映的影响</w:t>
      </w:r>
    </w:p>
    <w:p>
      <w:pPr>
        <w:autoSpaceDE w:val="0"/>
        <w:autoSpaceDN w:val="0"/>
        <w:adjustRightInd w:val="0"/>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用同样的方法，我们研究了放射野淋巴结的分散程度，对术后淋巴结转移情况的影响。通过对放射野存在位置的数量和其对应的术后淋巴结转移平均值进行回归分析，得到如下图形：</w:t>
      </w:r>
    </w:p>
    <w:p>
      <w:pPr>
        <w:autoSpaceDE w:val="0"/>
        <w:autoSpaceDN w:val="0"/>
        <w:adjustRightInd w:val="0"/>
        <w:jc w:val="center"/>
        <w:rPr>
          <w:rFonts w:hint="eastAsia" w:ascii="宋体" w:hAnsi="宋体" w:eastAsia="宋体" w:cs="宋体"/>
          <w:kern w:val="0"/>
          <w:sz w:val="24"/>
          <w:szCs w:val="24"/>
        </w:rPr>
      </w:pPr>
      <w:r>
        <w:rPr>
          <w:rFonts w:hint="eastAsia" w:ascii="宋体" w:hAnsi="宋体" w:eastAsia="宋体" w:cs="宋体"/>
          <w:kern w:val="0"/>
          <w:sz w:val="24"/>
          <w:szCs w:val="24"/>
        </w:rPr>
        <w:drawing>
          <wp:inline distT="0" distB="0" distL="0" distR="0">
            <wp:extent cx="5274310" cy="310515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105150"/>
                    </a:xfrm>
                    <a:prstGeom prst="rect">
                      <a:avLst/>
                    </a:prstGeom>
                    <a:noFill/>
                    <a:ln>
                      <a:noFill/>
                    </a:ln>
                  </pic:spPr>
                </pic:pic>
              </a:graphicData>
            </a:graphic>
          </wp:inline>
        </w:drawing>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spacing w:line="400" w:lineRule="atLeast"/>
        <w:jc w:val="left"/>
        <w:rPr>
          <w:rFonts w:ascii="Times New Roman" w:hAnsi="Times New Roman" w:cs="Times New Roman"/>
          <w:kern w:val="0"/>
          <w:sz w:val="24"/>
          <w:szCs w:val="24"/>
        </w:rPr>
      </w:pPr>
      <w:r>
        <w:rPr>
          <w:rFonts w:hint="eastAsia" w:ascii="宋体" w:hAnsi="宋体" w:eastAsia="宋体" w:cs="宋体"/>
          <w:kern w:val="0"/>
          <w:sz w:val="24"/>
          <w:szCs w:val="24"/>
        </w:rPr>
        <w:t>可以看到，分散情况与术后淋巴结转移数的平均值近似成三次函数的关系，所以我们认为放疗野的淋巴结分散情况也是影响淋巴结消退情况的因素之一。</w:t>
      </w:r>
    </w:p>
    <w:p>
      <w:pPr>
        <w:autoSpaceDE w:val="0"/>
        <w:autoSpaceDN w:val="0"/>
        <w:adjustRightInd w:val="0"/>
        <w:jc w:val="left"/>
        <w:rPr>
          <w:rFonts w:hint="default" w:ascii="黑体" w:hAnsi="黑体" w:eastAsia="黑体" w:cs="黑体"/>
          <w:b/>
          <w:bCs/>
          <w:sz w:val="30"/>
          <w:szCs w:val="30"/>
          <w:lang w:val="en-US"/>
        </w:rPr>
      </w:pP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kern w:val="0"/>
          <w:sz w:val="24"/>
          <w:szCs w:val="24"/>
          <w:lang w:val="en-US" w:eastAsia="zh-CN"/>
        </w:rPr>
        <w:t>综上所述，</w:t>
      </w:r>
      <w:r>
        <w:rPr>
          <w:rFonts w:hint="eastAsia" w:ascii="宋体" w:hAnsi="宋体" w:eastAsia="宋体" w:cs="宋体"/>
          <w:b/>
          <w:bCs/>
          <w:color w:val="000000"/>
          <w:kern w:val="0"/>
          <w:sz w:val="24"/>
          <w:szCs w:val="24"/>
          <w:lang w:val="en-US" w:eastAsia="zh-CN" w:bidi="ar"/>
        </w:rPr>
        <w:t>诊断结果、放化疗方案、放疗野淋巴结的位置、放疗野淋巴结的数量为影响淋巴结消退分级的关键影响因素。</w:t>
      </w:r>
    </w:p>
    <w:p>
      <w:pPr>
        <w:autoSpaceDE w:val="0"/>
        <w:autoSpaceDN w:val="0"/>
        <w:adjustRightInd w:val="0"/>
        <w:jc w:val="left"/>
        <w:rPr>
          <w:rFonts w:hint="eastAsia" w:ascii="宋体" w:hAnsi="宋体" w:eastAsia="宋体" w:cs="宋体"/>
          <w:b/>
          <w:bCs/>
          <w:color w:val="000000"/>
          <w:kern w:val="0"/>
          <w:sz w:val="24"/>
          <w:szCs w:val="24"/>
          <w:lang w:val="en-US" w:eastAsia="zh-CN" w:bidi="ar"/>
        </w:rPr>
      </w:pPr>
    </w:p>
    <w:p>
      <w:pPr>
        <w:pStyle w:val="4"/>
        <w:bidi w:val="0"/>
        <w:outlineLvl w:val="1"/>
        <w:rPr>
          <w:rFonts w:hint="eastAsia"/>
          <w:lang w:val="en-US" w:eastAsia="zh-CN"/>
        </w:rPr>
      </w:pPr>
      <w:bookmarkStart w:id="76" w:name="_Toc2240"/>
      <w:bookmarkStart w:id="77" w:name="_Toc3441"/>
      <w:r>
        <w:rPr>
          <w:rFonts w:hint="eastAsia"/>
          <w:lang w:val="en-US" w:eastAsia="zh-CN"/>
        </w:rPr>
        <w:t>5.2 问题二的模型建立与求解</w:t>
      </w:r>
      <w:bookmarkEnd w:id="76"/>
      <w:bookmarkEnd w:id="77"/>
    </w:p>
    <w:p>
      <w:pPr>
        <w:autoSpaceDE w:val="0"/>
        <w:autoSpaceDN w:val="0"/>
        <w:adjustRightInd w:val="0"/>
        <w:spacing w:before="156" w:beforeLines="50" w:line="360" w:lineRule="atLeast"/>
        <w:ind w:firstLine="480" w:firstLineChars="200"/>
        <w:jc w:val="left"/>
        <w:rPr>
          <w:rFonts w:hint="eastAsia" w:ascii="宋体" w:hAnsi="宋体" w:eastAsia="宋体" w:cs="宋体"/>
          <w:sz w:val="24"/>
          <w:szCs w:val="24"/>
          <w:lang w:eastAsia="zh-CN"/>
        </w:rPr>
      </w:pPr>
      <w:r>
        <w:rPr>
          <w:rFonts w:hint="eastAsia" w:ascii="宋体" w:hAnsi="宋体" w:eastAsia="宋体" w:cs="宋体"/>
          <w:b w:val="0"/>
          <w:bCs w:val="0"/>
          <w:color w:val="000000"/>
          <w:kern w:val="0"/>
          <w:sz w:val="24"/>
          <w:szCs w:val="24"/>
          <w:lang w:val="en-US" w:eastAsia="zh-CN" w:bidi="ar"/>
        </w:rPr>
        <w:t>在问题一中，确定了影响LRG的四个关键因素：</w:t>
      </w:r>
      <w:r>
        <w:rPr>
          <w:rFonts w:hint="eastAsia" w:ascii="宋体" w:hAnsi="宋体" w:eastAsia="宋体" w:cs="宋体"/>
          <w:sz w:val="24"/>
          <w:szCs w:val="24"/>
        </w:rPr>
        <w:t>化疗方案、诊断结果、</w:t>
      </w:r>
      <w:r>
        <w:rPr>
          <w:rFonts w:hint="eastAsia" w:ascii="宋体" w:hAnsi="宋体" w:eastAsia="宋体" w:cs="宋体"/>
          <w:sz w:val="24"/>
          <w:szCs w:val="24"/>
          <w:lang w:eastAsia="zh-CN"/>
        </w:rPr>
        <w:t>放疗野</w:t>
      </w:r>
      <w:r>
        <w:rPr>
          <w:rFonts w:hint="eastAsia" w:ascii="宋体" w:hAnsi="宋体" w:eastAsia="宋体" w:cs="宋体"/>
          <w:sz w:val="24"/>
          <w:szCs w:val="24"/>
        </w:rPr>
        <w:t>的淋巴结位置、</w:t>
      </w:r>
      <w:r>
        <w:rPr>
          <w:rFonts w:hint="eastAsia" w:ascii="宋体" w:hAnsi="宋体" w:eastAsia="宋体" w:cs="宋体"/>
          <w:sz w:val="24"/>
          <w:szCs w:val="24"/>
          <w:lang w:eastAsia="zh-CN"/>
        </w:rPr>
        <w:t>放疗野</w:t>
      </w:r>
      <w:r>
        <w:rPr>
          <w:rFonts w:hint="eastAsia" w:ascii="宋体" w:hAnsi="宋体" w:eastAsia="宋体" w:cs="宋体"/>
          <w:sz w:val="24"/>
          <w:szCs w:val="24"/>
        </w:rPr>
        <w:t>的淋巴结数目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为确定LRG的分级标准，</w:t>
      </w:r>
      <w:r>
        <w:rPr>
          <w:rFonts w:hint="eastAsia" w:ascii="宋体" w:hAnsi="宋体" w:eastAsia="宋体" w:cs="宋体"/>
          <w:sz w:val="24"/>
          <w:szCs w:val="24"/>
        </w:rPr>
        <w:t>我们采用熵权法对</w:t>
      </w:r>
      <w:r>
        <w:rPr>
          <w:rFonts w:hint="eastAsia" w:ascii="宋体" w:hAnsi="宋体" w:eastAsia="宋体" w:cs="宋体"/>
          <w:sz w:val="24"/>
          <w:szCs w:val="24"/>
          <w:lang w:val="en-US" w:eastAsia="zh-CN"/>
        </w:rPr>
        <w:t>四个因素的</w:t>
      </w:r>
      <w:r>
        <w:rPr>
          <w:rFonts w:hint="eastAsia" w:ascii="宋体" w:hAnsi="宋体" w:eastAsia="宋体" w:cs="宋体"/>
          <w:sz w:val="24"/>
          <w:szCs w:val="24"/>
        </w:rPr>
        <w:t>权重</w:t>
      </w:r>
      <w:r>
        <w:rPr>
          <w:rFonts w:hint="eastAsia" w:ascii="宋体" w:hAnsi="宋体" w:eastAsia="宋体" w:cs="宋体"/>
          <w:sz w:val="24"/>
          <w:szCs w:val="24"/>
          <w:lang w:val="en-US" w:eastAsia="zh-CN"/>
        </w:rPr>
        <w:t>分别</w:t>
      </w:r>
      <w:r>
        <w:rPr>
          <w:rFonts w:hint="eastAsia" w:ascii="宋体" w:hAnsi="宋体" w:eastAsia="宋体" w:cs="宋体"/>
          <w:sz w:val="24"/>
          <w:szCs w:val="24"/>
        </w:rPr>
        <w:t>进行分析和解释</w:t>
      </w:r>
      <w:r>
        <w:rPr>
          <w:rFonts w:hint="eastAsia" w:ascii="宋体" w:hAnsi="宋体" w:eastAsia="宋体" w:cs="宋体"/>
          <w:sz w:val="24"/>
          <w:szCs w:val="24"/>
          <w:lang w:eastAsia="zh-CN"/>
        </w:rPr>
        <w:t>。</w:t>
      </w:r>
    </w:p>
    <w:p>
      <w:pPr>
        <w:autoSpaceDE w:val="0"/>
        <w:autoSpaceDN w:val="0"/>
        <w:adjustRightInd w:val="0"/>
        <w:spacing w:before="156" w:beforeLines="50" w:line="360" w:lineRule="atLeast"/>
        <w:jc w:val="left"/>
        <w:rPr>
          <w:rFonts w:hint="eastAsia" w:ascii="宋体" w:hAnsi="宋体" w:eastAsia="宋体" w:cs="宋体"/>
          <w:sz w:val="24"/>
          <w:szCs w:val="24"/>
          <w:lang w:eastAsia="zh-CN"/>
        </w:rPr>
      </w:pPr>
    </w:p>
    <w:p>
      <w:pPr>
        <w:pStyle w:val="5"/>
        <w:bidi w:val="0"/>
        <w:rPr>
          <w:rFonts w:hint="eastAsia"/>
          <w:lang w:val="en-US" w:eastAsia="zh-CN"/>
        </w:rPr>
      </w:pPr>
      <w:r>
        <w:rPr>
          <w:rFonts w:hint="eastAsia"/>
          <w:lang w:val="en-US" w:eastAsia="zh-CN"/>
        </w:rPr>
        <w:t>5.2.1  熵权法——确定四个因素的权重制定LRG的分级标准</w:t>
      </w:r>
    </w:p>
    <w:p>
      <w:pPr>
        <w:pStyle w:val="6"/>
        <w:bidi w:val="0"/>
        <w:rPr>
          <w:rFonts w:hint="eastAsia"/>
          <w:lang w:val="en-US" w:eastAsia="zh-CN"/>
        </w:rPr>
      </w:pPr>
      <w:r>
        <w:rPr>
          <w:rFonts w:hint="eastAsia"/>
          <w:lang w:val="en-US" w:eastAsia="zh-CN"/>
        </w:rPr>
        <w:t>5.2.1.1 模型介绍</w:t>
      </w:r>
    </w:p>
    <w:p>
      <w:pPr>
        <w:pStyle w:val="24"/>
        <w:rPr>
          <w:rFonts w:hint="eastAsia" w:ascii="宋体" w:hAnsi="宋体" w:eastAsia="宋体" w:cs="宋体"/>
          <w:sz w:val="24"/>
          <w:szCs w:val="24"/>
        </w:rPr>
      </w:pPr>
      <w:r>
        <w:rPr>
          <w:rFonts w:hint="eastAsia" w:ascii="宋体" w:hAnsi="宋体" w:eastAsia="宋体" w:cs="宋体"/>
          <w:sz w:val="24"/>
          <w:szCs w:val="24"/>
        </w:rPr>
        <w:t>熵值法是一种客观赋权法其根据各项指标观测值所提供的信息的大小来确定指标权重。设有m个待评方案，n项评价指标，形成原始指标数据矩阵X=（x</w:t>
      </w:r>
      <w:r>
        <w:rPr>
          <w:rFonts w:hint="eastAsia" w:ascii="宋体" w:hAnsi="宋体" w:eastAsia="宋体" w:cs="宋体"/>
          <w:sz w:val="24"/>
          <w:szCs w:val="24"/>
          <w:vertAlign w:val="subscript"/>
        </w:rPr>
        <w:t>ij</w:t>
      </w:r>
      <w:r>
        <w:rPr>
          <w:rFonts w:hint="eastAsia" w:ascii="宋体" w:hAnsi="宋体" w:eastAsia="宋体" w:cs="宋体"/>
          <w:sz w:val="24"/>
          <w:szCs w:val="24"/>
        </w:rPr>
        <w:t>）</w:t>
      </w:r>
      <w:r>
        <w:rPr>
          <w:rFonts w:hint="eastAsia" w:ascii="宋体" w:hAnsi="宋体" w:eastAsia="宋体" w:cs="宋体"/>
          <w:sz w:val="24"/>
          <w:szCs w:val="24"/>
          <w:vertAlign w:val="subscript"/>
        </w:rPr>
        <w:t>m</w:t>
      </w:r>
      <m:oMath>
        <m:r>
          <m:rPr/>
          <w:rPr>
            <w:rFonts w:hint="eastAsia" w:ascii="Cambria Math" w:hAnsi="Cambria Math" w:eastAsia="宋体" w:cs="宋体"/>
            <w:sz w:val="24"/>
            <w:szCs w:val="24"/>
            <w:vertAlign w:val="subscript"/>
          </w:rPr>
          <m:t>×</m:t>
        </m:r>
      </m:oMath>
      <w:r>
        <w:rPr>
          <w:rFonts w:hint="eastAsia" w:ascii="宋体" w:hAnsi="宋体" w:eastAsia="宋体" w:cs="宋体"/>
          <w:sz w:val="24"/>
          <w:szCs w:val="24"/>
          <w:vertAlign w:val="subscript"/>
        </w:rPr>
        <w:t xml:space="preserve">n </w:t>
      </w:r>
      <w:r>
        <w:rPr>
          <w:rFonts w:hint="eastAsia" w:ascii="宋体" w:hAnsi="宋体" w:eastAsia="宋体" w:cs="宋体"/>
          <w:sz w:val="24"/>
          <w:szCs w:val="24"/>
        </w:rPr>
        <w:t xml:space="preserve"> 。对于某项指标，指标值X的差距越大，则该指标在综合评价中所起的作用越大;如果某项指标的指标值全部相等，则该指标在综合评价中不起作用。在信息论中，熵是对不确定性的一种度量。信息量越大，不确定性就越小，熵也就越小;信息量越小，不确定性就越大，熵也越大。根据熵的特性，我们可以通过计算熵值来判断一个方案的随机性及无序程度，也可以用熵值来判断某个指标的离散程度，指标的离散程度越大，该指标对综合评价的影响越大。因此，可根据各项指标的变异程度，利用信息熵这个工具，计算出各个指标的权重，为多指标综合评价提供依据。</w:t>
      </w:r>
    </w:p>
    <w:p>
      <w:pPr>
        <w:pStyle w:val="24"/>
        <w:rPr>
          <w:rFonts w:hint="eastAsia" w:ascii="宋体" w:hAnsi="宋体" w:eastAsia="宋体" w:cs="宋体"/>
          <w:sz w:val="24"/>
          <w:szCs w:val="24"/>
        </w:rPr>
      </w:pPr>
    </w:p>
    <w:p>
      <w:pPr>
        <w:pStyle w:val="6"/>
        <w:bidi w:val="0"/>
        <w:rPr>
          <w:rFonts w:hint="eastAsia"/>
          <w:lang w:val="en-US" w:eastAsia="zh-CN"/>
        </w:rPr>
      </w:pPr>
      <w:r>
        <w:rPr>
          <w:rFonts w:hint="eastAsia"/>
          <w:lang w:val="en-US" w:eastAsia="zh-CN"/>
        </w:rPr>
        <w:t>5.2.1.2 参数引入</w:t>
      </w:r>
    </w:p>
    <w:p>
      <w:pPr>
        <w:rPr>
          <w:rFonts w:hint="eastAsia" w:ascii="宋体" w:hAnsi="宋体" w:eastAsia="宋体" w:cs="宋体"/>
          <w:sz w:val="24"/>
          <w:szCs w:val="24"/>
        </w:rPr>
      </w:pPr>
      <w:r>
        <w:rPr>
          <w:rFonts w:hint="eastAsia" w:ascii="宋体" w:hAnsi="宋体" w:eastAsia="宋体" w:cs="宋体"/>
          <w:sz w:val="24"/>
          <w:szCs w:val="24"/>
        </w:rPr>
        <w:t>化疗方案------------------------------指标A</w:t>
      </w:r>
    </w:p>
    <w:p>
      <w:pPr>
        <w:rPr>
          <w:rFonts w:hint="eastAsia" w:ascii="宋体" w:hAnsi="宋体" w:eastAsia="宋体" w:cs="宋体"/>
          <w:sz w:val="24"/>
          <w:szCs w:val="24"/>
        </w:rPr>
      </w:pPr>
      <w:r>
        <w:rPr>
          <w:rFonts w:hint="eastAsia" w:ascii="宋体" w:hAnsi="宋体" w:eastAsia="宋体" w:cs="宋体"/>
          <w:sz w:val="24"/>
          <w:szCs w:val="24"/>
        </w:rPr>
        <w:t>诊断结果------------------------------指标B</w:t>
      </w:r>
    </w:p>
    <w:p>
      <w:pPr>
        <w:rPr>
          <w:rFonts w:hint="eastAsia" w:ascii="宋体" w:hAnsi="宋体" w:eastAsia="宋体" w:cs="宋体"/>
          <w:sz w:val="24"/>
          <w:szCs w:val="24"/>
        </w:rPr>
      </w:pPr>
      <w:r>
        <w:rPr>
          <w:rFonts w:hint="eastAsia" w:ascii="宋体" w:hAnsi="宋体" w:eastAsia="宋体" w:cs="宋体"/>
          <w:sz w:val="24"/>
          <w:szCs w:val="24"/>
        </w:rPr>
        <w:t>放疗时淋巴结位置数目------------------指标C</w:t>
      </w:r>
    </w:p>
    <w:p>
      <w:pPr>
        <w:rPr>
          <w:rFonts w:hint="eastAsia" w:ascii="宋体" w:hAnsi="宋体" w:eastAsia="宋体" w:cs="宋体"/>
          <w:sz w:val="24"/>
          <w:szCs w:val="24"/>
        </w:rPr>
      </w:pPr>
      <w:r>
        <w:rPr>
          <w:rFonts w:hint="eastAsia" w:ascii="宋体" w:hAnsi="宋体" w:eastAsia="宋体" w:cs="宋体"/>
          <w:sz w:val="24"/>
          <w:szCs w:val="24"/>
        </w:rPr>
        <w:t>放疗时淋巴结数量----------------------指标D</w:t>
      </w:r>
    </w:p>
    <w:p>
      <w:pPr>
        <w:rPr>
          <w:sz w:val="24"/>
          <w:szCs w:val="24"/>
        </w:rPr>
      </w:pPr>
      <w:r>
        <w:rPr>
          <w:rFonts w:hint="eastAsia" w:ascii="宋体" w:hAnsi="宋体" w:eastAsia="宋体" w:cs="宋体"/>
          <w:sz w:val="24"/>
          <w:szCs w:val="24"/>
        </w:rPr>
        <w:t>病人i（i=1,2,3,4,5）--------------------样本编号i（i=1,2,3,4,5）</w:t>
      </w:r>
    </w:p>
    <w:p>
      <w:pPr>
        <w:pStyle w:val="24"/>
        <w:rPr>
          <w:rFonts w:hint="eastAsia" w:ascii="宋体" w:hAnsi="宋体" w:eastAsia="宋体" w:cs="宋体"/>
          <w:sz w:val="24"/>
          <w:szCs w:val="24"/>
        </w:rPr>
      </w:pPr>
    </w:p>
    <w:p>
      <w:pPr>
        <w:pStyle w:val="24"/>
        <w:rPr>
          <w:rFonts w:hint="eastAsia" w:ascii="宋体" w:hAnsi="宋体" w:eastAsia="宋体" w:cs="宋体"/>
          <w:sz w:val="24"/>
          <w:szCs w:val="24"/>
        </w:rPr>
      </w:pPr>
    </w:p>
    <w:p>
      <w:pPr>
        <w:pStyle w:val="6"/>
        <w:bidi w:val="0"/>
        <w:rPr>
          <w:rFonts w:hint="eastAsia"/>
          <w:lang w:val="en-US" w:eastAsia="zh-CN"/>
        </w:rPr>
      </w:pPr>
      <w:r>
        <w:rPr>
          <w:rFonts w:hint="eastAsia"/>
          <w:lang w:val="en-US" w:eastAsia="zh-CN"/>
        </w:rPr>
        <w:t>5.2.1.3 模型建立与求解</w:t>
      </w: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1、将原始矩阵正向化</w:t>
      </w: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 xml:space="preserve">      将矩阵正向化就是将所有的指标都转化成极大型指标。</w:t>
      </w:r>
    </w:p>
    <w:p>
      <w:pPr>
        <w:ind w:left="870" w:leftChars="300" w:hanging="240" w:hangingChars="100"/>
        <w:jc w:val="center"/>
        <w:rPr>
          <w:rFonts w:hint="eastAsia" w:ascii="宋体" w:hAnsi="宋体" w:eastAsia="宋体" w:cs="宋体"/>
          <w:sz w:val="24"/>
          <w:szCs w:val="24"/>
        </w:rPr>
      </w:pPr>
      <w:r>
        <w:rPr>
          <w:rFonts w:hint="eastAsia" w:ascii="宋体" w:hAnsi="宋体" w:eastAsia="宋体" w:cs="宋体"/>
          <w:sz w:val="24"/>
          <w:szCs w:val="24"/>
        </w:rPr>
        <w:t>此问题中的四种指标：</w:t>
      </w:r>
    </w:p>
    <w:tbl>
      <w:tblPr>
        <w:tblStyle w:val="11"/>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1"/>
        <w:gridCol w:w="2515"/>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1" w:type="dxa"/>
          </w:tcPr>
          <w:p>
            <w:pPr>
              <w:jc w:val="center"/>
              <w:rPr>
                <w:rFonts w:hint="eastAsia" w:ascii="宋体" w:hAnsi="宋体" w:eastAsia="宋体" w:cs="宋体"/>
                <w:sz w:val="24"/>
                <w:szCs w:val="24"/>
              </w:rPr>
            </w:pPr>
            <w:r>
              <w:rPr>
                <w:rFonts w:hint="eastAsia" w:ascii="宋体" w:hAnsi="宋体" w:eastAsia="宋体" w:cs="宋体"/>
                <w:sz w:val="24"/>
                <w:szCs w:val="24"/>
              </w:rPr>
              <w:t>指标名称</w:t>
            </w:r>
          </w:p>
        </w:tc>
        <w:tc>
          <w:tcPr>
            <w:tcW w:w="2515" w:type="dxa"/>
          </w:tcPr>
          <w:p>
            <w:pPr>
              <w:jc w:val="center"/>
              <w:rPr>
                <w:rFonts w:hint="eastAsia" w:ascii="宋体" w:hAnsi="宋体" w:eastAsia="宋体" w:cs="宋体"/>
                <w:sz w:val="24"/>
                <w:szCs w:val="24"/>
              </w:rPr>
            </w:pPr>
            <w:r>
              <w:rPr>
                <w:rFonts w:hint="eastAsia" w:ascii="宋体" w:hAnsi="宋体" w:eastAsia="宋体" w:cs="宋体"/>
                <w:sz w:val="24"/>
                <w:szCs w:val="24"/>
              </w:rPr>
              <w:t>指标特点</w:t>
            </w:r>
          </w:p>
        </w:tc>
        <w:tc>
          <w:tcPr>
            <w:tcW w:w="2480" w:type="dxa"/>
          </w:tcPr>
          <w:p>
            <w:pPr>
              <w:jc w:val="center"/>
              <w:rPr>
                <w:rFonts w:hint="eastAsia" w:ascii="宋体" w:hAnsi="宋体" w:eastAsia="宋体" w:cs="宋体"/>
                <w:sz w:val="24"/>
                <w:szCs w:val="24"/>
              </w:rPr>
            </w:pPr>
            <w:r>
              <w:rPr>
                <w:rFonts w:hint="eastAsia" w:ascii="宋体" w:hAnsi="宋体" w:eastAsia="宋体" w:cs="宋体"/>
                <w:sz w:val="24"/>
                <w:szCs w:val="24"/>
              </w:rPr>
              <w:t>指标代号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rFonts w:hint="eastAsia" w:ascii="宋体" w:hAnsi="宋体" w:eastAsia="宋体" w:cs="宋体"/>
                <w:sz w:val="24"/>
                <w:szCs w:val="24"/>
              </w:rPr>
            </w:pPr>
            <w:r>
              <w:rPr>
                <w:rFonts w:hint="eastAsia" w:ascii="宋体" w:hAnsi="宋体" w:eastAsia="宋体" w:cs="宋体"/>
                <w:sz w:val="24"/>
                <w:szCs w:val="24"/>
              </w:rPr>
              <w:t>极小型指标</w:t>
            </w:r>
          </w:p>
        </w:tc>
        <w:tc>
          <w:tcPr>
            <w:tcW w:w="2515" w:type="dxa"/>
          </w:tcPr>
          <w:p>
            <w:pPr>
              <w:jc w:val="center"/>
              <w:rPr>
                <w:rFonts w:hint="eastAsia" w:ascii="宋体" w:hAnsi="宋体" w:eastAsia="宋体" w:cs="宋体"/>
                <w:sz w:val="24"/>
                <w:szCs w:val="24"/>
              </w:rPr>
            </w:pPr>
            <w:r>
              <w:rPr>
                <w:rFonts w:hint="eastAsia" w:ascii="宋体" w:hAnsi="宋体" w:eastAsia="宋体" w:cs="宋体"/>
                <w:sz w:val="24"/>
                <w:szCs w:val="24"/>
              </w:rPr>
              <w:t>越小（少）越好</w:t>
            </w:r>
          </w:p>
        </w:tc>
        <w:tc>
          <w:tcPr>
            <w:tcW w:w="2480" w:type="dxa"/>
          </w:tcPr>
          <w:p>
            <w:pPr>
              <w:jc w:val="center"/>
              <w:rPr>
                <w:rFonts w:hint="eastAsia" w:ascii="宋体" w:hAnsi="宋体" w:eastAsia="宋体" w:cs="宋体"/>
                <w:sz w:val="24"/>
                <w:szCs w:val="24"/>
              </w:rPr>
            </w:pPr>
            <w:r>
              <w:rPr>
                <w:rFonts w:hint="eastAsia" w:ascii="宋体" w:hAnsi="宋体" w:eastAsia="宋体" w:cs="宋体"/>
                <w:sz w:val="24"/>
                <w:szCs w:val="24"/>
              </w:rPr>
              <w:t>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rFonts w:hint="eastAsia" w:ascii="宋体" w:hAnsi="宋体" w:eastAsia="宋体" w:cs="宋体"/>
                <w:sz w:val="24"/>
                <w:szCs w:val="24"/>
              </w:rPr>
            </w:pPr>
            <w:r>
              <w:rPr>
                <w:rFonts w:hint="eastAsia" w:ascii="宋体" w:hAnsi="宋体" w:eastAsia="宋体" w:cs="宋体"/>
                <w:sz w:val="24"/>
                <w:szCs w:val="24"/>
              </w:rPr>
              <w:t>中间型指标</w:t>
            </w:r>
          </w:p>
        </w:tc>
        <w:tc>
          <w:tcPr>
            <w:tcW w:w="2515" w:type="dxa"/>
          </w:tcPr>
          <w:p>
            <w:pPr>
              <w:jc w:val="center"/>
              <w:rPr>
                <w:rFonts w:hint="eastAsia" w:ascii="宋体" w:hAnsi="宋体" w:eastAsia="宋体" w:cs="宋体"/>
                <w:sz w:val="24"/>
                <w:szCs w:val="24"/>
              </w:rPr>
            </w:pPr>
            <w:r>
              <w:rPr>
                <w:rFonts w:hint="eastAsia" w:ascii="宋体" w:hAnsi="宋体" w:eastAsia="宋体" w:cs="宋体"/>
                <w:sz w:val="24"/>
                <w:szCs w:val="24"/>
              </w:rPr>
              <w:t>越接近某个值越好</w:t>
            </w:r>
          </w:p>
        </w:tc>
        <w:tc>
          <w:tcPr>
            <w:tcW w:w="2480" w:type="dxa"/>
          </w:tcPr>
          <w:p>
            <w:pPr>
              <w:jc w:val="center"/>
              <w:rPr>
                <w:rFonts w:hint="eastAsia" w:ascii="宋体" w:hAnsi="宋体" w:eastAsia="宋体" w:cs="宋体"/>
                <w:sz w:val="24"/>
                <w:szCs w:val="24"/>
              </w:rPr>
            </w:pPr>
            <w:r>
              <w:rPr>
                <w:rFonts w:hint="eastAsia" w:ascii="宋体" w:hAnsi="宋体" w:eastAsia="宋体" w:cs="宋体"/>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1" w:type="dxa"/>
          </w:tcPr>
          <w:p>
            <w:pPr>
              <w:jc w:val="center"/>
              <w:rPr>
                <w:rFonts w:hint="eastAsia" w:ascii="宋体" w:hAnsi="宋体" w:eastAsia="宋体" w:cs="宋体"/>
                <w:sz w:val="24"/>
                <w:szCs w:val="24"/>
              </w:rPr>
            </w:pPr>
            <w:r>
              <w:rPr>
                <w:rFonts w:hint="eastAsia" w:ascii="宋体" w:hAnsi="宋体" w:eastAsia="宋体" w:cs="宋体"/>
                <w:sz w:val="24"/>
                <w:szCs w:val="24"/>
              </w:rPr>
              <w:t>区间型指标</w:t>
            </w:r>
          </w:p>
        </w:tc>
        <w:tc>
          <w:tcPr>
            <w:tcW w:w="2515" w:type="dxa"/>
          </w:tcPr>
          <w:p>
            <w:pPr>
              <w:jc w:val="center"/>
              <w:rPr>
                <w:rFonts w:hint="eastAsia" w:ascii="宋体" w:hAnsi="宋体" w:eastAsia="宋体" w:cs="宋体"/>
                <w:sz w:val="24"/>
                <w:szCs w:val="24"/>
              </w:rPr>
            </w:pPr>
            <w:r>
              <w:rPr>
                <w:rFonts w:hint="eastAsia" w:ascii="宋体" w:hAnsi="宋体" w:eastAsia="宋体" w:cs="宋体"/>
                <w:sz w:val="24"/>
                <w:szCs w:val="24"/>
              </w:rPr>
              <w:t>落在某个区间最好</w:t>
            </w:r>
          </w:p>
        </w:tc>
        <w:tc>
          <w:tcPr>
            <w:tcW w:w="2480" w:type="dxa"/>
          </w:tcPr>
          <w:p>
            <w:pPr>
              <w:jc w:val="center"/>
              <w:rPr>
                <w:rFonts w:hint="eastAsia" w:ascii="宋体" w:hAnsi="宋体" w:eastAsia="宋体" w:cs="宋体"/>
                <w:sz w:val="24"/>
                <w:szCs w:val="24"/>
              </w:rPr>
            </w:pPr>
            <w:r>
              <w:rPr>
                <w:rFonts w:hint="eastAsia" w:ascii="宋体" w:hAnsi="宋体" w:eastAsia="宋体" w:cs="宋体"/>
                <w:sz w:val="24"/>
                <w:szCs w:val="24"/>
              </w:rPr>
              <w:t>A</w:t>
            </w:r>
          </w:p>
        </w:tc>
      </w:tr>
    </w:tbl>
    <w:p>
      <w:pPr>
        <w:ind w:left="870" w:leftChars="300" w:hanging="240" w:hangingChars="100"/>
        <w:jc w:val="center"/>
        <w:rPr>
          <w:rFonts w:hint="eastAsia" w:ascii="宋体" w:hAnsi="宋体" w:eastAsia="宋体" w:cs="宋体"/>
          <w:sz w:val="24"/>
          <w:szCs w:val="24"/>
        </w:rPr>
      </w:pPr>
    </w:p>
    <w:p>
      <w:pPr>
        <w:ind w:left="870" w:leftChars="300" w:hanging="240" w:hangingChars="100"/>
        <w:rPr>
          <w:rFonts w:hint="eastAsia" w:ascii="宋体" w:hAnsi="宋体" w:eastAsia="宋体" w:cs="宋体"/>
          <w:b/>
          <w:bCs/>
          <w:sz w:val="24"/>
          <w:szCs w:val="24"/>
        </w:rPr>
      </w:pPr>
      <w:r>
        <w:rPr>
          <w:rFonts w:hint="eastAsia" w:ascii="宋体" w:hAnsi="宋体" w:eastAsia="宋体" w:cs="宋体"/>
          <w:sz w:val="24"/>
          <w:szCs w:val="24"/>
        </w:rPr>
        <w:t xml:space="preserve">  </w:t>
      </w:r>
      <w:r>
        <w:rPr>
          <w:rFonts w:hint="eastAsia" w:ascii="宋体" w:hAnsi="宋体" w:eastAsia="宋体" w:cs="宋体"/>
          <w:b/>
          <w:bCs/>
          <w:sz w:val="24"/>
          <w:szCs w:val="24"/>
        </w:rPr>
        <w:t>极小型指标—&gt;极大型指标</w:t>
      </w: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 xml:space="preserve">          转化公式：max-x=X</w:t>
      </w:r>
      <w:r>
        <w:rPr>
          <w:rFonts w:hint="eastAsia" w:ascii="宋体" w:hAnsi="宋体" w:eastAsia="宋体" w:cs="宋体"/>
          <w:sz w:val="24"/>
          <w:szCs w:val="24"/>
          <w:vertAlign w:val="subscript"/>
        </w:rPr>
        <w:t xml:space="preserve">转 </w:t>
      </w: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指标B对应的数据可由TNM数字大小来体现，指标C可有放疗时淋巴结的位置数量来表示，分别得到B、C的极大型指标</w:t>
      </w:r>
    </w:p>
    <w:p>
      <w:pPr>
        <w:ind w:left="870" w:leftChars="300" w:hanging="240" w:hangingChars="100"/>
        <w:jc w:val="center"/>
        <w:rPr>
          <w:rFonts w:hint="eastAsia" w:ascii="宋体" w:hAnsi="宋体" w:eastAsia="宋体" w:cs="宋体"/>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B</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2</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2</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C</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0</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2</w:t>
            </w:r>
          </w:p>
        </w:tc>
      </w:tr>
    </w:tbl>
    <w:p>
      <w:pPr>
        <w:ind w:left="870" w:leftChars="300" w:hanging="240" w:hangingChars="100"/>
        <w:rPr>
          <w:rFonts w:hint="eastAsia" w:ascii="宋体" w:hAnsi="宋体" w:eastAsia="宋体" w:cs="宋体"/>
          <w:sz w:val="24"/>
          <w:szCs w:val="24"/>
        </w:rPr>
      </w:pPr>
    </w:p>
    <w:p>
      <w:pPr>
        <w:ind w:left="871" w:leftChars="300" w:hanging="241" w:hangingChars="100"/>
        <w:rPr>
          <w:rFonts w:hint="eastAsia" w:ascii="宋体" w:hAnsi="宋体" w:eastAsia="宋体" w:cs="宋体"/>
          <w:b/>
          <w:bCs/>
          <w:sz w:val="24"/>
          <w:szCs w:val="24"/>
        </w:rPr>
      </w:pPr>
      <w:r>
        <w:rPr>
          <w:rFonts w:hint="eastAsia" w:ascii="宋体" w:hAnsi="宋体" w:eastAsia="宋体" w:cs="宋体"/>
          <w:b/>
          <w:bCs/>
          <w:sz w:val="24"/>
          <w:szCs w:val="24"/>
        </w:rPr>
        <w:t>中间型指标——&gt;极大型指标</w:t>
      </w: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由五个样本的D指标值取一个平均数X</w:t>
      </w:r>
      <w:r>
        <w:rPr>
          <w:rFonts w:hint="eastAsia" w:ascii="宋体" w:hAnsi="宋体" w:eastAsia="宋体" w:cs="宋体"/>
          <w:sz w:val="24"/>
          <w:szCs w:val="24"/>
          <w:vertAlign w:val="subscript"/>
        </w:rPr>
        <w:t>平</w:t>
      </w:r>
      <w:r>
        <w:rPr>
          <w:rFonts w:hint="eastAsia" w:ascii="宋体" w:hAnsi="宋体" w:eastAsia="宋体" w:cs="宋体"/>
          <w:sz w:val="24"/>
          <w:szCs w:val="24"/>
        </w:rPr>
        <w:t>=4.8，正向化公式为：</w:t>
      </w: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 xml:space="preserve">  M=max{|x</w:t>
      </w:r>
      <w:r>
        <w:rPr>
          <w:rFonts w:hint="eastAsia" w:ascii="宋体" w:hAnsi="宋体" w:eastAsia="宋体" w:cs="宋体"/>
          <w:sz w:val="24"/>
          <w:szCs w:val="24"/>
          <w:vertAlign w:val="subscript"/>
        </w:rPr>
        <w:t>i</w:t>
      </w:r>
      <w:r>
        <w:rPr>
          <w:rFonts w:hint="eastAsia" w:ascii="宋体" w:hAnsi="宋体" w:eastAsia="宋体" w:cs="宋体"/>
          <w:sz w:val="24"/>
          <w:szCs w:val="24"/>
        </w:rPr>
        <w:t>-x</w:t>
      </w:r>
      <w:r>
        <w:rPr>
          <w:rFonts w:hint="eastAsia" w:ascii="宋体" w:hAnsi="宋体" w:eastAsia="宋体" w:cs="宋体"/>
          <w:sz w:val="24"/>
          <w:szCs w:val="24"/>
          <w:vertAlign w:val="subscript"/>
        </w:rPr>
        <w:t>best</w:t>
      </w:r>
      <w:r>
        <w:rPr>
          <w:rFonts w:hint="eastAsia" w:ascii="宋体" w:hAnsi="宋体" w:eastAsia="宋体" w:cs="宋体"/>
          <w:sz w:val="24"/>
          <w:szCs w:val="24"/>
        </w:rPr>
        <w:t>|},  x</w:t>
      </w:r>
      <w:r>
        <w:rPr>
          <w:rFonts w:hint="eastAsia" w:ascii="宋体" w:hAnsi="宋体" w:eastAsia="宋体" w:cs="宋体"/>
          <w:sz w:val="24"/>
          <w:szCs w:val="24"/>
          <w:vertAlign w:val="subscript"/>
        </w:rPr>
        <w:t>i</w:t>
      </w:r>
      <w:r>
        <w:rPr>
          <w:rFonts w:hint="eastAsia" w:ascii="宋体" w:hAnsi="宋体" w:eastAsia="宋体" w:cs="宋体"/>
          <w:sz w:val="24"/>
          <w:szCs w:val="24"/>
        </w:rPr>
        <w:t>=1-</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best</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M</m:t>
            </m:r>
            <m:ctrlPr>
              <w:rPr>
                <w:rFonts w:hint="eastAsia" w:ascii="Cambria Math" w:hAnsi="Cambria Math" w:eastAsia="宋体" w:cs="宋体"/>
                <w:i/>
                <w:sz w:val="24"/>
                <w:szCs w:val="24"/>
              </w:rPr>
            </m:ctrlPr>
          </m:den>
        </m:f>
      </m:oMath>
      <w:r>
        <w:rPr>
          <w:rFonts w:hint="eastAsia" w:ascii="宋体" w:hAnsi="宋体" w:eastAsia="宋体" w:cs="宋体"/>
          <w:sz w:val="24"/>
          <w:szCs w:val="24"/>
        </w:rPr>
        <w:t>.</w:t>
      </w: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代入计算得M=3.2，指标D转化后：</w:t>
      </w:r>
      <w:r>
        <w:rPr>
          <w:rFonts w:hint="eastAsia" w:ascii="宋体" w:hAnsi="宋体" w:eastAsia="宋体" w:cs="宋体"/>
          <w:sz w:val="24"/>
          <w:szCs w:val="24"/>
        </w:rPr>
        <w:br w:type="textWrapping"/>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278"/>
        <w:gridCol w:w="1258"/>
        <w:gridCol w:w="1279"/>
        <w:gridCol w:w="1258"/>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rPr>
                <w:rFonts w:hint="eastAsia" w:ascii="宋体" w:hAnsi="宋体" w:eastAsia="宋体" w:cs="宋体"/>
                <w:sz w:val="24"/>
                <w:szCs w:val="24"/>
              </w:rPr>
            </w:pPr>
            <w:r>
              <w:rPr>
                <w:rFonts w:hint="eastAsia" w:ascii="宋体" w:hAnsi="宋体" w:eastAsia="宋体" w:cs="宋体"/>
                <w:sz w:val="24"/>
                <w:szCs w:val="24"/>
              </w:rPr>
              <w:t>D</w:t>
            </w:r>
          </w:p>
        </w:tc>
        <w:tc>
          <w:tcPr>
            <w:tcW w:w="1278" w:type="dxa"/>
          </w:tcPr>
          <w:p>
            <w:pPr>
              <w:rPr>
                <w:rFonts w:hint="eastAsia" w:ascii="宋体" w:hAnsi="宋体" w:eastAsia="宋体" w:cs="宋体"/>
                <w:sz w:val="24"/>
                <w:szCs w:val="24"/>
              </w:rPr>
            </w:pPr>
            <w:r>
              <w:rPr>
                <w:rFonts w:hint="eastAsia" w:ascii="宋体" w:hAnsi="宋体" w:eastAsia="宋体" w:cs="宋体"/>
                <w:sz w:val="24"/>
                <w:szCs w:val="24"/>
              </w:rPr>
              <w:t>0.4375</w:t>
            </w:r>
          </w:p>
        </w:tc>
        <w:tc>
          <w:tcPr>
            <w:tcW w:w="1258" w:type="dxa"/>
          </w:tcPr>
          <w:p>
            <w:pPr>
              <w:rPr>
                <w:rFonts w:hint="eastAsia" w:ascii="宋体" w:hAnsi="宋体" w:eastAsia="宋体" w:cs="宋体"/>
                <w:sz w:val="24"/>
                <w:szCs w:val="24"/>
              </w:rPr>
            </w:pPr>
            <w:r>
              <w:rPr>
                <w:rFonts w:hint="eastAsia" w:ascii="宋体" w:hAnsi="宋体" w:eastAsia="宋体" w:cs="宋体"/>
                <w:sz w:val="24"/>
                <w:szCs w:val="24"/>
              </w:rPr>
              <w:t>0.625</w:t>
            </w:r>
          </w:p>
        </w:tc>
        <w:tc>
          <w:tcPr>
            <w:tcW w:w="1279" w:type="dxa"/>
          </w:tcPr>
          <w:p>
            <w:pPr>
              <w:rPr>
                <w:rFonts w:hint="eastAsia" w:ascii="宋体" w:hAnsi="宋体" w:eastAsia="宋体" w:cs="宋体"/>
                <w:sz w:val="24"/>
                <w:szCs w:val="24"/>
              </w:rPr>
            </w:pPr>
            <w:r>
              <w:rPr>
                <w:rFonts w:hint="eastAsia" w:ascii="宋体" w:hAnsi="宋体" w:eastAsia="宋体" w:cs="宋体"/>
                <w:sz w:val="24"/>
                <w:szCs w:val="24"/>
              </w:rPr>
              <w:t>0.9375</w:t>
            </w:r>
          </w:p>
        </w:tc>
        <w:tc>
          <w:tcPr>
            <w:tcW w:w="1258" w:type="dxa"/>
          </w:tcPr>
          <w:p>
            <w:pPr>
              <w:rPr>
                <w:rFonts w:hint="eastAsia" w:ascii="宋体" w:hAnsi="宋体" w:eastAsia="宋体" w:cs="宋体"/>
                <w:sz w:val="24"/>
                <w:szCs w:val="24"/>
              </w:rPr>
            </w:pPr>
            <w:r>
              <w:rPr>
                <w:rFonts w:hint="eastAsia" w:ascii="宋体" w:hAnsi="宋体" w:eastAsia="宋体" w:cs="宋体"/>
                <w:sz w:val="24"/>
                <w:szCs w:val="24"/>
              </w:rPr>
              <w:t>0.125</w:t>
            </w:r>
          </w:p>
        </w:tc>
        <w:tc>
          <w:tcPr>
            <w:tcW w:w="1189" w:type="dxa"/>
          </w:tcPr>
          <w:p>
            <w:pPr>
              <w:rPr>
                <w:rFonts w:hint="eastAsia" w:ascii="宋体" w:hAnsi="宋体" w:eastAsia="宋体" w:cs="宋体"/>
                <w:sz w:val="24"/>
                <w:szCs w:val="24"/>
              </w:rPr>
            </w:pPr>
            <w:r>
              <w:rPr>
                <w:rFonts w:hint="eastAsia" w:ascii="宋体" w:hAnsi="宋体" w:eastAsia="宋体" w:cs="宋体"/>
                <w:sz w:val="24"/>
                <w:szCs w:val="24"/>
              </w:rPr>
              <w:t>0</w:t>
            </w:r>
          </w:p>
        </w:tc>
      </w:tr>
    </w:tbl>
    <w:p>
      <w:pPr>
        <w:ind w:left="870" w:leftChars="300" w:hanging="240" w:hangingChars="100"/>
        <w:rPr>
          <w:rFonts w:hint="eastAsia" w:ascii="宋体" w:hAnsi="宋体" w:eastAsia="宋体" w:cs="宋体"/>
          <w:sz w:val="24"/>
          <w:szCs w:val="24"/>
        </w:rPr>
      </w:pPr>
    </w:p>
    <w:p>
      <w:pPr>
        <w:ind w:left="870" w:leftChars="300" w:hanging="240" w:hangingChars="100"/>
        <w:rPr>
          <w:rFonts w:hint="eastAsia" w:ascii="宋体" w:hAnsi="宋体" w:eastAsia="宋体" w:cs="宋体"/>
          <w:sz w:val="24"/>
          <w:szCs w:val="24"/>
        </w:rPr>
      </w:pPr>
    </w:p>
    <w:p>
      <w:pPr>
        <w:ind w:left="871" w:leftChars="300" w:hanging="241" w:hangingChars="100"/>
        <w:rPr>
          <w:rFonts w:hint="eastAsia" w:ascii="宋体" w:hAnsi="宋体" w:eastAsia="宋体" w:cs="宋体"/>
          <w:b/>
          <w:bCs/>
          <w:sz w:val="24"/>
          <w:szCs w:val="24"/>
        </w:rPr>
      </w:pPr>
      <w:r>
        <w:rPr>
          <w:rFonts w:hint="eastAsia" w:ascii="宋体" w:hAnsi="宋体" w:eastAsia="宋体" w:cs="宋体"/>
          <w:b/>
          <w:bCs/>
          <w:sz w:val="24"/>
          <w:szCs w:val="24"/>
        </w:rPr>
        <w:t>区间型指标——&gt;极大型指标</w:t>
      </w: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假定取值区间为[a,b],则转化公式为：</w:t>
      </w: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 xml:space="preserve">    M=max{a-min{x</w:t>
      </w:r>
      <w:r>
        <w:rPr>
          <w:rFonts w:hint="eastAsia" w:ascii="宋体" w:hAnsi="宋体" w:eastAsia="宋体" w:cs="宋体"/>
          <w:sz w:val="24"/>
          <w:szCs w:val="24"/>
          <w:vertAlign w:val="subscript"/>
        </w:rPr>
        <w:t>i</w:t>
      </w:r>
      <w:r>
        <w:rPr>
          <w:rFonts w:hint="eastAsia" w:ascii="宋体" w:hAnsi="宋体" w:eastAsia="宋体" w:cs="宋体"/>
          <w:sz w:val="24"/>
          <w:szCs w:val="24"/>
        </w:rPr>
        <w:t>},max{x</w:t>
      </w:r>
      <w:r>
        <w:rPr>
          <w:rFonts w:hint="eastAsia" w:ascii="宋体" w:hAnsi="宋体" w:eastAsia="宋体" w:cs="宋体"/>
          <w:sz w:val="24"/>
          <w:szCs w:val="24"/>
          <w:vertAlign w:val="subscript"/>
        </w:rPr>
        <w:t>i</w:t>
      </w:r>
      <w:r>
        <w:rPr>
          <w:rFonts w:hint="eastAsia" w:ascii="宋体" w:hAnsi="宋体" w:eastAsia="宋体" w:cs="宋体"/>
          <w:sz w:val="24"/>
          <w:szCs w:val="24"/>
        </w:rPr>
        <w:t>}-b},   x</w:t>
      </w:r>
      <w:r>
        <w:rPr>
          <w:rFonts w:hint="eastAsia" w:ascii="宋体" w:hAnsi="宋体" w:eastAsia="宋体" w:cs="宋体"/>
          <w:sz w:val="24"/>
          <w:szCs w:val="24"/>
          <w:vertAlign w:val="subscript"/>
        </w:rPr>
        <w:t>i</w:t>
      </w:r>
      <w:r>
        <w:rPr>
          <w:rFonts w:hint="eastAsia" w:ascii="宋体" w:hAnsi="宋体" w:eastAsia="宋体" w:cs="宋体"/>
          <w:sz w:val="24"/>
          <w:szCs w:val="24"/>
        </w:rPr>
        <w:t>=</w:t>
      </w:r>
      <m:oMath>
        <m:d>
          <m:dPr>
            <m:begChr m:val="{"/>
            <m:endChr m:val=""/>
            <m:ctrlPr>
              <w:rPr>
                <w:rFonts w:hint="eastAsia" w:ascii="Cambria Math" w:hAnsi="Cambria Math" w:eastAsia="宋体" w:cs="宋体"/>
                <w:i/>
                <w:sz w:val="24"/>
                <w:szCs w:val="24"/>
              </w:rPr>
            </m:ctrlPr>
          </m:dPr>
          <m:e>
            <m:eqArr>
              <m:eqArrPr>
                <m:ctrlPr>
                  <w:rPr>
                    <w:rFonts w:hint="eastAsia" w:ascii="Cambria Math" w:hAnsi="Cambria Math" w:eastAsia="宋体" w:cs="宋体"/>
                    <w:i/>
                    <w:sz w:val="24"/>
                    <w:szCs w:val="24"/>
                  </w:rPr>
                </m:ctrlPr>
              </m:eqArrPr>
              <m:e>
                <m:r>
                  <m:rPr/>
                  <w:rPr>
                    <w:rFonts w:hint="eastAsia" w:ascii="Cambria Math" w:hAnsi="Cambria Math" w:eastAsia="宋体" w:cs="宋体"/>
                    <w:sz w:val="24"/>
                    <w:szCs w:val="24"/>
                  </w:rPr>
                  <m:t>1−</m:t>
                </m:r>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a−</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M</m:t>
                    </m:r>
                    <m:ctrlPr>
                      <w:rPr>
                        <w:rFonts w:hint="eastAsia" w:ascii="Cambria Math" w:hAnsi="Cambria Math" w:eastAsia="宋体" w:cs="宋体"/>
                        <w:i/>
                        <w:sz w:val="24"/>
                        <w:szCs w:val="24"/>
                      </w:rPr>
                    </m:ctrlPr>
                  </m:den>
                </m:f>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&lt;a</m:t>
                </m:r>
                <m:ctrlPr>
                  <w:rPr>
                    <w:rFonts w:hint="eastAsia" w:ascii="Cambria Math" w:hAnsi="Cambria Math" w:eastAsia="宋体" w:cs="宋体"/>
                    <w:i/>
                    <w:sz w:val="24"/>
                    <w:szCs w:val="24"/>
                  </w:rPr>
                </m:ctrlPr>
              </m:e>
              <m:e>
                <m:r>
                  <m:rPr/>
                  <w:rPr>
                    <w:rFonts w:hint="eastAsia" w:ascii="Cambria Math" w:hAnsi="Cambria Math" w:eastAsia="宋体" w:cs="宋体"/>
                    <w:sz w:val="24"/>
                    <w:szCs w:val="24"/>
                  </w:rPr>
                  <m:t>1,a≤</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e>
              <m:e>
                <m:r>
                  <m:rPr/>
                  <w:rPr>
                    <w:rFonts w:hint="eastAsia" w:ascii="Cambria Math" w:hAnsi="Cambria Math" w:eastAsia="宋体" w:cs="宋体"/>
                    <w:sz w:val="24"/>
                    <w:szCs w:val="24"/>
                  </w:rPr>
                  <m:t>1−</m:t>
                </m:r>
                <m:f>
                  <m:fPr>
                    <m:ctrlPr>
                      <w:rPr>
                        <w:rFonts w:hint="eastAsia" w:ascii="Cambria Math" w:hAnsi="Cambria Math" w:eastAsia="宋体" w:cs="宋体"/>
                        <w:i/>
                        <w:sz w:val="24"/>
                        <w:szCs w:val="24"/>
                      </w:rPr>
                    </m:ctrlPr>
                  </m:fPr>
                  <m:num>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M</m:t>
                    </m:r>
                    <m:ctrlPr>
                      <w:rPr>
                        <w:rFonts w:hint="eastAsia" w:ascii="Cambria Math" w:hAnsi="Cambria Math" w:eastAsia="宋体" w:cs="宋体"/>
                        <w:i/>
                        <w:sz w:val="24"/>
                        <w:szCs w:val="24"/>
                      </w:rPr>
                    </m:ctrlPr>
                  </m:den>
                </m:f>
                <m:r>
                  <m:rP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i</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&gt;b</m:t>
                </m:r>
                <m:ctrlPr>
                  <w:rPr>
                    <w:rFonts w:hint="eastAsia" w:ascii="Cambria Math" w:hAnsi="Cambria Math" w:eastAsia="宋体" w:cs="宋体"/>
                    <w:i/>
                    <w:sz w:val="24"/>
                    <w:szCs w:val="24"/>
                  </w:rPr>
                </m:ctrlPr>
              </m:e>
            </m:eqArr>
            <m:ctrlPr>
              <w:rPr>
                <w:rFonts w:hint="eastAsia" w:ascii="Cambria Math" w:hAnsi="Cambria Math" w:eastAsia="宋体" w:cs="宋体"/>
                <w:i/>
                <w:sz w:val="24"/>
                <w:szCs w:val="24"/>
              </w:rPr>
            </m:ctrlPr>
          </m:e>
        </m:d>
      </m:oMath>
    </w:p>
    <w:p>
      <w:pPr>
        <w:ind w:firstLine="960" w:firstLineChars="400"/>
        <w:rPr>
          <w:rFonts w:hint="eastAsia" w:ascii="宋体" w:hAnsi="宋体" w:eastAsia="宋体" w:cs="宋体"/>
          <w:sz w:val="24"/>
          <w:szCs w:val="24"/>
        </w:rPr>
      </w:pPr>
      <w:r>
        <w:rPr>
          <w:rFonts w:hint="eastAsia" w:ascii="宋体" w:hAnsi="宋体" w:eastAsia="宋体" w:cs="宋体"/>
          <w:sz w:val="24"/>
          <w:szCs w:val="24"/>
        </w:rPr>
        <w:t>计算得指标A转化后为：</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rPr>
                <w:rFonts w:hint="eastAsia" w:ascii="宋体" w:hAnsi="宋体" w:eastAsia="宋体" w:cs="宋体"/>
                <w:sz w:val="24"/>
                <w:szCs w:val="24"/>
              </w:rPr>
            </w:pPr>
            <w:r>
              <w:rPr>
                <w:rFonts w:hint="eastAsia" w:ascii="宋体" w:hAnsi="宋体" w:eastAsia="宋体" w:cs="宋体"/>
                <w:sz w:val="24"/>
                <w:szCs w:val="24"/>
              </w:rPr>
              <w:t>A</w:t>
            </w:r>
          </w:p>
        </w:tc>
        <w:tc>
          <w:tcPr>
            <w:tcW w:w="1382" w:type="dxa"/>
          </w:tcPr>
          <w:p>
            <w:pPr>
              <w:rPr>
                <w:rFonts w:hint="eastAsia" w:ascii="宋体" w:hAnsi="宋体" w:eastAsia="宋体" w:cs="宋体"/>
                <w:sz w:val="24"/>
                <w:szCs w:val="24"/>
              </w:rPr>
            </w:pPr>
            <w:r>
              <w:rPr>
                <w:rFonts w:hint="eastAsia" w:ascii="宋体" w:hAnsi="宋体" w:eastAsia="宋体" w:cs="宋体"/>
                <w:sz w:val="24"/>
                <w:szCs w:val="24"/>
              </w:rPr>
              <w:t>0.4286</w:t>
            </w:r>
          </w:p>
        </w:tc>
        <w:tc>
          <w:tcPr>
            <w:tcW w:w="1383" w:type="dxa"/>
          </w:tcPr>
          <w:p>
            <w:pPr>
              <w:rPr>
                <w:rFonts w:hint="eastAsia" w:ascii="宋体" w:hAnsi="宋体" w:eastAsia="宋体" w:cs="宋体"/>
                <w:sz w:val="24"/>
                <w:szCs w:val="24"/>
              </w:rPr>
            </w:pPr>
            <w:r>
              <w:rPr>
                <w:rFonts w:hint="eastAsia" w:ascii="宋体" w:hAnsi="宋体" w:eastAsia="宋体" w:cs="宋体"/>
                <w:sz w:val="24"/>
                <w:szCs w:val="24"/>
              </w:rPr>
              <w:t>0.8571</w:t>
            </w:r>
          </w:p>
        </w:tc>
        <w:tc>
          <w:tcPr>
            <w:tcW w:w="1383" w:type="dxa"/>
          </w:tcPr>
          <w:p>
            <w:pPr>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rPr>
                <w:rFonts w:hint="eastAsia" w:ascii="宋体" w:hAnsi="宋体" w:eastAsia="宋体" w:cs="宋体"/>
                <w:sz w:val="24"/>
                <w:szCs w:val="24"/>
              </w:rPr>
            </w:pPr>
            <w:r>
              <w:rPr>
                <w:rFonts w:hint="eastAsia" w:ascii="宋体" w:hAnsi="宋体" w:eastAsia="宋体" w:cs="宋体"/>
                <w:sz w:val="24"/>
                <w:szCs w:val="24"/>
              </w:rPr>
              <w:t>0.4286</w:t>
            </w:r>
          </w:p>
        </w:tc>
        <w:tc>
          <w:tcPr>
            <w:tcW w:w="1383" w:type="dxa"/>
          </w:tcPr>
          <w:p>
            <w:pPr>
              <w:rPr>
                <w:rFonts w:hint="eastAsia" w:ascii="宋体" w:hAnsi="宋体" w:eastAsia="宋体" w:cs="宋体"/>
                <w:sz w:val="24"/>
                <w:szCs w:val="24"/>
              </w:rPr>
            </w:pPr>
            <w:r>
              <w:rPr>
                <w:rFonts w:hint="eastAsia" w:ascii="宋体" w:hAnsi="宋体" w:eastAsia="宋体" w:cs="宋体"/>
                <w:sz w:val="24"/>
                <w:szCs w:val="24"/>
              </w:rPr>
              <w:t>0</w:t>
            </w:r>
          </w:p>
        </w:tc>
      </w:tr>
    </w:tbl>
    <w:p>
      <w:pPr>
        <w:ind w:firstLine="960" w:firstLineChars="400"/>
        <w:rPr>
          <w:rFonts w:hint="eastAsia" w:ascii="宋体" w:hAnsi="宋体" w:eastAsia="宋体" w:cs="宋体"/>
          <w:sz w:val="24"/>
          <w:szCs w:val="24"/>
        </w:rPr>
      </w:pPr>
    </w:p>
    <w:p>
      <w:pPr>
        <w:ind w:firstLine="960" w:firstLineChars="400"/>
        <w:rPr>
          <w:rFonts w:hint="eastAsia" w:ascii="宋体" w:hAnsi="宋体" w:eastAsia="宋体" w:cs="宋体"/>
          <w:sz w:val="24"/>
          <w:szCs w:val="24"/>
        </w:rPr>
      </w:pPr>
      <w:r>
        <w:rPr>
          <w:rFonts w:hint="eastAsia" w:ascii="宋体" w:hAnsi="宋体" w:eastAsia="宋体" w:cs="宋体"/>
          <w:sz w:val="24"/>
          <w:szCs w:val="24"/>
        </w:rPr>
        <w:t>则汇总可得：</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gridCol w:w="1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A</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0.4286</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0.8571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0.4286</w:t>
            </w:r>
          </w:p>
        </w:tc>
        <w:tc>
          <w:tcPr>
            <w:tcW w:w="1388" w:type="dxa"/>
          </w:tcPr>
          <w:p>
            <w:pPr>
              <w:jc w:val="both"/>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B</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2</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2</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8" w:type="dxa"/>
          </w:tcPr>
          <w:p>
            <w:pPr>
              <w:jc w:val="both"/>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C</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0</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8" w:type="dxa"/>
          </w:tcPr>
          <w:p>
            <w:pPr>
              <w:jc w:val="both"/>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D</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0.4375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0.625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0.9375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0.125</w:t>
            </w:r>
          </w:p>
        </w:tc>
        <w:tc>
          <w:tcPr>
            <w:tcW w:w="1388" w:type="dxa"/>
          </w:tcPr>
          <w:p>
            <w:pPr>
              <w:jc w:val="both"/>
              <w:rPr>
                <w:rFonts w:hint="eastAsia" w:ascii="宋体" w:hAnsi="宋体" w:eastAsia="宋体" w:cs="宋体"/>
                <w:sz w:val="24"/>
                <w:szCs w:val="24"/>
              </w:rPr>
            </w:pPr>
            <w:r>
              <w:rPr>
                <w:rFonts w:hint="eastAsia" w:ascii="宋体" w:hAnsi="宋体" w:eastAsia="宋体" w:cs="宋体"/>
                <w:sz w:val="24"/>
                <w:szCs w:val="24"/>
              </w:rPr>
              <w:t>0</w:t>
            </w:r>
          </w:p>
        </w:tc>
      </w:tr>
    </w:tbl>
    <w:p>
      <w:pPr>
        <w:ind w:left="870" w:leftChars="300" w:hanging="240" w:hangingChars="100"/>
        <w:rPr>
          <w:rFonts w:hint="eastAsia" w:ascii="宋体" w:hAnsi="宋体" w:eastAsia="宋体" w:cs="宋体"/>
          <w:sz w:val="24"/>
          <w:szCs w:val="24"/>
        </w:rPr>
      </w:pPr>
    </w:p>
    <w:p>
      <w:pPr>
        <w:ind w:left="870" w:leftChars="300" w:hanging="240" w:hangingChars="100"/>
        <w:rPr>
          <w:rFonts w:hint="eastAsia" w:ascii="宋体" w:hAnsi="宋体" w:eastAsia="宋体" w:cs="宋体"/>
          <w:sz w:val="24"/>
          <w:szCs w:val="24"/>
        </w:rPr>
      </w:pPr>
      <w:r>
        <w:rPr>
          <w:rFonts w:hint="eastAsia" w:ascii="宋体" w:hAnsi="宋体" w:eastAsia="宋体" w:cs="宋体"/>
          <w:sz w:val="24"/>
          <w:szCs w:val="24"/>
        </w:rPr>
        <w:t>得到正向化矩阵：X=</w:t>
      </w:r>
    </w:p>
    <w:p>
      <w:pPr>
        <w:rPr>
          <w:rFonts w:hint="eastAsia" w:ascii="宋体" w:hAnsi="宋体" w:eastAsia="宋体" w:cs="宋体"/>
          <w:sz w:val="24"/>
          <w:szCs w:val="24"/>
        </w:rPr>
      </w:pPr>
      <w:r>
        <w:rPr>
          <w:rFonts w:hint="eastAsia" w:ascii="宋体" w:hAnsi="宋体" w:eastAsia="宋体" w:cs="宋体"/>
          <w:sz w:val="24"/>
          <w:szCs w:val="24"/>
        </w:rPr>
        <w:t xml:space="preserve">           </w:t>
      </w:r>
    </w:p>
    <w:p>
      <w:pPr>
        <w:ind w:firstLine="1680" w:firstLineChars="700"/>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2401570" cy="1749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01570" cy="1749425"/>
                    </a:xfrm>
                    <a:prstGeom prst="rect">
                      <a:avLst/>
                    </a:prstGeom>
                    <a:noFill/>
                    <a:ln>
                      <a:noFill/>
                    </a:ln>
                  </pic:spPr>
                </pic:pic>
              </a:graphicData>
            </a:graphic>
          </wp:inline>
        </w:drawing>
      </w:r>
    </w:p>
    <w:p>
      <w:pPr>
        <w:ind w:left="870" w:leftChars="300" w:hanging="240" w:hangingChars="100"/>
        <w:rPr>
          <w:rFonts w:hint="eastAsia" w:ascii="宋体" w:hAnsi="宋体" w:eastAsia="宋体" w:cs="宋体"/>
          <w:sz w:val="24"/>
          <w:szCs w:val="24"/>
        </w:rPr>
      </w:pPr>
    </w:p>
    <w:p>
      <w:pPr>
        <w:ind w:firstLine="960" w:firstLineChars="400"/>
        <w:rPr>
          <w:rFonts w:hint="eastAsia" w:ascii="宋体" w:hAnsi="宋体" w:eastAsia="宋体" w:cs="宋体"/>
          <w:sz w:val="24"/>
          <w:szCs w:val="24"/>
        </w:rPr>
      </w:pPr>
    </w:p>
    <w:p>
      <w:pPr>
        <w:ind w:firstLine="960" w:firstLineChars="400"/>
        <w:rPr>
          <w:rFonts w:hint="eastAsia" w:ascii="宋体" w:hAnsi="宋体" w:eastAsia="宋体" w:cs="宋体"/>
          <w:sz w:val="24"/>
          <w:szCs w:val="24"/>
        </w:rPr>
      </w:pPr>
      <w:r>
        <w:rPr>
          <w:rFonts w:hint="eastAsia" w:ascii="宋体" w:hAnsi="宋体" w:eastAsia="宋体" w:cs="宋体"/>
          <w:sz w:val="24"/>
          <w:szCs w:val="24"/>
        </w:rPr>
        <w:t>2、正向矩阵标准化</w:t>
      </w:r>
    </w:p>
    <w:p>
      <w:pPr>
        <w:jc w:val="center"/>
        <w:rPr>
          <w:rFonts w:hint="eastAsia" w:ascii="宋体" w:hAnsi="宋体" w:eastAsia="宋体" w:cs="宋体"/>
          <w:sz w:val="24"/>
          <w:szCs w:val="24"/>
        </w:rPr>
      </w:pPr>
      <w:r>
        <w:rPr>
          <w:rFonts w:hint="eastAsia" w:ascii="宋体" w:hAnsi="宋体" w:eastAsia="宋体" w:cs="宋体"/>
          <w:sz w:val="24"/>
          <w:szCs w:val="24"/>
        </w:rPr>
        <w:t>记标准化的矩阵为Z，Z中的每一个元素Z</w:t>
      </w:r>
      <w:r>
        <w:rPr>
          <w:rFonts w:hint="eastAsia" w:ascii="宋体" w:hAnsi="宋体" w:eastAsia="宋体" w:cs="宋体"/>
          <w:sz w:val="24"/>
          <w:szCs w:val="24"/>
          <w:vertAlign w:val="subscript"/>
        </w:rPr>
        <w:t>ij</w:t>
      </w:r>
      <w:r>
        <w:rPr>
          <w:rFonts w:hint="eastAsia" w:ascii="宋体" w:hAnsi="宋体" w:eastAsia="宋体" w:cs="宋体"/>
          <w:sz w:val="24"/>
          <w:szCs w:val="24"/>
        </w:rPr>
        <w:t>=</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xij</m:t>
            </m:r>
            <m:ctrlPr>
              <w:rPr>
                <w:rFonts w:hint="eastAsia" w:ascii="Cambria Math" w:hAnsi="Cambria Math" w:eastAsia="宋体" w:cs="宋体"/>
                <w:i/>
                <w:sz w:val="24"/>
                <w:szCs w:val="24"/>
              </w:rPr>
            </m:ctrlPr>
          </m:num>
          <m:den>
            <m:rad>
              <m:radPr>
                <m:degHide m:val="1"/>
                <m:ctrlPr>
                  <w:rPr>
                    <w:rFonts w:hint="eastAsia" w:ascii="Cambria Math" w:hAnsi="Cambria Math" w:eastAsia="宋体" w:cs="宋体"/>
                    <w:i/>
                    <w:sz w:val="24"/>
                    <w:szCs w:val="24"/>
                  </w:rPr>
                </m:ctrlPr>
              </m:radPr>
              <m:deg>
                <m:ctrlPr>
                  <w:rPr>
                    <w:rFonts w:hint="eastAsia" w:ascii="Cambria Math" w:hAnsi="Cambria Math" w:eastAsia="宋体" w:cs="宋体"/>
                    <w:i/>
                    <w:sz w:val="24"/>
                    <w:szCs w:val="24"/>
                  </w:rPr>
                </m:ctrlPr>
              </m:deg>
              <m:e>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i=1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n</m:t>
                    </m:r>
                    <m:ctrlPr>
                      <w:rPr>
                        <w:rFonts w:hint="eastAsia" w:ascii="Cambria Math" w:hAnsi="Cambria Math" w:eastAsia="宋体" w:cs="宋体"/>
                        <w:i/>
                        <w:sz w:val="24"/>
                        <w:szCs w:val="24"/>
                      </w:rPr>
                    </m:ctrlPr>
                  </m:sup>
                  <m:e>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xij</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sz w:val="24"/>
                            <w:szCs w:val="24"/>
                          </w:rPr>
                        </m:ctrlPr>
                      </m:sup>
                    </m:sSup>
                    <m:ctrlPr>
                      <w:rPr>
                        <w:rFonts w:hint="eastAsia" w:ascii="Cambria Math" w:hAnsi="Cambria Math" w:eastAsia="宋体" w:cs="宋体"/>
                        <w:i/>
                        <w:sz w:val="24"/>
                        <w:szCs w:val="24"/>
                      </w:rPr>
                    </m:ctrlPr>
                  </m:e>
                </m:nary>
                <m:ctrlPr>
                  <w:rPr>
                    <w:rFonts w:hint="eastAsia" w:ascii="Cambria Math" w:hAnsi="Cambria Math" w:eastAsia="宋体" w:cs="宋体"/>
                    <w:i/>
                    <w:sz w:val="24"/>
                    <w:szCs w:val="24"/>
                  </w:rPr>
                </m:ctrlPr>
              </m:e>
            </m:rad>
            <m:ctrlPr>
              <w:rPr>
                <w:rFonts w:hint="eastAsia" w:ascii="Cambria Math" w:hAnsi="Cambria Math" w:eastAsia="宋体" w:cs="宋体"/>
                <w:i/>
                <w:sz w:val="24"/>
                <w:szCs w:val="24"/>
              </w:rPr>
            </m:ctrlPr>
          </m:den>
        </m:f>
      </m:oMath>
      <w:r>
        <w:rPr>
          <w:rFonts w:hint="eastAsia" w:ascii="宋体" w:hAnsi="宋体" w:eastAsia="宋体" w:cs="宋体"/>
          <w:sz w:val="24"/>
          <w:szCs w:val="24"/>
        </w:rPr>
        <w:t xml:space="preserve">，算出Z中每一个元素，得到非负·矩阵Z=     </w:t>
      </w:r>
      <w:r>
        <w:rPr>
          <w:rFonts w:hint="eastAsia" w:ascii="宋体" w:hAnsi="宋体" w:eastAsia="宋体" w:cs="宋体"/>
          <w:sz w:val="24"/>
          <w:szCs w:val="24"/>
        </w:rPr>
        <w:drawing>
          <wp:inline distT="0" distB="0" distL="0" distR="0">
            <wp:extent cx="2973705" cy="17494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73705" cy="1749425"/>
                    </a:xfrm>
                    <a:prstGeom prst="rect">
                      <a:avLst/>
                    </a:prstGeom>
                    <a:noFill/>
                    <a:ln>
                      <a:noFill/>
                    </a:ln>
                  </pic:spPr>
                </pic:pic>
              </a:graphicData>
            </a:graphic>
          </wp:inline>
        </w:drawing>
      </w:r>
    </w:p>
    <w:p>
      <w:pPr>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再计算概率矩阵P，p</w:t>
      </w:r>
      <w:r>
        <w:rPr>
          <w:rFonts w:hint="eastAsia" w:ascii="宋体" w:hAnsi="宋体" w:eastAsia="宋体" w:cs="宋体"/>
          <w:sz w:val="24"/>
          <w:szCs w:val="24"/>
          <w:vertAlign w:val="subscript"/>
        </w:rPr>
        <w:t>ij</w:t>
      </w:r>
      <w:r>
        <w:rPr>
          <w:rFonts w:hint="eastAsia" w:ascii="宋体" w:hAnsi="宋体" w:eastAsia="宋体" w:cs="宋体"/>
          <w:sz w:val="24"/>
          <w:szCs w:val="24"/>
        </w:rPr>
        <w:t>=</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zij</m:t>
            </m:r>
            <m:ctrlPr>
              <w:rPr>
                <w:rFonts w:hint="eastAsia" w:ascii="Cambria Math" w:hAnsi="Cambria Math" w:eastAsia="宋体" w:cs="宋体"/>
                <w:i/>
                <w:sz w:val="24"/>
                <w:szCs w:val="24"/>
              </w:rPr>
            </m:ctrlPr>
          </m:num>
          <m:den>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i=1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n</m:t>
                </m:r>
                <m:ctrlPr>
                  <w:rPr>
                    <w:rFonts w:hint="eastAsia" w:ascii="Cambria Math" w:hAnsi="Cambria Math" w:eastAsia="宋体" w:cs="宋体"/>
                    <w:i/>
                    <w:sz w:val="24"/>
                    <w:szCs w:val="24"/>
                  </w:rPr>
                </m:ctrlPr>
              </m:sup>
              <m:e>
                <m:r>
                  <m:rPr/>
                  <w:rPr>
                    <w:rFonts w:hint="eastAsia" w:ascii="Cambria Math" w:hAnsi="Cambria Math" w:eastAsia="宋体" w:cs="宋体"/>
                    <w:sz w:val="24"/>
                    <w:szCs w:val="24"/>
                  </w:rPr>
                  <m:t>zij</m:t>
                </m:r>
                <m:ctrlPr>
                  <w:rPr>
                    <w:rFonts w:hint="eastAsia" w:ascii="Cambria Math" w:hAnsi="Cambria Math" w:eastAsia="宋体" w:cs="宋体"/>
                    <w:i/>
                    <w:sz w:val="24"/>
                    <w:szCs w:val="24"/>
                  </w:rPr>
                </m:ctrlPr>
              </m:e>
            </m:nary>
            <m:ctrlPr>
              <w:rPr>
                <w:rFonts w:hint="eastAsia" w:ascii="Cambria Math" w:hAnsi="Cambria Math" w:eastAsia="宋体" w:cs="宋体"/>
                <w:i/>
                <w:sz w:val="24"/>
                <w:szCs w:val="24"/>
              </w:rPr>
            </m:ctrlPr>
          </m:den>
        </m:f>
      </m:oMath>
      <w:r>
        <w:rPr>
          <w:rFonts w:hint="eastAsia" w:ascii="宋体" w:hAnsi="宋体" w:eastAsia="宋体" w:cs="宋体"/>
          <w:sz w:val="24"/>
          <w:szCs w:val="24"/>
        </w:rPr>
        <w:t>，</w:t>
      </w:r>
    </w:p>
    <w:p>
      <w:pPr>
        <w:jc w:val="center"/>
        <w:rPr>
          <w:rFonts w:hint="eastAsia" w:ascii="宋体" w:hAnsi="宋体" w:eastAsia="宋体" w:cs="宋体"/>
          <w:sz w:val="24"/>
          <w:szCs w:val="24"/>
        </w:rPr>
      </w:pPr>
      <w:r>
        <w:rPr>
          <w:rFonts w:hint="eastAsia" w:ascii="宋体" w:hAnsi="宋体" w:eastAsia="宋体" w:cs="宋体"/>
          <w:sz w:val="24"/>
          <w:szCs w:val="24"/>
        </w:rPr>
        <w:t xml:space="preserve">P=      </w:t>
      </w:r>
      <w:r>
        <w:rPr>
          <w:rFonts w:hint="eastAsia" w:ascii="宋体" w:hAnsi="宋体" w:eastAsia="宋体" w:cs="宋体"/>
          <w:sz w:val="24"/>
          <w:szCs w:val="24"/>
        </w:rPr>
        <w:drawing>
          <wp:inline distT="0" distB="0" distL="0" distR="0">
            <wp:extent cx="2973705" cy="17494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73705" cy="1749425"/>
                    </a:xfrm>
                    <a:prstGeom prst="rect">
                      <a:avLst/>
                    </a:prstGeom>
                    <a:noFill/>
                    <a:ln>
                      <a:noFill/>
                    </a:ln>
                  </pic:spPr>
                </pic:pic>
              </a:graphicData>
            </a:graphic>
          </wp:inline>
        </w:drawing>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r>
        <w:rPr>
          <w:rFonts w:hint="eastAsia" w:ascii="宋体" w:hAnsi="宋体" w:eastAsia="宋体" w:cs="宋体"/>
          <w:sz w:val="24"/>
          <w:szCs w:val="24"/>
        </w:rPr>
        <w:t>容易验证</w:t>
      </w:r>
      <m:oMath>
        <m:r>
          <m:rPr/>
          <w:rPr>
            <w:rFonts w:hint="eastAsia" w:ascii="Cambria Math" w:hAnsi="Cambria Math" w:eastAsia="宋体" w:cs="宋体"/>
            <w:sz w:val="24"/>
            <w:szCs w:val="24"/>
          </w:rPr>
          <m:t xml:space="preserve">  </m:t>
        </m:r>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i=1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n</m:t>
            </m:r>
            <m:ctrlPr>
              <w:rPr>
                <w:rFonts w:hint="eastAsia" w:ascii="Cambria Math" w:hAnsi="Cambria Math" w:eastAsia="宋体" w:cs="宋体"/>
                <w:i/>
                <w:sz w:val="24"/>
                <w:szCs w:val="24"/>
              </w:rPr>
            </m:ctrlPr>
          </m:sup>
          <m:e>
            <m:r>
              <m:rPr/>
              <w:rPr>
                <w:rFonts w:hint="eastAsia" w:ascii="Cambria Math" w:hAnsi="Cambria Math" w:eastAsia="宋体" w:cs="宋体"/>
                <w:sz w:val="24"/>
                <w:szCs w:val="24"/>
              </w:rPr>
              <m:t>pij=1</m:t>
            </m:r>
            <m:ctrlPr>
              <w:rPr>
                <w:rFonts w:hint="eastAsia" w:ascii="Cambria Math" w:hAnsi="Cambria Math" w:eastAsia="宋体" w:cs="宋体"/>
                <w:i/>
                <w:sz w:val="24"/>
                <w:szCs w:val="24"/>
              </w:rPr>
            </m:ctrlPr>
          </m:e>
        </m:nary>
      </m:oMath>
      <w:r>
        <w:rPr>
          <w:rFonts w:hint="eastAsia" w:ascii="宋体" w:hAnsi="宋体" w:eastAsia="宋体" w:cs="宋体"/>
          <w:sz w:val="24"/>
          <w:szCs w:val="24"/>
        </w:rPr>
        <w:t>，保证了每个指标对应概率和为1。</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3、计算每个指标的信息熵，并计算信息效用值，并归一化得到每个指标的熵权。</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对第j个指标，其信息熵计算公式为：</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ej=</w:t>
      </w:r>
      <m:oMath>
        <m:r>
          <m:rPr/>
          <w:rPr>
            <w:rFonts w:hint="eastAsia" w:ascii="Cambria Math" w:hAnsi="Cambria Math" w:eastAsia="宋体" w:cs="宋体"/>
            <w:sz w:val="24"/>
            <w:szCs w:val="24"/>
          </w:rPr>
          <m:t>−</m:t>
        </m:r>
        <m:f>
          <m:fPr>
            <m:ctrlPr>
              <w:rPr>
                <w:rFonts w:hint="eastAsia" w:ascii="Cambria Math" w:hAnsi="Cambria Math" w:eastAsia="宋体" w:cs="宋体"/>
                <w:i/>
                <w:sz w:val="24"/>
                <w:szCs w:val="24"/>
              </w:rPr>
            </m:ctrlPr>
          </m:fPr>
          <m:num>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i=1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n</m:t>
                </m:r>
                <m:ctrlPr>
                  <w:rPr>
                    <w:rFonts w:hint="eastAsia" w:ascii="Cambria Math" w:hAnsi="Cambria Math" w:eastAsia="宋体" w:cs="宋体"/>
                    <w:i/>
                    <w:sz w:val="24"/>
                    <w:szCs w:val="24"/>
                  </w:rPr>
                </m:ctrlPr>
              </m:sup>
              <m:e>
                <m:r>
                  <m:rPr/>
                  <w:rPr>
                    <w:rFonts w:hint="eastAsia" w:ascii="Cambria Math" w:hAnsi="Cambria Math" w:eastAsia="宋体" w:cs="宋体"/>
                    <w:sz w:val="24"/>
                    <w:szCs w:val="24"/>
                  </w:rPr>
                  <m:t>pij</m:t>
                </m:r>
                <m:ctrlPr>
                  <w:rPr>
                    <w:rFonts w:hint="eastAsia" w:ascii="Cambria Math" w:hAnsi="Cambria Math" w:eastAsia="宋体" w:cs="宋体"/>
                    <w:i/>
                    <w:sz w:val="24"/>
                    <w:szCs w:val="24"/>
                  </w:rPr>
                </m:ctrlPr>
              </m:e>
            </m:nary>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ln⁡</m:t>
            </m:r>
            <m:r>
              <m:rPr/>
              <w:rPr>
                <w:rFonts w:hint="eastAsia" w:ascii="Cambria Math" w:hAnsi="Cambria Math" w:eastAsia="宋体" w:cs="宋体"/>
                <w:sz w:val="24"/>
                <w:szCs w:val="24"/>
              </w:rPr>
              <m:t>(pij)</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lnn</m:t>
            </m:r>
            <m:ctrlPr>
              <w:rPr>
                <w:rFonts w:hint="eastAsia" w:ascii="Cambria Math" w:hAnsi="Cambria Math" w:eastAsia="宋体" w:cs="宋体"/>
                <w:i/>
                <w:sz w:val="24"/>
                <w:szCs w:val="24"/>
              </w:rPr>
            </m:ctrlPr>
          </m:den>
        </m:f>
      </m:oMath>
      <w:r>
        <w:rPr>
          <w:rFonts w:hint="eastAsia" w:ascii="宋体" w:hAnsi="宋体" w:eastAsia="宋体" w:cs="宋体"/>
          <w:sz w:val="24"/>
          <w:szCs w:val="24"/>
        </w:rPr>
        <w:t>(j=1,2,3,4)  ,由于当</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p（x</w:t>
      </w:r>
      <w:r>
        <w:rPr>
          <w:rFonts w:hint="eastAsia" w:ascii="宋体" w:hAnsi="宋体" w:eastAsia="宋体" w:cs="宋体"/>
          <w:sz w:val="24"/>
          <w:szCs w:val="24"/>
          <w:vertAlign w:val="subscript"/>
        </w:rPr>
        <w:t>1</w:t>
      </w:r>
      <w:r>
        <w:rPr>
          <w:rFonts w:hint="eastAsia" w:ascii="宋体" w:hAnsi="宋体" w:eastAsia="宋体" w:cs="宋体"/>
          <w:sz w:val="24"/>
          <w:szCs w:val="24"/>
        </w:rPr>
        <w:t>）=p（x</w:t>
      </w:r>
      <w:r>
        <w:rPr>
          <w:rFonts w:hint="eastAsia" w:ascii="宋体" w:hAnsi="宋体" w:eastAsia="宋体" w:cs="宋体"/>
          <w:sz w:val="24"/>
          <w:szCs w:val="24"/>
          <w:vertAlign w:val="subscript"/>
        </w:rPr>
        <w:t>2</w:t>
      </w:r>
      <w:r>
        <w:rPr>
          <w:rFonts w:hint="eastAsia" w:ascii="宋体" w:hAnsi="宋体" w:eastAsia="宋体" w:cs="宋体"/>
          <w:sz w:val="24"/>
          <w:szCs w:val="24"/>
        </w:rPr>
        <w:t>）=p（x</w:t>
      </w:r>
      <w:r>
        <w:rPr>
          <w:rFonts w:hint="eastAsia" w:ascii="宋体" w:hAnsi="宋体" w:eastAsia="宋体" w:cs="宋体"/>
          <w:sz w:val="24"/>
          <w:szCs w:val="24"/>
          <w:vertAlign w:val="subscript"/>
        </w:rPr>
        <w:t>3</w:t>
      </w:r>
      <w:r>
        <w:rPr>
          <w:rFonts w:hint="eastAsia" w:ascii="宋体" w:hAnsi="宋体" w:eastAsia="宋体" w:cs="宋体"/>
          <w:sz w:val="24"/>
          <w:szCs w:val="24"/>
        </w:rPr>
        <w:t>）=…=p（x</w:t>
      </w:r>
      <w:r>
        <w:rPr>
          <w:rFonts w:hint="eastAsia" w:ascii="宋体" w:hAnsi="宋体" w:eastAsia="宋体" w:cs="宋体"/>
          <w:sz w:val="24"/>
          <w:szCs w:val="24"/>
          <w:vertAlign w:val="subscript"/>
        </w:rPr>
        <w:t>n</w:t>
      </w:r>
      <w:r>
        <w:rPr>
          <w:rFonts w:hint="eastAsia" w:ascii="宋体" w:hAnsi="宋体" w:eastAsia="宋体" w:cs="宋体"/>
          <w:sz w:val="24"/>
          <w:szCs w:val="24"/>
        </w:rPr>
        <w:t>）=</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1</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n</m:t>
            </m:r>
            <m:ctrlPr>
              <w:rPr>
                <w:rFonts w:hint="eastAsia" w:ascii="Cambria Math" w:hAnsi="Cambria Math" w:eastAsia="宋体" w:cs="宋体"/>
                <w:i/>
                <w:sz w:val="24"/>
                <w:szCs w:val="24"/>
              </w:rPr>
            </m:ctrlPr>
          </m:den>
        </m:f>
      </m:oMath>
      <w:r>
        <w:rPr>
          <w:rFonts w:hint="eastAsia" w:ascii="宋体" w:hAnsi="宋体" w:eastAsia="宋体" w:cs="宋体"/>
          <w:sz w:val="24"/>
          <w:szCs w:val="24"/>
        </w:rPr>
        <w:t>时，H（x）取最大值，此时H（x）=lnn,这里除以lnn，可使信息熵的值始终位于[0,1]区间内。</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再将熵值转化为权重值：</w:t>
      </w:r>
    </w:p>
    <w:p>
      <w:pPr>
        <w:ind w:firstLine="1920" w:firstLineChars="800"/>
        <w:rPr>
          <w:rFonts w:hint="eastAsia" w:ascii="宋体" w:hAnsi="宋体" w:eastAsia="宋体" w:cs="宋体"/>
          <w:sz w:val="24"/>
          <w:szCs w:val="24"/>
        </w:rPr>
      </w:pPr>
      <w:r>
        <w:rPr>
          <w:rFonts w:hint="eastAsia" w:ascii="宋体" w:hAnsi="宋体" w:eastAsia="宋体" w:cs="宋体"/>
          <w:sz w:val="24"/>
          <w:szCs w:val="24"/>
        </w:rPr>
        <w:t xml:space="preserve">  d</w:t>
      </w:r>
      <w:r>
        <w:rPr>
          <w:rFonts w:hint="eastAsia" w:ascii="宋体" w:hAnsi="宋体" w:eastAsia="宋体" w:cs="宋体"/>
          <w:sz w:val="24"/>
          <w:szCs w:val="24"/>
          <w:vertAlign w:val="subscript"/>
        </w:rPr>
        <w:t>j</w:t>
      </w:r>
      <w:r>
        <w:rPr>
          <w:rFonts w:hint="eastAsia" w:ascii="宋体" w:hAnsi="宋体" w:eastAsia="宋体" w:cs="宋体"/>
          <w:sz w:val="24"/>
          <w:szCs w:val="24"/>
        </w:rPr>
        <w:t>=</w:t>
      </w:r>
      <m:oMath>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1−ej</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m−</m:t>
            </m:r>
            <m:nary>
              <m:naryPr>
                <m:chr m:val="∑"/>
                <m:limLoc m:val="undOvr"/>
                <m:ctrlPr>
                  <w:rPr>
                    <w:rFonts w:hint="eastAsia" w:ascii="Cambria Math" w:hAnsi="Cambria Math" w:eastAsia="宋体" w:cs="宋体"/>
                    <w:i/>
                    <w:sz w:val="24"/>
                    <w:szCs w:val="24"/>
                  </w:rPr>
                </m:ctrlPr>
              </m:naryPr>
              <m:sub>
                <m:r>
                  <m:rPr/>
                  <w:rPr>
                    <w:rFonts w:hint="eastAsia" w:ascii="Cambria Math" w:hAnsi="Cambria Math" w:eastAsia="宋体" w:cs="宋体"/>
                    <w:sz w:val="24"/>
                    <w:szCs w:val="24"/>
                  </w:rPr>
                  <m:t>j=1</m:t>
                </m:r>
                <m:ctrlPr>
                  <w:rPr>
                    <w:rFonts w:hint="eastAsia" w:ascii="Cambria Math" w:hAnsi="Cambria Math" w:eastAsia="宋体" w:cs="宋体"/>
                    <w:i/>
                    <w:sz w:val="24"/>
                    <w:szCs w:val="24"/>
                  </w:rPr>
                </m:ctrlPr>
              </m:sub>
              <m:sup>
                <m:r>
                  <m:rPr/>
                  <w:rPr>
                    <w:rFonts w:hint="eastAsia" w:ascii="Cambria Math" w:hAnsi="Cambria Math" w:eastAsia="宋体" w:cs="宋体"/>
                    <w:sz w:val="24"/>
                    <w:szCs w:val="24"/>
                  </w:rPr>
                  <m:t>m</m:t>
                </m:r>
                <m:ctrlPr>
                  <w:rPr>
                    <w:rFonts w:hint="eastAsia" w:ascii="Cambria Math" w:hAnsi="Cambria Math" w:eastAsia="宋体" w:cs="宋体"/>
                    <w:i/>
                    <w:sz w:val="24"/>
                    <w:szCs w:val="24"/>
                  </w:rPr>
                </m:ctrlPr>
              </m:sup>
              <m:e>
                <m:r>
                  <m:rPr/>
                  <w:rPr>
                    <w:rFonts w:hint="eastAsia" w:ascii="Cambria Math" w:hAnsi="Cambria Math" w:eastAsia="宋体" w:cs="宋体"/>
                    <w:sz w:val="24"/>
                    <w:szCs w:val="24"/>
                  </w:rPr>
                  <m:t>ej</m:t>
                </m:r>
                <m:ctrlPr>
                  <w:rPr>
                    <w:rFonts w:hint="eastAsia" w:ascii="Cambria Math" w:hAnsi="Cambria Math" w:eastAsia="宋体" w:cs="宋体"/>
                    <w:i/>
                    <w:sz w:val="24"/>
                    <w:szCs w:val="24"/>
                  </w:rPr>
                </m:ctrlPr>
              </m:e>
            </m:nary>
            <m:ctrlPr>
              <w:rPr>
                <w:rFonts w:hint="eastAsia" w:ascii="Cambria Math" w:hAnsi="Cambria Math" w:eastAsia="宋体" w:cs="宋体"/>
                <w:i/>
                <w:sz w:val="24"/>
                <w:szCs w:val="24"/>
              </w:rPr>
            </m:ctrlPr>
          </m:den>
        </m:f>
        <m:r>
          <m:rPr/>
          <w:rPr>
            <w:rFonts w:hint="eastAsia" w:ascii="Cambria Math" w:hAnsi="Cambria Math" w:eastAsia="宋体" w:cs="宋体"/>
            <w:sz w:val="24"/>
            <w:szCs w:val="24"/>
          </w:rPr>
          <m:t>，</m:t>
        </m:r>
      </m:oMath>
      <w:r>
        <w:rPr>
          <w:rFonts w:hint="eastAsia" w:ascii="宋体" w:hAnsi="宋体" w:eastAsia="宋体" w:cs="宋体"/>
          <w:sz w:val="24"/>
          <w:szCs w:val="24"/>
        </w:rPr>
        <w:t>（j=1,2,3,4）此式中m=4。经计算可得</w:t>
      </w:r>
    </w:p>
    <w:p>
      <w:pPr>
        <w:ind w:firstLine="1920" w:firstLineChars="800"/>
        <w:rPr>
          <w:rFonts w:hint="eastAsia" w:ascii="宋体" w:hAnsi="宋体" w:eastAsia="宋体" w:cs="宋体"/>
          <w:sz w:val="24"/>
          <w:szCs w:val="24"/>
        </w:rPr>
      </w:pPr>
      <w:r>
        <w:rPr>
          <w:rFonts w:hint="eastAsia" w:ascii="宋体" w:hAnsi="宋体" w:eastAsia="宋体" w:cs="宋体"/>
          <w:sz w:val="24"/>
          <w:szCs w:val="24"/>
        </w:rPr>
        <w:t>d1=0.225，d2=0.269， d3=0.241， d4=0.264</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hint="eastAsia" w:ascii="宋体" w:hAnsi="宋体" w:eastAsia="宋体" w:cs="宋体"/>
                <w:sz w:val="24"/>
                <w:szCs w:val="24"/>
              </w:rPr>
            </w:pPr>
            <w:r>
              <w:rPr>
                <w:rFonts w:hint="eastAsia" w:ascii="宋体" w:hAnsi="宋体" w:eastAsia="宋体" w:cs="宋体"/>
                <w:sz w:val="24"/>
                <w:szCs w:val="24"/>
              </w:rPr>
              <w:t>A</w:t>
            </w:r>
          </w:p>
        </w:tc>
        <w:tc>
          <w:tcPr>
            <w:tcW w:w="2074" w:type="dxa"/>
          </w:tcPr>
          <w:p>
            <w:pPr>
              <w:jc w:val="center"/>
              <w:rPr>
                <w:rFonts w:hint="eastAsia" w:ascii="宋体" w:hAnsi="宋体" w:eastAsia="宋体" w:cs="宋体"/>
                <w:sz w:val="24"/>
                <w:szCs w:val="24"/>
              </w:rPr>
            </w:pPr>
            <w:r>
              <w:rPr>
                <w:rFonts w:hint="eastAsia" w:ascii="宋体" w:hAnsi="宋体" w:eastAsia="宋体" w:cs="宋体"/>
                <w:sz w:val="24"/>
                <w:szCs w:val="24"/>
              </w:rPr>
              <w:t>B</w:t>
            </w:r>
          </w:p>
        </w:tc>
        <w:tc>
          <w:tcPr>
            <w:tcW w:w="2074" w:type="dxa"/>
          </w:tcPr>
          <w:p>
            <w:pPr>
              <w:jc w:val="center"/>
              <w:rPr>
                <w:rFonts w:hint="eastAsia" w:ascii="宋体" w:hAnsi="宋体" w:eastAsia="宋体" w:cs="宋体"/>
                <w:sz w:val="24"/>
                <w:szCs w:val="24"/>
              </w:rPr>
            </w:pPr>
            <w:r>
              <w:rPr>
                <w:rFonts w:hint="eastAsia" w:ascii="宋体" w:hAnsi="宋体" w:eastAsia="宋体" w:cs="宋体"/>
                <w:sz w:val="24"/>
                <w:szCs w:val="24"/>
              </w:rPr>
              <w:t>C</w:t>
            </w:r>
          </w:p>
        </w:tc>
        <w:tc>
          <w:tcPr>
            <w:tcW w:w="2074" w:type="dxa"/>
          </w:tcPr>
          <w:p>
            <w:pPr>
              <w:jc w:val="center"/>
              <w:rPr>
                <w:rFonts w:hint="eastAsia" w:ascii="宋体" w:hAnsi="宋体" w:eastAsia="宋体" w:cs="宋体"/>
                <w:sz w:val="24"/>
                <w:szCs w:val="24"/>
              </w:rPr>
            </w:pPr>
            <w:r>
              <w:rPr>
                <w:rFonts w:hint="eastAsia" w:ascii="宋体" w:hAnsi="宋体" w:eastAsia="宋体" w:cs="宋体"/>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jc w:val="center"/>
              <w:rPr>
                <w:rFonts w:hint="eastAsia" w:ascii="宋体" w:hAnsi="宋体" w:eastAsia="宋体" w:cs="宋体"/>
                <w:sz w:val="24"/>
                <w:szCs w:val="24"/>
              </w:rPr>
            </w:pPr>
            <w:r>
              <w:rPr>
                <w:rFonts w:hint="eastAsia" w:ascii="宋体" w:hAnsi="宋体" w:eastAsia="宋体" w:cs="宋体"/>
                <w:sz w:val="24"/>
                <w:szCs w:val="24"/>
              </w:rPr>
              <w:t>0.225</w:t>
            </w:r>
          </w:p>
        </w:tc>
        <w:tc>
          <w:tcPr>
            <w:tcW w:w="2074" w:type="dxa"/>
          </w:tcPr>
          <w:p>
            <w:pPr>
              <w:jc w:val="center"/>
              <w:rPr>
                <w:rFonts w:hint="eastAsia" w:ascii="宋体" w:hAnsi="宋体" w:eastAsia="宋体" w:cs="宋体"/>
                <w:sz w:val="24"/>
                <w:szCs w:val="24"/>
              </w:rPr>
            </w:pPr>
            <w:r>
              <w:rPr>
                <w:rFonts w:hint="eastAsia" w:ascii="宋体" w:hAnsi="宋体" w:eastAsia="宋体" w:cs="宋体"/>
                <w:sz w:val="24"/>
                <w:szCs w:val="24"/>
              </w:rPr>
              <w:t>0.269</w:t>
            </w:r>
          </w:p>
        </w:tc>
        <w:tc>
          <w:tcPr>
            <w:tcW w:w="2074" w:type="dxa"/>
          </w:tcPr>
          <w:p>
            <w:pPr>
              <w:jc w:val="center"/>
              <w:rPr>
                <w:rFonts w:hint="eastAsia" w:ascii="宋体" w:hAnsi="宋体" w:eastAsia="宋体" w:cs="宋体"/>
                <w:sz w:val="24"/>
                <w:szCs w:val="24"/>
              </w:rPr>
            </w:pPr>
            <w:r>
              <w:rPr>
                <w:rFonts w:hint="eastAsia" w:ascii="宋体" w:hAnsi="宋体" w:eastAsia="宋体" w:cs="宋体"/>
                <w:sz w:val="24"/>
                <w:szCs w:val="24"/>
              </w:rPr>
              <w:t>0.241</w:t>
            </w:r>
          </w:p>
        </w:tc>
        <w:tc>
          <w:tcPr>
            <w:tcW w:w="2074" w:type="dxa"/>
          </w:tcPr>
          <w:p>
            <w:pPr>
              <w:jc w:val="center"/>
              <w:rPr>
                <w:rFonts w:hint="eastAsia" w:ascii="宋体" w:hAnsi="宋体" w:eastAsia="宋体" w:cs="宋体"/>
                <w:sz w:val="24"/>
                <w:szCs w:val="24"/>
              </w:rPr>
            </w:pPr>
            <w:r>
              <w:rPr>
                <w:rFonts w:hint="eastAsia" w:ascii="宋体" w:hAnsi="宋体" w:eastAsia="宋体" w:cs="宋体"/>
                <w:sz w:val="24"/>
                <w:szCs w:val="24"/>
              </w:rPr>
              <w:t>0.264</w:t>
            </w:r>
          </w:p>
        </w:tc>
      </w:tr>
    </w:tbl>
    <w:p>
      <w:pPr>
        <w:pStyle w:val="24"/>
        <w:ind w:left="0" w:leftChars="0" w:firstLine="0" w:firstLineChars="0"/>
        <w:jc w:val="center"/>
        <w:rPr>
          <w:rFonts w:hint="default" w:ascii="黑体" w:hAnsi="黑体" w:eastAsia="黑体" w:cs="黑体"/>
          <w:b/>
          <w:bCs/>
          <w:color w:val="000000"/>
          <w:kern w:val="0"/>
          <w:sz w:val="30"/>
          <w:szCs w:val="30"/>
          <w:lang w:val="en-US" w:eastAsia="zh-CN" w:bidi="ar"/>
        </w:rPr>
      </w:pPr>
    </w:p>
    <w:p>
      <w:pPr>
        <w:pStyle w:val="6"/>
        <w:bidi w:val="0"/>
        <w:rPr>
          <w:rFonts w:hint="eastAsia"/>
          <w:lang w:val="en-US" w:eastAsia="zh-CN"/>
        </w:rPr>
      </w:pPr>
      <w:r>
        <w:rPr>
          <w:rFonts w:hint="eastAsia"/>
          <w:lang w:val="en-US" w:eastAsia="zh-CN"/>
        </w:rPr>
        <w:t>5.2.1.4 分级标准制定</w:t>
      </w:r>
    </w:p>
    <w:p>
      <w:pPr>
        <w:rPr>
          <w:rFonts w:hint="eastAsia" w:ascii="宋体" w:hAnsi="宋体" w:eastAsia="宋体" w:cs="宋体"/>
          <w:sz w:val="24"/>
          <w:szCs w:val="24"/>
        </w:rPr>
      </w:pPr>
      <w:r>
        <w:rPr>
          <w:rFonts w:hint="eastAsia" w:ascii="宋体" w:hAnsi="宋体" w:eastAsia="宋体" w:cs="宋体"/>
          <w:sz w:val="24"/>
          <w:szCs w:val="24"/>
        </w:rPr>
        <w:t>我们首先对附录数据中随访结果中的术后TNM数值进行分类，由于给出的数据中TNM值大多集中在0到4，于是将TNM为0到4的病人数据随机取样，每一等级取三人。再将对应病人的四种评价指标数据化后得到如下表格：</w:t>
      </w:r>
    </w:p>
    <w:p>
      <w:pPr>
        <w:jc w:val="center"/>
        <w:rPr>
          <w:rFonts w:hint="eastAsia" w:ascii="宋体" w:hAnsi="宋体" w:eastAsia="宋体" w:cs="宋体"/>
          <w:sz w:val="24"/>
          <w:szCs w:val="24"/>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382"/>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术后TNM值</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A（0.225）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B（0.269）</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C（0.241）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D（0.264）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restart"/>
          </w:tcPr>
          <w:p>
            <w:pPr>
              <w:jc w:val="both"/>
              <w:rPr>
                <w:rFonts w:hint="eastAsia" w:ascii="宋体" w:hAnsi="宋体" w:eastAsia="宋体" w:cs="宋体"/>
                <w:sz w:val="24"/>
                <w:szCs w:val="24"/>
              </w:rPr>
            </w:pPr>
            <w:r>
              <w:rPr>
                <w:rFonts w:hint="eastAsia" w:ascii="宋体" w:hAnsi="宋体" w:eastAsia="宋体" w:cs="宋体"/>
                <w:sz w:val="24"/>
                <w:szCs w:val="24"/>
              </w:rPr>
              <w:t>0</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2</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2</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2</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restart"/>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restart"/>
          </w:tcPr>
          <w:p>
            <w:pPr>
              <w:jc w:val="both"/>
              <w:rPr>
                <w:rFonts w:hint="eastAsia" w:ascii="宋体" w:hAnsi="宋体" w:eastAsia="宋体" w:cs="宋体"/>
                <w:sz w:val="24"/>
                <w:szCs w:val="24"/>
              </w:rPr>
            </w:pPr>
            <w:r>
              <w:rPr>
                <w:rFonts w:hint="eastAsia" w:ascii="宋体" w:hAnsi="宋体" w:eastAsia="宋体" w:cs="宋体"/>
                <w:sz w:val="24"/>
                <w:szCs w:val="24"/>
              </w:rPr>
              <w:t>2</w:t>
            </w:r>
          </w:p>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restart"/>
          </w:tcPr>
          <w:p>
            <w:pPr>
              <w:jc w:val="both"/>
              <w:rPr>
                <w:rFonts w:hint="eastAsia" w:ascii="宋体" w:hAnsi="宋体" w:eastAsia="宋体" w:cs="宋体"/>
                <w:sz w:val="24"/>
                <w:szCs w:val="24"/>
              </w:rPr>
            </w:pPr>
            <w:r>
              <w:rPr>
                <w:rFonts w:hint="eastAsia" w:ascii="宋体" w:hAnsi="宋体" w:eastAsia="宋体" w:cs="宋体"/>
                <w:sz w:val="24"/>
                <w:szCs w:val="24"/>
              </w:rPr>
              <w:t>3</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6</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restart"/>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6</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6</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382" w:type="dxa"/>
            <w:vMerge w:val="continue"/>
          </w:tcPr>
          <w:p>
            <w:pPr>
              <w:jc w:val="both"/>
              <w:rPr>
                <w:rFonts w:hint="eastAsia" w:ascii="宋体" w:hAnsi="宋体" w:eastAsia="宋体" w:cs="宋体"/>
                <w:sz w:val="24"/>
                <w:szCs w:val="24"/>
              </w:rPr>
            </w:pPr>
          </w:p>
        </w:tc>
        <w:tc>
          <w:tcPr>
            <w:tcW w:w="1382" w:type="dxa"/>
          </w:tcPr>
          <w:p>
            <w:pPr>
              <w:jc w:val="both"/>
              <w:rPr>
                <w:rFonts w:hint="eastAsia" w:ascii="宋体" w:hAnsi="宋体" w:eastAsia="宋体" w:cs="宋体"/>
                <w:sz w:val="24"/>
                <w:szCs w:val="24"/>
              </w:rPr>
            </w:pPr>
            <w:r>
              <w:rPr>
                <w:rFonts w:hint="eastAsia" w:ascii="宋体" w:hAnsi="宋体" w:eastAsia="宋体" w:cs="宋体"/>
                <w:sz w:val="24"/>
                <w:szCs w:val="24"/>
              </w:rPr>
              <w:t>1</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5</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4</w:t>
            </w:r>
          </w:p>
        </w:tc>
        <w:tc>
          <w:tcPr>
            <w:tcW w:w="1383" w:type="dxa"/>
          </w:tcPr>
          <w:p>
            <w:pPr>
              <w:jc w:val="both"/>
              <w:rPr>
                <w:rFonts w:hint="eastAsia" w:ascii="宋体" w:hAnsi="宋体" w:eastAsia="宋体" w:cs="宋体"/>
                <w:sz w:val="24"/>
                <w:szCs w:val="24"/>
              </w:rPr>
            </w:pPr>
            <w:r>
              <w:rPr>
                <w:rFonts w:hint="eastAsia" w:ascii="宋体" w:hAnsi="宋体" w:eastAsia="宋体" w:cs="宋体"/>
                <w:sz w:val="24"/>
                <w:szCs w:val="24"/>
              </w:rPr>
              <w:t>9</w:t>
            </w:r>
          </w:p>
        </w:tc>
      </w:tr>
    </w:tbl>
    <w:p>
      <w:pPr>
        <w:jc w:val="cente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表中括号为权重，指标A为化疗方案，我们选取用同一化疗方案的病人。</w:t>
      </w:r>
    </w:p>
    <w:p>
      <w:pPr>
        <w:rPr>
          <w:rFonts w:hint="eastAsia" w:ascii="宋体" w:hAnsi="宋体" w:eastAsia="宋体" w:cs="宋体"/>
          <w:sz w:val="24"/>
          <w:szCs w:val="24"/>
        </w:rPr>
      </w:pPr>
      <w:r>
        <w:rPr>
          <w:rFonts w:hint="eastAsia" w:ascii="宋体" w:hAnsi="宋体" w:eastAsia="宋体" w:cs="宋体"/>
          <w:sz w:val="24"/>
          <w:szCs w:val="24"/>
        </w:rPr>
        <w:t>对以上数据权重求和得到LRG的一个粗略范围区间，但在数据足够多的情况下，我们可以得到一个连续的分级区间，通过样本数据及调查结果可大致拟合出一个LRG的分级区间如下：</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区间</w:t>
            </w:r>
          </w:p>
        </w:tc>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LRG等级</w:t>
            </w:r>
          </w:p>
        </w:tc>
        <w:tc>
          <w:tcPr>
            <w:tcW w:w="2766" w:type="dxa"/>
          </w:tcPr>
          <w:p>
            <w:pPr>
              <w:jc w:val="center"/>
              <w:rPr>
                <w:rFonts w:hint="eastAsia" w:ascii="宋体" w:hAnsi="宋体" w:eastAsia="宋体" w:cs="宋体"/>
                <w:sz w:val="24"/>
                <w:szCs w:val="24"/>
              </w:rPr>
            </w:pPr>
            <w:r>
              <w:rPr>
                <w:rFonts w:hint="eastAsia" w:ascii="宋体" w:hAnsi="宋体" w:eastAsia="宋体" w:cs="宋体"/>
                <w:sz w:val="24"/>
                <w:szCs w:val="24"/>
              </w:rPr>
              <w:t>身体健康指数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1.7~2.6</w:t>
            </w:r>
          </w:p>
        </w:tc>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2766" w:type="dxa"/>
          </w:tcPr>
          <w:p>
            <w:pPr>
              <w:jc w:val="center"/>
              <w:rPr>
                <w:rFonts w:hint="eastAsia" w:ascii="宋体" w:hAnsi="宋体" w:eastAsia="宋体" w:cs="宋体"/>
                <w:sz w:val="24"/>
                <w:szCs w:val="24"/>
              </w:rPr>
            </w:pP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2.6~3.2</w:t>
            </w:r>
          </w:p>
        </w:tc>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2766" w:type="dxa"/>
          </w:tcPr>
          <w:p>
            <w:pPr>
              <w:jc w:val="center"/>
              <w:rPr>
                <w:rFonts w:hint="eastAsia" w:ascii="宋体" w:hAnsi="宋体" w:eastAsia="宋体" w:cs="宋体"/>
                <w:sz w:val="24"/>
                <w:szCs w:val="24"/>
              </w:rPr>
            </w:pP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3.2~4.4</w:t>
            </w:r>
          </w:p>
        </w:tc>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2766" w:type="dxa"/>
          </w:tcPr>
          <w:p>
            <w:pPr>
              <w:jc w:val="center"/>
              <w:rPr>
                <w:rFonts w:hint="eastAsia" w:ascii="宋体" w:hAnsi="宋体" w:eastAsia="宋体" w:cs="宋体"/>
                <w:sz w:val="24"/>
                <w:szCs w:val="24"/>
              </w:rPr>
            </w:pP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4.4~5.2</w:t>
            </w:r>
          </w:p>
        </w:tc>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4</w:t>
            </w:r>
          </w:p>
        </w:tc>
        <w:tc>
          <w:tcPr>
            <w:tcW w:w="2766" w:type="dxa"/>
          </w:tcPr>
          <w:p>
            <w:pPr>
              <w:jc w:val="center"/>
              <w:rPr>
                <w:rFonts w:hint="eastAsia" w:ascii="宋体" w:hAnsi="宋体" w:eastAsia="宋体" w:cs="宋体"/>
                <w:sz w:val="24"/>
                <w:szCs w:val="24"/>
              </w:rPr>
            </w:pP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5.2~6.5</w:t>
            </w:r>
          </w:p>
        </w:tc>
        <w:tc>
          <w:tcPr>
            <w:tcW w:w="2765" w:type="dxa"/>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2766" w:type="dxa"/>
          </w:tcPr>
          <w:p>
            <w:pPr>
              <w:jc w:val="center"/>
              <w:rPr>
                <w:rFonts w:hint="eastAsia" w:ascii="宋体" w:hAnsi="宋体" w:eastAsia="宋体" w:cs="宋体"/>
                <w:sz w:val="24"/>
                <w:szCs w:val="24"/>
              </w:rPr>
            </w:pPr>
            <w:r>
              <w:rPr>
                <w:rFonts w:hint="eastAsia" w:ascii="宋体" w:hAnsi="宋体" w:eastAsia="宋体" w:cs="宋体"/>
                <w:sz w:val="24"/>
                <w:szCs w:val="24"/>
              </w:rPr>
              <w:t>*</w:t>
            </w:r>
          </w:p>
        </w:tc>
      </w:tr>
    </w:tbl>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即得到了分级标准。有了此标准，我们可通过放疗野的评价指标来得到相应的淋巴消退分级，进而对后一步的手术或处理措施进行预测。</w:t>
      </w:r>
    </w:p>
    <w:p>
      <w:pPr>
        <w:rPr>
          <w:rFonts w:hint="eastAsia" w:ascii="宋体" w:hAnsi="宋体" w:eastAsia="宋体" w:cs="宋体"/>
          <w:sz w:val="24"/>
          <w:szCs w:val="24"/>
        </w:rPr>
      </w:pPr>
    </w:p>
    <w:p>
      <w:pPr>
        <w:pStyle w:val="4"/>
        <w:bidi w:val="0"/>
        <w:outlineLvl w:val="1"/>
        <w:rPr>
          <w:rFonts w:hint="eastAsia"/>
          <w:lang w:val="en-US" w:eastAsia="zh-CN"/>
        </w:rPr>
      </w:pPr>
      <w:bookmarkStart w:id="78" w:name="_Toc17919"/>
      <w:bookmarkStart w:id="79" w:name="_Toc12481"/>
      <w:r>
        <w:rPr>
          <w:rFonts w:hint="eastAsia"/>
          <w:lang w:val="en-US" w:eastAsia="zh-CN"/>
        </w:rPr>
        <w:t>5.3 问题三的模型建立与求解</w:t>
      </w:r>
      <w:bookmarkEnd w:id="78"/>
      <w:bookmarkEnd w:id="79"/>
    </w:p>
    <w:p>
      <w:pPr>
        <w:pStyle w:val="5"/>
        <w:bidi w:val="0"/>
        <w:rPr>
          <w:rFonts w:hint="eastAsia"/>
        </w:rPr>
      </w:pPr>
      <w:r>
        <w:rPr>
          <w:rFonts w:hint="eastAsia"/>
          <w:lang w:val="en-US" w:eastAsia="zh-CN"/>
        </w:rPr>
        <w:t xml:space="preserve">5.3.1 </w:t>
      </w:r>
      <w:r>
        <w:rPr>
          <w:rFonts w:hint="eastAsia"/>
        </w:rPr>
        <w:t>Spearman秩相关检验</w:t>
      </w:r>
    </w:p>
    <w:p>
      <w:pPr>
        <w:rPr>
          <w:rFonts w:hint="eastAsia" w:ascii="宋体" w:hAnsi="宋体" w:eastAsia="宋体" w:cs="宋体"/>
          <w:sz w:val="24"/>
          <w:szCs w:val="24"/>
        </w:rPr>
      </w:pPr>
      <w:r>
        <w:rPr>
          <w:rFonts w:hint="eastAsia" w:ascii="宋体" w:hAnsi="宋体" w:eastAsia="宋体" w:cs="宋体"/>
          <w:sz w:val="24"/>
          <w:szCs w:val="24"/>
        </w:rPr>
        <w:t>鉴于TRG和LRG均为分类变量，所以为了讨论两者关系，采用Spearman秩相关检验研究其相关性。</w:t>
      </w:r>
    </w:p>
    <w:p>
      <w:pPr>
        <w:rPr>
          <w:rFonts w:hint="eastAsia" w:ascii="宋体" w:hAnsi="宋体" w:eastAsia="宋体" w:cs="宋体"/>
          <w:sz w:val="24"/>
          <w:szCs w:val="24"/>
        </w:rPr>
      </w:pPr>
      <w:r>
        <w:rPr>
          <w:rFonts w:hint="eastAsia" w:ascii="宋体" w:hAnsi="宋体" w:eastAsia="宋体" w:cs="宋体"/>
          <w:sz w:val="24"/>
          <w:szCs w:val="24"/>
        </w:rPr>
        <w:t>利用问题二中所提出的淋巴结消退分级模型，我们根据术前数据对随机30名患者进行LRG的预测，得到如下表：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1"/>
        <w:gridCol w:w="1441"/>
        <w:gridCol w:w="1290"/>
        <w:gridCol w:w="1382"/>
        <w:gridCol w:w="1441"/>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编号</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LRG</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TRG</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编号</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LRG</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TRG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16</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17</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18</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4</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19</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20</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6</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21</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7</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22</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8</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23</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9</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24</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25</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4</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11</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26</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12</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27</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13</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28</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14</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1</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29</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81" w:type="dxa"/>
          </w:tcPr>
          <w:p>
            <w:pPr>
              <w:jc w:val="center"/>
              <w:rPr>
                <w:rFonts w:hint="eastAsia" w:ascii="宋体" w:hAnsi="宋体" w:eastAsia="宋体" w:cs="宋体"/>
                <w:sz w:val="24"/>
                <w:szCs w:val="24"/>
              </w:rPr>
            </w:pPr>
            <w:r>
              <w:rPr>
                <w:rFonts w:hint="eastAsia" w:ascii="宋体" w:hAnsi="宋体" w:eastAsia="宋体" w:cs="宋体"/>
                <w:sz w:val="24"/>
                <w:szCs w:val="24"/>
              </w:rPr>
              <w:t>15</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290" w:type="dxa"/>
            <w:tcBorders>
              <w:righ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1382" w:type="dxa"/>
            <w:tcBorders>
              <w:left w:val="single" w:color="auto" w:sz="12" w:space="0"/>
            </w:tcBorders>
          </w:tcPr>
          <w:p>
            <w:pPr>
              <w:jc w:val="center"/>
              <w:rPr>
                <w:rFonts w:hint="eastAsia" w:ascii="宋体" w:hAnsi="宋体" w:eastAsia="宋体" w:cs="宋体"/>
                <w:sz w:val="24"/>
                <w:szCs w:val="24"/>
              </w:rPr>
            </w:pPr>
            <w:r>
              <w:rPr>
                <w:rFonts w:hint="eastAsia" w:ascii="宋体" w:hAnsi="宋体" w:eastAsia="宋体" w:cs="宋体"/>
                <w:sz w:val="24"/>
                <w:szCs w:val="24"/>
              </w:rPr>
              <w:t>30</w:t>
            </w:r>
          </w:p>
        </w:tc>
        <w:tc>
          <w:tcPr>
            <w:tcW w:w="1441" w:type="dxa"/>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1361" w:type="dxa"/>
          </w:tcPr>
          <w:p>
            <w:pPr>
              <w:jc w:val="center"/>
              <w:rPr>
                <w:rFonts w:hint="eastAsia" w:ascii="宋体" w:hAnsi="宋体" w:eastAsia="宋体" w:cs="宋体"/>
                <w:sz w:val="24"/>
                <w:szCs w:val="24"/>
              </w:rPr>
            </w:pPr>
            <w:r>
              <w:rPr>
                <w:rFonts w:hint="eastAsia" w:ascii="宋体" w:hAnsi="宋体" w:eastAsia="宋体" w:cs="宋体"/>
                <w:sz w:val="24"/>
                <w:szCs w:val="24"/>
              </w:rPr>
              <w:t>2</w:t>
            </w:r>
          </w:p>
        </w:tc>
      </w:tr>
    </w:tbl>
    <w:p>
      <w:pPr>
        <w:rPr>
          <w:rFonts w:hint="eastAsia" w:ascii="宋体" w:hAnsi="宋体" w:eastAsia="宋体" w:cs="宋体"/>
          <w:sz w:val="24"/>
          <w:szCs w:val="24"/>
        </w:rPr>
      </w:pPr>
      <w:r>
        <w:rPr>
          <w:rFonts w:hint="eastAsia" w:ascii="宋体" w:hAnsi="宋体" w:eastAsia="宋体" w:cs="宋体"/>
          <w:sz w:val="24"/>
          <w:szCs w:val="24"/>
        </w:rPr>
        <w:t>带入SPSS进行Spearman秩相关分析，得到结果如下</w:t>
      </w:r>
    </w:p>
    <w:p>
      <w:pPr>
        <w:autoSpaceDE w:val="0"/>
        <w:autoSpaceDN w:val="0"/>
        <w:adjustRightInd w:val="0"/>
        <w:jc w:val="left"/>
        <w:rPr>
          <w:rFonts w:hint="eastAsia" w:ascii="宋体" w:hAnsi="宋体" w:eastAsia="宋体" w:cs="宋体"/>
          <w:kern w:val="0"/>
          <w:sz w:val="24"/>
          <w:szCs w:val="24"/>
        </w:rPr>
      </w:pPr>
    </w:p>
    <w:tbl>
      <w:tblPr>
        <w:tblStyle w:val="10"/>
        <w:tblW w:w="558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29"/>
        <w:gridCol w:w="738"/>
        <w:gridCol w:w="1353"/>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76" w:type="dxa"/>
            <w:gridSpan w:val="5"/>
            <w:tcBorders>
              <w:top w:val="nil"/>
              <w:left w:val="nil"/>
              <w:bottom w:val="nil"/>
              <w:right w:val="nil"/>
            </w:tcBorders>
            <w:shd w:val="clear" w:color="auto" w:fill="FFFFFF"/>
            <w:vAlign w:val="center"/>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b/>
                <w:bCs/>
                <w:color w:val="010205"/>
                <w:kern w:val="0"/>
                <w:sz w:val="24"/>
                <w:szCs w:val="24"/>
              </w:rPr>
              <w:t>相关性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3518" w:type="dxa"/>
            <w:gridSpan w:val="3"/>
            <w:tcBorders>
              <w:top w:val="nil"/>
              <w:left w:val="nil"/>
              <w:bottom w:val="single" w:color="152935" w:sz="8" w:space="0"/>
              <w:right w:val="nil"/>
            </w:tcBorders>
            <w:shd w:val="clear" w:color="auto" w:fill="FFFFFF"/>
            <w:vAlign w:val="bottom"/>
          </w:tcPr>
          <w:p>
            <w:pPr>
              <w:autoSpaceDE w:val="0"/>
              <w:autoSpaceDN w:val="0"/>
              <w:adjustRightInd w:val="0"/>
              <w:jc w:val="center"/>
              <w:rPr>
                <w:rFonts w:hint="eastAsia" w:ascii="宋体" w:hAnsi="宋体" w:eastAsia="宋体" w:cs="宋体"/>
                <w:kern w:val="0"/>
                <w:sz w:val="24"/>
                <w:szCs w:val="24"/>
              </w:rPr>
            </w:pPr>
          </w:p>
        </w:tc>
        <w:tc>
          <w:tcPr>
            <w:tcW w:w="1029" w:type="dxa"/>
            <w:tcBorders>
              <w:top w:val="nil"/>
              <w:left w:val="nil"/>
              <w:bottom w:val="single" w:color="152935" w:sz="8" w:space="0"/>
              <w:right w:val="single" w:color="E0E0E0" w:sz="8" w:space="0"/>
            </w:tcBorders>
            <w:shd w:val="clear" w:color="auto" w:fill="FFFFFF"/>
            <w:vAlign w:val="bottom"/>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LRG</w:t>
            </w:r>
          </w:p>
        </w:tc>
        <w:tc>
          <w:tcPr>
            <w:tcW w:w="1029" w:type="dxa"/>
            <w:tcBorders>
              <w:top w:val="nil"/>
              <w:left w:val="single" w:color="E0E0E0" w:sz="8" w:space="0"/>
              <w:bottom w:val="single" w:color="152935" w:sz="8" w:space="0"/>
              <w:right w:val="nil"/>
            </w:tcBorders>
            <w:shd w:val="clear" w:color="auto" w:fill="FFFFFF"/>
            <w:vAlign w:val="bottom"/>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TRG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restart"/>
            <w:tcBorders>
              <w:top w:val="single" w:color="152935"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斯皮尔曼 Rho</w:t>
            </w:r>
          </w:p>
        </w:tc>
        <w:tc>
          <w:tcPr>
            <w:tcW w:w="737" w:type="dxa"/>
            <w:vMerge w:val="restart"/>
            <w:tcBorders>
              <w:top w:val="single" w:color="152935" w:sz="8" w:space="0"/>
              <w:left w:val="nil"/>
              <w:bottom w:val="nil"/>
              <w:right w:val="nil"/>
            </w:tcBorders>
            <w:shd w:val="clear" w:color="auto" w:fill="E0E0E0"/>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LRG</w:t>
            </w:r>
          </w:p>
        </w:tc>
        <w:tc>
          <w:tcPr>
            <w:tcW w:w="1352" w:type="dxa"/>
            <w:tcBorders>
              <w:top w:val="single" w:color="152935"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相关系数</w:t>
            </w:r>
          </w:p>
        </w:tc>
        <w:tc>
          <w:tcPr>
            <w:tcW w:w="1029" w:type="dxa"/>
            <w:tcBorders>
              <w:top w:val="single" w:color="152935"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1.000</w:t>
            </w:r>
          </w:p>
        </w:tc>
        <w:tc>
          <w:tcPr>
            <w:tcW w:w="1029" w:type="dxa"/>
            <w:tcBorders>
              <w:top w:val="single" w:color="152935"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.415</w:t>
            </w:r>
            <w:r>
              <w:rPr>
                <w:rFonts w:hint="eastAsia" w:ascii="宋体" w:hAnsi="宋体" w:eastAsia="宋体" w:cs="宋体"/>
                <w:color w:val="010205"/>
                <w:kern w:val="0"/>
                <w:sz w:val="24"/>
                <w:szCs w:val="24"/>
                <w:vertAlign w:val="superscript"/>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hint="eastAsia" w:ascii="宋体" w:hAnsi="宋体" w:eastAsia="宋体" w:cs="宋体"/>
                <w:color w:val="010205"/>
                <w:kern w:val="0"/>
                <w:sz w:val="24"/>
                <w:szCs w:val="24"/>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hint="eastAsia" w:ascii="宋体" w:hAnsi="宋体" w:eastAsia="宋体" w:cs="宋体"/>
                <w:color w:val="010205"/>
                <w:kern w:val="0"/>
                <w:sz w:val="24"/>
                <w:szCs w:val="24"/>
              </w:rPr>
            </w:pPr>
          </w:p>
        </w:tc>
        <w:tc>
          <w:tcPr>
            <w:tcW w:w="1352"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Sig.（双尾）</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hint="eastAsia" w:ascii="宋体" w:hAnsi="宋体" w:eastAsia="宋体" w:cs="宋体"/>
                <w:color w:val="010205"/>
                <w:kern w:val="0"/>
                <w:sz w:val="24"/>
                <w:szCs w:val="24"/>
              </w:rPr>
            </w:pPr>
          </w:p>
        </w:tc>
        <w:tc>
          <w:tcPr>
            <w:tcW w:w="737" w:type="dxa"/>
            <w:vMerge w:val="continue"/>
            <w:tcBorders>
              <w:top w:val="single" w:color="152935" w:sz="8" w:space="0"/>
              <w:left w:val="nil"/>
              <w:bottom w:val="nil"/>
              <w:right w:val="nil"/>
            </w:tcBorders>
            <w:shd w:val="clear" w:color="auto" w:fill="E0E0E0"/>
          </w:tcPr>
          <w:p>
            <w:pPr>
              <w:autoSpaceDE w:val="0"/>
              <w:autoSpaceDN w:val="0"/>
              <w:adjustRightInd w:val="0"/>
              <w:jc w:val="center"/>
              <w:rPr>
                <w:rFonts w:hint="eastAsia" w:ascii="宋体" w:hAnsi="宋体" w:eastAsia="宋体" w:cs="宋体"/>
                <w:color w:val="010205"/>
                <w:kern w:val="0"/>
                <w:sz w:val="24"/>
                <w:szCs w:val="24"/>
              </w:rPr>
            </w:pPr>
          </w:p>
        </w:tc>
        <w:tc>
          <w:tcPr>
            <w:tcW w:w="1352" w:type="dxa"/>
            <w:tcBorders>
              <w:top w:val="single" w:color="AEAEAE" w:sz="8" w:space="0"/>
              <w:left w:val="nil"/>
              <w:bottom w:val="nil"/>
              <w:right w:val="nil"/>
            </w:tcBorders>
            <w:shd w:val="clear" w:color="auto" w:fill="E0E0E0"/>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N</w:t>
            </w:r>
          </w:p>
        </w:tc>
        <w:tc>
          <w:tcPr>
            <w:tcW w:w="1029" w:type="dxa"/>
            <w:tcBorders>
              <w:top w:val="single" w:color="AEAEAE" w:sz="8" w:space="0"/>
              <w:left w:val="nil"/>
              <w:bottom w:val="nil"/>
              <w:right w:val="single" w:color="E0E0E0" w:sz="8" w:space="0"/>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30</w:t>
            </w:r>
          </w:p>
        </w:tc>
        <w:tc>
          <w:tcPr>
            <w:tcW w:w="1029" w:type="dxa"/>
            <w:tcBorders>
              <w:top w:val="single" w:color="AEAEAE" w:sz="8" w:space="0"/>
              <w:left w:val="single" w:color="E0E0E0" w:sz="8" w:space="0"/>
              <w:bottom w:val="nil"/>
              <w:right w:val="nil"/>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hint="eastAsia" w:ascii="宋体" w:hAnsi="宋体" w:eastAsia="宋体" w:cs="宋体"/>
                <w:color w:val="010205"/>
                <w:kern w:val="0"/>
                <w:sz w:val="24"/>
                <w:szCs w:val="24"/>
              </w:rPr>
            </w:pPr>
          </w:p>
        </w:tc>
        <w:tc>
          <w:tcPr>
            <w:tcW w:w="737" w:type="dxa"/>
            <w:vMerge w:val="restart"/>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TRG</w:t>
            </w:r>
          </w:p>
        </w:tc>
        <w:tc>
          <w:tcPr>
            <w:tcW w:w="1352"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相关系数</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.415</w:t>
            </w:r>
            <w:r>
              <w:rPr>
                <w:rFonts w:hint="eastAsia" w:ascii="宋体" w:hAnsi="宋体" w:eastAsia="宋体" w:cs="宋体"/>
                <w:color w:val="010205"/>
                <w:kern w:val="0"/>
                <w:sz w:val="24"/>
                <w:szCs w:val="24"/>
                <w:vertAlign w:val="superscript"/>
              </w:rPr>
              <w:t>*</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hint="eastAsia" w:ascii="宋体" w:hAnsi="宋体" w:eastAsia="宋体" w:cs="宋体"/>
                <w:color w:val="010205"/>
                <w:kern w:val="0"/>
                <w:sz w:val="24"/>
                <w:szCs w:val="24"/>
              </w:rPr>
            </w:pPr>
          </w:p>
        </w:tc>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hint="eastAsia" w:ascii="宋体" w:hAnsi="宋体" w:eastAsia="宋体" w:cs="宋体"/>
                <w:color w:val="010205"/>
                <w:kern w:val="0"/>
                <w:sz w:val="24"/>
                <w:szCs w:val="24"/>
              </w:rPr>
            </w:pPr>
          </w:p>
        </w:tc>
        <w:tc>
          <w:tcPr>
            <w:tcW w:w="1352" w:type="dxa"/>
            <w:tcBorders>
              <w:top w:val="single" w:color="AEAEAE" w:sz="8" w:space="0"/>
              <w:left w:val="nil"/>
              <w:bottom w:val="single" w:color="AEAEAE" w:sz="8" w:space="0"/>
              <w:right w:val="nil"/>
            </w:tcBorders>
            <w:shd w:val="clear" w:color="auto" w:fill="E0E0E0"/>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Sig.（双尾）</w:t>
            </w:r>
          </w:p>
        </w:tc>
        <w:tc>
          <w:tcPr>
            <w:tcW w:w="1029" w:type="dxa"/>
            <w:tcBorders>
              <w:top w:val="single" w:color="AEAEAE" w:sz="8" w:space="0"/>
              <w:left w:val="nil"/>
              <w:bottom w:val="single" w:color="AEAEAE" w:sz="8" w:space="0"/>
              <w:right w:val="single" w:color="E0E0E0" w:sz="8" w:space="0"/>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.023</w:t>
            </w:r>
          </w:p>
        </w:tc>
        <w:tc>
          <w:tcPr>
            <w:tcW w:w="1029" w:type="dxa"/>
            <w:tcBorders>
              <w:top w:val="single" w:color="AEAEAE" w:sz="8" w:space="0"/>
              <w:left w:val="single" w:color="E0E0E0" w:sz="8" w:space="0"/>
              <w:bottom w:val="single" w:color="AEAEAE" w:sz="8" w:space="0"/>
              <w:right w:val="nil"/>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1429" w:type="dxa"/>
            <w:vMerge w:val="continue"/>
            <w:tcBorders>
              <w:top w:val="single" w:color="152935" w:sz="8" w:space="0"/>
              <w:left w:val="nil"/>
              <w:bottom w:val="single" w:color="152935" w:sz="8" w:space="0"/>
              <w:right w:val="nil"/>
            </w:tcBorders>
            <w:shd w:val="clear" w:color="auto" w:fill="E0E0E0"/>
          </w:tcPr>
          <w:p>
            <w:pPr>
              <w:autoSpaceDE w:val="0"/>
              <w:autoSpaceDN w:val="0"/>
              <w:adjustRightInd w:val="0"/>
              <w:jc w:val="center"/>
              <w:rPr>
                <w:rFonts w:hint="eastAsia" w:ascii="宋体" w:hAnsi="宋体" w:eastAsia="宋体" w:cs="宋体"/>
                <w:color w:val="010205"/>
                <w:kern w:val="0"/>
                <w:sz w:val="24"/>
                <w:szCs w:val="24"/>
              </w:rPr>
            </w:pPr>
          </w:p>
        </w:tc>
        <w:tc>
          <w:tcPr>
            <w:tcW w:w="737" w:type="dxa"/>
            <w:vMerge w:val="continue"/>
            <w:tcBorders>
              <w:top w:val="single" w:color="AEAEAE" w:sz="8" w:space="0"/>
              <w:left w:val="nil"/>
              <w:bottom w:val="single" w:color="152935" w:sz="8" w:space="0"/>
              <w:right w:val="nil"/>
            </w:tcBorders>
            <w:shd w:val="clear" w:color="auto" w:fill="E0E0E0"/>
          </w:tcPr>
          <w:p>
            <w:pPr>
              <w:autoSpaceDE w:val="0"/>
              <w:autoSpaceDN w:val="0"/>
              <w:adjustRightInd w:val="0"/>
              <w:jc w:val="center"/>
              <w:rPr>
                <w:rFonts w:hint="eastAsia" w:ascii="宋体" w:hAnsi="宋体" w:eastAsia="宋体" w:cs="宋体"/>
                <w:color w:val="010205"/>
                <w:kern w:val="0"/>
                <w:sz w:val="24"/>
                <w:szCs w:val="24"/>
              </w:rPr>
            </w:pPr>
          </w:p>
        </w:tc>
        <w:tc>
          <w:tcPr>
            <w:tcW w:w="1352" w:type="dxa"/>
            <w:tcBorders>
              <w:top w:val="single" w:color="AEAEAE" w:sz="8" w:space="0"/>
              <w:left w:val="nil"/>
              <w:bottom w:val="single" w:color="152935" w:sz="8" w:space="0"/>
              <w:right w:val="nil"/>
            </w:tcBorders>
            <w:shd w:val="clear" w:color="auto" w:fill="E0E0E0"/>
          </w:tcPr>
          <w:p>
            <w:pPr>
              <w:autoSpaceDE w:val="0"/>
              <w:autoSpaceDN w:val="0"/>
              <w:adjustRightInd w:val="0"/>
              <w:spacing w:line="320" w:lineRule="atLeast"/>
              <w:ind w:left="60" w:right="60"/>
              <w:jc w:val="center"/>
              <w:rPr>
                <w:rFonts w:hint="eastAsia" w:ascii="宋体" w:hAnsi="宋体" w:eastAsia="宋体" w:cs="宋体"/>
                <w:color w:val="264A60"/>
                <w:kern w:val="0"/>
                <w:sz w:val="24"/>
                <w:szCs w:val="24"/>
              </w:rPr>
            </w:pPr>
            <w:r>
              <w:rPr>
                <w:rFonts w:hint="eastAsia" w:ascii="宋体" w:hAnsi="宋体" w:eastAsia="宋体" w:cs="宋体"/>
                <w:color w:val="264A60"/>
                <w:kern w:val="0"/>
                <w:sz w:val="24"/>
                <w:szCs w:val="24"/>
              </w:rPr>
              <w:t>N</w:t>
            </w:r>
          </w:p>
        </w:tc>
        <w:tc>
          <w:tcPr>
            <w:tcW w:w="1029" w:type="dxa"/>
            <w:tcBorders>
              <w:top w:val="single" w:color="AEAEAE" w:sz="8" w:space="0"/>
              <w:left w:val="nil"/>
              <w:bottom w:val="single" w:color="152935" w:sz="8" w:space="0"/>
              <w:right w:val="single" w:color="E0E0E0" w:sz="8" w:space="0"/>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30</w:t>
            </w:r>
          </w:p>
        </w:tc>
        <w:tc>
          <w:tcPr>
            <w:tcW w:w="1029" w:type="dxa"/>
            <w:tcBorders>
              <w:top w:val="single" w:color="AEAEAE" w:sz="8" w:space="0"/>
              <w:left w:val="single" w:color="E0E0E0" w:sz="8" w:space="0"/>
              <w:bottom w:val="single" w:color="152935" w:sz="8" w:space="0"/>
              <w:right w:val="nil"/>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jc w:val="center"/>
        </w:trPr>
        <w:tc>
          <w:tcPr>
            <w:tcW w:w="5576" w:type="dxa"/>
            <w:gridSpan w:val="5"/>
            <w:tcBorders>
              <w:top w:val="nil"/>
              <w:left w:val="nil"/>
              <w:bottom w:val="nil"/>
              <w:right w:val="nil"/>
            </w:tcBorders>
            <w:shd w:val="clear" w:color="auto" w:fill="FFFFFF"/>
          </w:tcPr>
          <w:p>
            <w:pPr>
              <w:autoSpaceDE w:val="0"/>
              <w:autoSpaceDN w:val="0"/>
              <w:adjustRightInd w:val="0"/>
              <w:spacing w:line="320" w:lineRule="atLeast"/>
              <w:ind w:left="60" w:right="60"/>
              <w:jc w:val="center"/>
              <w:rPr>
                <w:rFonts w:hint="eastAsia" w:ascii="宋体" w:hAnsi="宋体" w:eastAsia="宋体" w:cs="宋体"/>
                <w:color w:val="010205"/>
                <w:kern w:val="0"/>
                <w:sz w:val="24"/>
                <w:szCs w:val="24"/>
              </w:rPr>
            </w:pPr>
            <w:r>
              <w:rPr>
                <w:rFonts w:hint="eastAsia" w:ascii="宋体" w:hAnsi="宋体" w:eastAsia="宋体" w:cs="宋体"/>
                <w:color w:val="010205"/>
                <w:kern w:val="0"/>
                <w:sz w:val="24"/>
                <w:szCs w:val="24"/>
              </w:rPr>
              <w:t>*. 在 0.05 级别（双尾），相关性显著。</w:t>
            </w:r>
          </w:p>
        </w:tc>
      </w:tr>
    </w:tbl>
    <w:p>
      <w:pPr>
        <w:autoSpaceDE w:val="0"/>
        <w:autoSpaceDN w:val="0"/>
        <w:adjustRightInd w:val="0"/>
        <w:spacing w:line="400" w:lineRule="atLeast"/>
        <w:jc w:val="left"/>
        <w:rPr>
          <w:rFonts w:hint="eastAsia" w:ascii="宋体" w:hAnsi="宋体" w:eastAsia="宋体" w:cs="宋体"/>
          <w:kern w:val="0"/>
          <w:sz w:val="24"/>
          <w:szCs w:val="24"/>
        </w:rPr>
      </w:pPr>
      <w:r>
        <w:rPr>
          <w:rFonts w:hint="eastAsia" w:ascii="宋体" w:hAnsi="宋体" w:eastAsia="宋体" w:cs="宋体"/>
          <w:kern w:val="0"/>
          <w:sz w:val="24"/>
          <w:szCs w:val="24"/>
        </w:rPr>
        <w:t>可以看出TRG和LRG之间存在相关性，理论上可以相互印证，但是由于相关性不强，所以下面通过TRG和LRG对术后TNM结果的预测进行比较。以实际术后的TNM作为依据得到：</w:t>
      </w:r>
    </w:p>
    <w:p>
      <w:pPr>
        <w:autoSpaceDE w:val="0"/>
        <w:autoSpaceDN w:val="0"/>
        <w:adjustRightInd w:val="0"/>
        <w:spacing w:line="400" w:lineRule="atLeast"/>
        <w:jc w:val="left"/>
        <w:rPr>
          <w:rFonts w:hint="eastAsia" w:ascii="宋体" w:hAnsi="宋体" w:eastAsia="宋体" w:cs="宋体"/>
          <w:kern w:val="0"/>
          <w:sz w:val="24"/>
          <w:szCs w:val="24"/>
        </w:rPr>
      </w:pPr>
    </w:p>
    <w:p>
      <w:pPr>
        <w:autoSpaceDE w:val="0"/>
        <w:autoSpaceDN w:val="0"/>
        <w:adjustRightInd w:val="0"/>
        <w:jc w:val="center"/>
        <w:rPr>
          <w:rFonts w:hint="eastAsia" w:ascii="宋体" w:hAnsi="宋体" w:eastAsia="宋体" w:cs="宋体"/>
          <w:kern w:val="0"/>
          <w:sz w:val="24"/>
          <w:szCs w:val="24"/>
        </w:rPr>
      </w:pPr>
      <w:r>
        <w:rPr>
          <w:rFonts w:hint="eastAsia" w:ascii="宋体" w:hAnsi="宋体" w:eastAsia="宋体" w:cs="宋体"/>
          <w:kern w:val="0"/>
          <w:sz w:val="24"/>
          <w:szCs w:val="24"/>
        </w:rPr>
        <w:drawing>
          <wp:inline distT="0" distB="0" distL="0" distR="0">
            <wp:extent cx="5274310" cy="310515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105150"/>
                    </a:xfrm>
                    <a:prstGeom prst="rect">
                      <a:avLst/>
                    </a:prstGeom>
                    <a:noFill/>
                    <a:ln>
                      <a:noFill/>
                    </a:ln>
                  </pic:spPr>
                </pic:pic>
              </a:graphicData>
            </a:graphic>
          </wp:inline>
        </w:drawing>
      </w:r>
    </w:p>
    <w:p>
      <w:pPr>
        <w:autoSpaceDE w:val="0"/>
        <w:autoSpaceDN w:val="0"/>
        <w:adjustRightInd w:val="0"/>
        <w:jc w:val="left"/>
        <w:rPr>
          <w:rFonts w:hint="eastAsia" w:ascii="宋体" w:hAnsi="宋体" w:eastAsia="宋体" w:cs="宋体"/>
          <w:kern w:val="0"/>
          <w:sz w:val="24"/>
          <w:szCs w:val="24"/>
        </w:rPr>
      </w:pPr>
    </w:p>
    <w:p>
      <w:pPr>
        <w:autoSpaceDE w:val="0"/>
        <w:autoSpaceDN w:val="0"/>
        <w:adjustRightInd w:val="0"/>
        <w:spacing w:line="400" w:lineRule="atLeast"/>
        <w:jc w:val="left"/>
        <w:rPr>
          <w:rFonts w:hint="eastAsia" w:ascii="宋体" w:hAnsi="宋体" w:eastAsia="宋体" w:cs="宋体"/>
          <w:kern w:val="0"/>
          <w:sz w:val="24"/>
          <w:szCs w:val="24"/>
        </w:rPr>
      </w:pPr>
      <w:r>
        <w:rPr>
          <w:rFonts w:hint="eastAsia" w:ascii="宋体" w:hAnsi="宋体" w:eastAsia="宋体" w:cs="宋体"/>
          <w:kern w:val="0"/>
          <w:sz w:val="24"/>
          <w:szCs w:val="24"/>
        </w:rPr>
        <w:t>由图中得到，LRG和TRG对于预测均存在误差，但是LRG误差更小。所以可以认为LRG应该作为一个判断预后情况的参考因素。同时可以看到，TRG和LRG变化并不一定同步，所以由临床数据可以得到，TRG和LRG并不具有互相等价的关系。</w:t>
      </w:r>
    </w:p>
    <w:p>
      <w:pPr>
        <w:rPr>
          <w:rFonts w:hint="default" w:ascii="黑体" w:hAnsi="黑体" w:eastAsia="黑体" w:cs="黑体"/>
          <w:b/>
          <w:bCs/>
          <w:sz w:val="30"/>
          <w:szCs w:val="30"/>
          <w:lang w:val="en-US" w:eastAsia="zh-CN"/>
        </w:rPr>
      </w:pPr>
    </w:p>
    <w:p>
      <w:pPr>
        <w:pStyle w:val="3"/>
        <w:bidi w:val="0"/>
        <w:jc w:val="center"/>
        <w:outlineLvl w:val="0"/>
        <w:rPr>
          <w:rFonts w:hint="eastAsia"/>
          <w:lang w:val="en-US" w:eastAsia="zh-CN"/>
        </w:rPr>
      </w:pPr>
      <w:bookmarkStart w:id="80" w:name="_Toc8192"/>
      <w:bookmarkStart w:id="81" w:name="_Toc27178"/>
      <w:bookmarkStart w:id="82" w:name="_Toc19245"/>
      <w:bookmarkStart w:id="83" w:name="_Toc21128"/>
      <w:r>
        <w:rPr>
          <w:rFonts w:hint="eastAsia"/>
          <w:lang w:val="en-US" w:eastAsia="zh-CN"/>
        </w:rPr>
        <w:t>六、模型的优缺点分析</w:t>
      </w:r>
      <w:bookmarkEnd w:id="80"/>
      <w:bookmarkEnd w:id="81"/>
      <w:bookmarkEnd w:id="82"/>
      <w:bookmarkEnd w:id="83"/>
    </w:p>
    <w:p>
      <w:pPr>
        <w:pStyle w:val="4"/>
        <w:bidi w:val="0"/>
        <w:outlineLvl w:val="1"/>
        <w:rPr>
          <w:rFonts w:hint="default"/>
          <w:lang w:val="en-US"/>
        </w:rPr>
      </w:pPr>
      <w:bookmarkStart w:id="84" w:name="_Toc14705"/>
      <w:bookmarkStart w:id="85" w:name="_Toc28420"/>
      <w:r>
        <w:rPr>
          <w:rFonts w:hint="eastAsia"/>
          <w:lang w:val="en-US" w:eastAsia="zh-CN"/>
        </w:rPr>
        <w:t>6.1 卡方检验模型</w:t>
      </w:r>
      <w:bookmarkEnd w:id="84"/>
      <w:bookmarkEnd w:id="85"/>
    </w:p>
    <w:p>
      <w:pPr>
        <w:rPr>
          <w:rFonts w:hint="eastAsia" w:ascii="宋体" w:hAnsi="宋体" w:eastAsia="宋体" w:cs="宋体"/>
          <w:sz w:val="24"/>
          <w:szCs w:val="24"/>
        </w:rPr>
      </w:pPr>
      <w:r>
        <w:rPr>
          <w:rFonts w:hint="eastAsia" w:ascii="宋体" w:hAnsi="宋体" w:eastAsia="宋体" w:cs="宋体"/>
          <w:b/>
          <w:bCs/>
          <w:sz w:val="24"/>
          <w:szCs w:val="24"/>
        </w:rPr>
        <w:t>优点：</w:t>
      </w:r>
      <w:r>
        <w:rPr>
          <w:rFonts w:hint="eastAsia" w:ascii="宋体" w:hAnsi="宋体" w:eastAsia="宋体" w:cs="宋体"/>
          <w:sz w:val="24"/>
          <w:szCs w:val="24"/>
        </w:rPr>
        <w:t>可用来处理数据的拟合问题</w:t>
      </w:r>
    </w:p>
    <w:p>
      <w:pPr>
        <w:ind w:firstLine="720" w:firstLineChars="300"/>
        <w:rPr>
          <w:rFonts w:hint="eastAsia" w:ascii="宋体" w:hAnsi="宋体" w:eastAsia="宋体" w:cs="宋体"/>
          <w:sz w:val="24"/>
          <w:szCs w:val="24"/>
        </w:rPr>
      </w:pPr>
      <w:r>
        <w:rPr>
          <w:rFonts w:hint="eastAsia" w:ascii="宋体" w:hAnsi="宋体" w:eastAsia="宋体" w:cs="宋体"/>
          <w:sz w:val="24"/>
          <w:szCs w:val="24"/>
        </w:rPr>
        <w:t>在此题中由于有大量的数据，我们就可以应用卡方检验的方法，来检验某个因素之间是否具有相关关系，是否会相互影响。反应了实际频数的吻合程度和拟合优度问题。</w:t>
      </w:r>
    </w:p>
    <w:p>
      <w:pPr>
        <w:rPr>
          <w:rFonts w:hint="eastAsia" w:ascii="宋体" w:hAnsi="宋体" w:eastAsia="宋体" w:cs="宋体"/>
          <w:sz w:val="24"/>
          <w:szCs w:val="24"/>
        </w:rPr>
      </w:pPr>
      <w:r>
        <w:rPr>
          <w:rFonts w:hint="eastAsia" w:ascii="宋体" w:hAnsi="宋体" w:eastAsia="宋体" w:cs="宋体"/>
          <w:b/>
          <w:bCs/>
          <w:sz w:val="24"/>
          <w:szCs w:val="24"/>
        </w:rPr>
        <w:t>缺点</w:t>
      </w:r>
      <w:r>
        <w:rPr>
          <w:rFonts w:hint="eastAsia" w:ascii="宋体" w:hAnsi="宋体" w:eastAsia="宋体" w:cs="宋体"/>
          <w:sz w:val="24"/>
          <w:szCs w:val="24"/>
        </w:rPr>
        <w:t>：低频词缺陷</w:t>
      </w:r>
    </w:p>
    <w:p>
      <w:pPr>
        <w:ind w:left="720" w:hanging="720" w:hangingChars="300"/>
        <w:rPr>
          <w:rFonts w:hint="eastAsia" w:ascii="宋体" w:hAnsi="宋体" w:eastAsia="宋体" w:cs="宋体"/>
          <w:sz w:val="24"/>
          <w:szCs w:val="24"/>
        </w:rPr>
      </w:pPr>
      <w:r>
        <w:rPr>
          <w:rFonts w:hint="eastAsia" w:ascii="宋体" w:hAnsi="宋体" w:eastAsia="宋体" w:cs="宋体"/>
          <w:sz w:val="24"/>
          <w:szCs w:val="24"/>
        </w:rPr>
        <w:t xml:space="preserve">      由于卡方检验只统计出现的词而不管出现了几次，这会导致高频词和低频词具有相同的效应。在此问题中就会使得相关因素的无关性增大，增大计算难度。</w:t>
      </w:r>
    </w:p>
    <w:p>
      <w:pPr>
        <w:pStyle w:val="4"/>
        <w:bidi w:val="0"/>
        <w:outlineLvl w:val="1"/>
        <w:rPr>
          <w:rFonts w:hint="default"/>
          <w:lang w:val="en-US"/>
        </w:rPr>
      </w:pPr>
      <w:bookmarkStart w:id="86" w:name="_Toc26250"/>
      <w:bookmarkStart w:id="87" w:name="_Toc8055"/>
      <w:r>
        <w:rPr>
          <w:rFonts w:hint="eastAsia"/>
          <w:lang w:val="en-US" w:eastAsia="zh-CN"/>
        </w:rPr>
        <w:t>6.2 回归模型</w:t>
      </w:r>
      <w:bookmarkEnd w:id="86"/>
      <w:bookmarkEnd w:id="87"/>
    </w:p>
    <w:p>
      <w:pPr>
        <w:ind w:left="720" w:hanging="723" w:hangingChars="300"/>
        <w:rPr>
          <w:rFonts w:hint="eastAsia" w:ascii="宋体" w:hAnsi="宋体" w:eastAsia="宋体" w:cs="宋体"/>
          <w:sz w:val="24"/>
          <w:szCs w:val="24"/>
        </w:rPr>
      </w:pPr>
      <w:r>
        <w:rPr>
          <w:rFonts w:hint="eastAsia" w:ascii="宋体" w:hAnsi="宋体" w:eastAsia="宋体" w:cs="宋体"/>
          <w:b/>
          <w:bCs/>
          <w:sz w:val="24"/>
          <w:szCs w:val="24"/>
        </w:rPr>
        <w:t>优点</w:t>
      </w:r>
      <w:r>
        <w:rPr>
          <w:rFonts w:hint="eastAsia" w:ascii="宋体" w:hAnsi="宋体" w:eastAsia="宋体" w:cs="宋体"/>
          <w:sz w:val="24"/>
          <w:szCs w:val="24"/>
        </w:rPr>
        <w:t>：能够拟合非线性可分数据，更加灵活的处理复杂关系</w:t>
      </w:r>
    </w:p>
    <w:p>
      <w:pPr>
        <w:ind w:left="720" w:hanging="720" w:hangingChars="300"/>
        <w:rPr>
          <w:rFonts w:hint="eastAsia" w:ascii="宋体" w:hAnsi="宋体" w:eastAsia="宋体" w:cs="宋体"/>
          <w:sz w:val="24"/>
          <w:szCs w:val="24"/>
        </w:rPr>
      </w:pPr>
      <w:r>
        <w:rPr>
          <w:rFonts w:hint="eastAsia" w:ascii="宋体" w:hAnsi="宋体" w:eastAsia="宋体" w:cs="宋体"/>
          <w:sz w:val="24"/>
          <w:szCs w:val="24"/>
        </w:rPr>
        <w:t xml:space="preserve">      通过非线性回归，我们可以将淋巴结的数量做出一个点列图，通过SPSS软件，绘制出两者的曲线，很清晰的说明了相关关系。</w:t>
      </w:r>
    </w:p>
    <w:p>
      <w:pPr>
        <w:ind w:left="720" w:hanging="723" w:hangingChars="300"/>
        <w:rPr>
          <w:rFonts w:hint="eastAsia" w:ascii="宋体" w:hAnsi="宋体" w:eastAsia="宋体" w:cs="宋体"/>
          <w:sz w:val="24"/>
          <w:szCs w:val="24"/>
        </w:rPr>
      </w:pPr>
      <w:r>
        <w:rPr>
          <w:rFonts w:hint="eastAsia" w:ascii="宋体" w:hAnsi="宋体" w:eastAsia="宋体" w:cs="宋体"/>
          <w:b/>
          <w:bCs/>
          <w:sz w:val="24"/>
          <w:szCs w:val="24"/>
        </w:rPr>
        <w:t>缺点</w:t>
      </w:r>
      <w:r>
        <w:rPr>
          <w:rFonts w:hint="eastAsia" w:ascii="宋体" w:hAnsi="宋体" w:eastAsia="宋体" w:cs="宋体"/>
          <w:sz w:val="24"/>
          <w:szCs w:val="24"/>
        </w:rPr>
        <w:t>：由于数据样本杂乱且不足够大，使数据的采集和提取变得困难，相应的拟合过程也变得复杂。</w:t>
      </w:r>
    </w:p>
    <w:p>
      <w:pPr>
        <w:pStyle w:val="4"/>
        <w:bidi w:val="0"/>
        <w:outlineLvl w:val="1"/>
        <w:rPr>
          <w:rFonts w:hint="default"/>
          <w:lang w:val="en-US"/>
        </w:rPr>
      </w:pPr>
      <w:bookmarkStart w:id="88" w:name="_Toc25017"/>
      <w:bookmarkStart w:id="89" w:name="_Toc7242"/>
      <w:r>
        <w:rPr>
          <w:rFonts w:hint="eastAsia"/>
          <w:lang w:val="en-US" w:eastAsia="zh-CN"/>
        </w:rPr>
        <w:t>6.3 熵权法</w:t>
      </w:r>
      <w:bookmarkEnd w:id="88"/>
      <w:bookmarkEnd w:id="89"/>
    </w:p>
    <w:p>
      <w:pPr>
        <w:ind w:left="720" w:hanging="723" w:hangingChars="300"/>
        <w:rPr>
          <w:rFonts w:hint="eastAsia" w:ascii="宋体" w:hAnsi="宋体" w:eastAsia="宋体" w:cs="宋体"/>
          <w:sz w:val="24"/>
          <w:szCs w:val="24"/>
        </w:rPr>
      </w:pPr>
      <w:r>
        <w:rPr>
          <w:rFonts w:hint="eastAsia" w:ascii="宋体" w:hAnsi="宋体" w:eastAsia="宋体" w:cs="宋体"/>
          <w:b/>
          <w:bCs/>
          <w:sz w:val="24"/>
          <w:szCs w:val="24"/>
        </w:rPr>
        <w:t>优点</w:t>
      </w:r>
      <w:r>
        <w:rPr>
          <w:rFonts w:hint="eastAsia" w:ascii="宋体" w:hAnsi="宋体" w:eastAsia="宋体" w:cs="宋体"/>
          <w:sz w:val="24"/>
          <w:szCs w:val="24"/>
        </w:rPr>
        <w:t>：赋值客观</w:t>
      </w:r>
    </w:p>
    <w:p>
      <w:pPr>
        <w:ind w:left="720" w:hanging="720" w:hangingChars="300"/>
        <w:rPr>
          <w:rFonts w:hint="eastAsia" w:ascii="宋体" w:hAnsi="宋体" w:eastAsia="宋体" w:cs="宋体"/>
          <w:sz w:val="24"/>
          <w:szCs w:val="24"/>
        </w:rPr>
      </w:pPr>
      <w:r>
        <w:rPr>
          <w:rFonts w:hint="eastAsia" w:ascii="宋体" w:hAnsi="宋体" w:eastAsia="宋体" w:cs="宋体"/>
          <w:sz w:val="24"/>
          <w:szCs w:val="24"/>
        </w:rPr>
        <w:t xml:space="preserve">      本题中给出了附录，有一定的客观的数据，因此可以直接运用熵权法来确定评价指标的权重，避免了人的主观因素的加入，更具有说服力。</w:t>
      </w:r>
    </w:p>
    <w:p>
      <w:pPr>
        <w:ind w:left="720" w:hanging="723" w:hangingChars="300"/>
        <w:rPr>
          <w:rFonts w:hint="eastAsia" w:ascii="宋体" w:hAnsi="宋体" w:eastAsia="宋体" w:cs="宋体"/>
          <w:sz w:val="24"/>
          <w:szCs w:val="24"/>
        </w:rPr>
      </w:pPr>
      <w:r>
        <w:rPr>
          <w:rFonts w:hint="eastAsia" w:ascii="宋体" w:hAnsi="宋体" w:eastAsia="宋体" w:cs="宋体"/>
          <w:b/>
          <w:bCs/>
          <w:sz w:val="24"/>
          <w:szCs w:val="24"/>
        </w:rPr>
        <w:t>缺点：</w:t>
      </w:r>
      <w:r>
        <w:rPr>
          <w:rFonts w:hint="eastAsia" w:ascii="宋体" w:hAnsi="宋体" w:eastAsia="宋体" w:cs="宋体"/>
          <w:sz w:val="24"/>
          <w:szCs w:val="24"/>
        </w:rPr>
        <w:t>标准化方式不统一</w:t>
      </w:r>
    </w:p>
    <w:p>
      <w:pPr>
        <w:ind w:left="720" w:hanging="720" w:hangingChars="300"/>
        <w:rPr>
          <w:rFonts w:hint="eastAsia" w:ascii="宋体" w:hAnsi="宋体" w:eastAsia="宋体" w:cs="宋体"/>
          <w:sz w:val="24"/>
          <w:szCs w:val="24"/>
        </w:rPr>
      </w:pPr>
      <w:r>
        <w:rPr>
          <w:rFonts w:hint="eastAsia" w:ascii="宋体" w:hAnsi="宋体" w:eastAsia="宋体" w:cs="宋体"/>
          <w:sz w:val="24"/>
          <w:szCs w:val="24"/>
        </w:rPr>
        <w:t xml:space="preserve">      在熵权法中概率P位于0~1，因此要对原始数据进行标准化，而在现有的体系中并没有一个统一的标准，这就使得不同的方式会存在一些差异。</w:t>
      </w:r>
    </w:p>
    <w:p>
      <w:pPr>
        <w:ind w:left="720" w:hanging="720" w:hangingChars="300"/>
        <w:rPr>
          <w:rFonts w:hint="eastAsia" w:ascii="宋体" w:hAnsi="宋体" w:eastAsia="宋体" w:cs="宋体"/>
          <w:sz w:val="24"/>
          <w:szCs w:val="24"/>
        </w:rPr>
      </w:pPr>
    </w:p>
    <w:p>
      <w:pPr>
        <w:pStyle w:val="3"/>
        <w:bidi w:val="0"/>
        <w:jc w:val="center"/>
        <w:outlineLvl w:val="0"/>
        <w:rPr>
          <w:rFonts w:hint="default"/>
          <w:lang w:val="en-US" w:eastAsia="zh-CN"/>
        </w:rPr>
      </w:pPr>
      <w:bookmarkStart w:id="90" w:name="_Toc12504"/>
      <w:bookmarkStart w:id="91" w:name="_Toc4100"/>
      <w:bookmarkStart w:id="92" w:name="_Toc1870"/>
      <w:r>
        <w:rPr>
          <w:rFonts w:hint="eastAsia"/>
          <w:lang w:val="en-US" w:eastAsia="zh-CN"/>
        </w:rPr>
        <w:t>七、参考文献</w:t>
      </w:r>
      <w:bookmarkEnd w:id="90"/>
      <w:bookmarkEnd w:id="91"/>
      <w:bookmarkEnd w:id="92"/>
    </w:p>
    <w:p>
      <w:pPr>
        <w:ind w:left="720" w:hanging="720" w:hangingChars="300"/>
        <w:rPr>
          <w:rFonts w:hint="eastAsia"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 xml:space="preserve">[1] </w:t>
      </w:r>
      <w:r>
        <w:rPr>
          <w:rFonts w:ascii="宋体" w:hAnsi="宋体" w:eastAsia="宋体" w:cs="宋体"/>
          <w:sz w:val="24"/>
          <w:szCs w:val="24"/>
        </w:rPr>
        <w:t>知乎，Spearman秩相关系数及SPSS操作，Brick何</w:t>
      </w:r>
    </w:p>
    <w:p>
      <w:pPr>
        <w:numPr>
          <w:ilvl w:val="0"/>
          <w:numId w:val="0"/>
        </w:numPr>
        <w:rPr>
          <w:rFonts w:hint="eastAsia" w:ascii="宋体" w:hAnsi="宋体" w:eastAsia="宋体" w:cs="宋体"/>
          <w:sz w:val="24"/>
          <w:szCs w:val="24"/>
          <w:lang w:eastAsia="zh-CN"/>
        </w:rPr>
      </w:pPr>
      <w:r>
        <w:rPr>
          <w:rFonts w:ascii="宋体" w:hAnsi="宋体" w:eastAsia="宋体" w:cs="宋体"/>
          <w:sz w:val="24"/>
          <w:szCs w:val="24"/>
        </w:rPr>
        <w:br w:type="textWrapping"/>
      </w:r>
      <w:r>
        <w:rPr>
          <w:rFonts w:hint="eastAsia" w:ascii="宋体" w:hAnsi="宋体" w:eastAsia="宋体" w:cs="宋体"/>
          <w:b/>
          <w:bCs/>
          <w:sz w:val="24"/>
          <w:szCs w:val="24"/>
          <w:lang w:val="en-US" w:eastAsia="zh-CN"/>
        </w:rPr>
        <w:t xml:space="preserve">[2] </w:t>
      </w:r>
      <w:r>
        <w:rPr>
          <w:rFonts w:ascii="宋体" w:hAnsi="宋体" w:eastAsia="宋体" w:cs="宋体"/>
          <w:sz w:val="24"/>
          <w:szCs w:val="24"/>
        </w:rPr>
        <w:t>直肠癌原发肿瘤消退分级与淋巴结消退分级关系的研究，赵权权</w:t>
      </w:r>
    </w:p>
    <w:p>
      <w:pPr>
        <w:numPr>
          <w:ilvl w:val="0"/>
          <w:numId w:val="0"/>
        </w:numPr>
        <w:rPr>
          <w:rFonts w:ascii="宋体" w:hAnsi="宋体" w:eastAsia="宋体" w:cs="宋体"/>
          <w:sz w:val="24"/>
          <w:szCs w:val="24"/>
        </w:rPr>
      </w:pPr>
      <w:r>
        <w:rPr>
          <w:rFonts w:ascii="宋体" w:hAnsi="宋体" w:eastAsia="宋体" w:cs="宋体"/>
          <w:sz w:val="24"/>
          <w:szCs w:val="24"/>
        </w:rPr>
        <w:br w:type="textWrapping"/>
      </w:r>
      <w:r>
        <w:rPr>
          <w:rFonts w:hint="eastAsia" w:ascii="宋体" w:hAnsi="宋体" w:eastAsia="宋体" w:cs="宋体"/>
          <w:b/>
          <w:bCs/>
          <w:sz w:val="24"/>
          <w:szCs w:val="24"/>
          <w:lang w:val="en-US" w:eastAsia="zh-CN"/>
        </w:rPr>
        <w:t xml:space="preserve">[3] </w:t>
      </w:r>
      <w:r>
        <w:rPr>
          <w:rFonts w:ascii="宋体" w:hAnsi="宋体" w:eastAsia="宋体" w:cs="宋体"/>
          <w:sz w:val="24"/>
          <w:szCs w:val="24"/>
        </w:rPr>
        <w:t>直肠癌新辅助放化疗后淋巴结转移的相关研究，赵权权</w:t>
      </w:r>
    </w:p>
    <w:p>
      <w:pPr>
        <w:numPr>
          <w:ilvl w:val="0"/>
          <w:numId w:val="0"/>
        </w:numPr>
        <w:rPr>
          <w:rFonts w:hint="eastAsia" w:ascii="宋体" w:hAnsi="宋体" w:eastAsia="宋体" w:cs="宋体"/>
          <w:b/>
          <w:bCs/>
          <w:sz w:val="24"/>
          <w:szCs w:val="24"/>
          <w:lang w:val="en-US" w:eastAsia="zh-CN"/>
        </w:rPr>
      </w:pPr>
      <w:r>
        <w:rPr>
          <w:rFonts w:ascii="宋体" w:hAnsi="宋体" w:eastAsia="宋体" w:cs="宋体"/>
          <w:sz w:val="24"/>
          <w:szCs w:val="24"/>
        </w:rPr>
        <w:br w:type="textWrapping"/>
      </w:r>
      <w:r>
        <w:rPr>
          <w:rFonts w:hint="eastAsia" w:ascii="宋体" w:hAnsi="宋体" w:eastAsia="宋体" w:cs="宋体"/>
          <w:b/>
          <w:bCs/>
          <w:sz w:val="24"/>
          <w:szCs w:val="24"/>
          <w:lang w:val="en-US" w:eastAsia="zh-CN"/>
        </w:rPr>
        <w:t xml:space="preserve">[4] </w:t>
      </w:r>
      <w:r>
        <w:rPr>
          <w:rFonts w:ascii="宋体" w:hAnsi="宋体" w:eastAsia="宋体" w:cs="宋体"/>
          <w:sz w:val="24"/>
          <w:szCs w:val="24"/>
        </w:rPr>
        <w:t>知乎，列联表篇之二：四格表的分析，张自达</w:t>
      </w:r>
    </w:p>
    <w:p>
      <w:pPr>
        <w:pStyle w:val="3"/>
        <w:bidi w:val="0"/>
        <w:jc w:val="center"/>
        <w:outlineLvl w:val="0"/>
        <w:rPr>
          <w:rFonts w:hint="eastAsia"/>
          <w:lang w:val="en-US" w:eastAsia="zh-CN"/>
        </w:rPr>
      </w:pPr>
      <w:bookmarkStart w:id="93" w:name="_Toc15551"/>
      <w:bookmarkStart w:id="94" w:name="_Toc4004"/>
      <w:bookmarkStart w:id="95" w:name="_Toc5944"/>
      <w:r>
        <w:rPr>
          <w:rFonts w:hint="eastAsia"/>
          <w:lang w:val="en-US" w:eastAsia="zh-CN"/>
        </w:rPr>
        <w:t>八、 附件</w:t>
      </w:r>
      <w:bookmarkEnd w:id="93"/>
      <w:bookmarkEnd w:id="94"/>
      <w:bookmarkEnd w:id="95"/>
    </w:p>
    <w:p>
      <w:pPr>
        <w:pStyle w:val="5"/>
        <w:bidi w:val="0"/>
        <w:jc w:val="center"/>
        <w:rPr>
          <w:rFonts w:hint="eastAsia"/>
          <w:sz w:val="32"/>
          <w:szCs w:val="32"/>
          <w:lang w:val="en-US" w:eastAsia="zh-CN"/>
        </w:rPr>
      </w:pPr>
      <w:r>
        <w:rPr>
          <w:rFonts w:hint="eastAsia"/>
          <w:sz w:val="32"/>
          <w:szCs w:val="32"/>
          <w:lang w:val="en-US" w:eastAsia="zh-CN"/>
        </w:rPr>
        <w:t>面向某医院的淋巴结消退分级（LRG）</w:t>
      </w:r>
    </w:p>
    <w:p>
      <w:pPr>
        <w:pStyle w:val="5"/>
        <w:bidi w:val="0"/>
        <w:jc w:val="center"/>
        <w:rPr>
          <w:rFonts w:hint="eastAsia"/>
          <w:sz w:val="32"/>
          <w:szCs w:val="32"/>
          <w:lang w:val="en-US" w:eastAsia="zh-CN"/>
        </w:rPr>
      </w:pPr>
      <w:r>
        <w:rPr>
          <w:rFonts w:hint="eastAsia"/>
          <w:sz w:val="32"/>
          <w:szCs w:val="32"/>
          <w:lang w:val="en-US" w:eastAsia="zh-CN"/>
        </w:rPr>
        <w:t>非技术性报告</w:t>
      </w:r>
    </w:p>
    <w:p>
      <w:pPr>
        <w:pStyle w:val="5"/>
        <w:bidi w:val="0"/>
        <w:ind w:firstLine="480"/>
        <w:jc w:val="left"/>
        <w:rPr>
          <w:rFonts w:hint="eastAsia" w:eastAsia="宋体" w:cs="Arial"/>
          <w:b w:val="0"/>
          <w:bCs w:val="0"/>
          <w:i w:val="0"/>
          <w:iCs w:val="0"/>
          <w:caps w:val="0"/>
          <w:color w:val="333333"/>
          <w:spacing w:val="0"/>
          <w:sz w:val="24"/>
          <w:szCs w:val="24"/>
          <w:shd w:val="clear" w:fill="FFFFFF"/>
          <w:lang w:val="en-US" w:eastAsia="zh-CN"/>
        </w:rPr>
      </w:pPr>
      <w:r>
        <w:rPr>
          <w:rFonts w:hint="eastAsia" w:ascii="宋体" w:hAnsi="宋体" w:eastAsia="宋体" w:cs="宋体"/>
          <w:b w:val="0"/>
          <w:bCs w:val="0"/>
          <w:sz w:val="24"/>
          <w:szCs w:val="24"/>
          <w:lang w:val="en-US" w:eastAsia="zh-CN"/>
        </w:rPr>
        <w:t>当今</w:t>
      </w:r>
      <w:r>
        <w:rPr>
          <w:rStyle w:val="13"/>
          <w:rFonts w:hint="eastAsia" w:ascii="宋体" w:hAnsi="宋体" w:eastAsia="宋体" w:cs="宋体"/>
          <w:b w:val="0"/>
          <w:bCs w:val="0"/>
          <w:i w:val="0"/>
          <w:iCs w:val="0"/>
          <w:caps w:val="0"/>
          <w:color w:val="2B2B2B"/>
          <w:spacing w:val="0"/>
          <w:sz w:val="24"/>
          <w:szCs w:val="24"/>
          <w:shd w:val="clear" w:fill="FFFFFF"/>
          <w:lang w:val="en-US" w:eastAsia="zh-CN"/>
        </w:rPr>
        <w:t>，直肠癌作为</w:t>
      </w:r>
      <w:r>
        <w:rPr>
          <w:rFonts w:hint="eastAsia" w:ascii="Arial" w:hAnsi="Arial" w:eastAsia="宋体" w:cs="Arial"/>
          <w:b w:val="0"/>
          <w:bCs w:val="0"/>
          <w:i w:val="0"/>
          <w:iCs w:val="0"/>
          <w:caps w:val="0"/>
          <w:color w:val="333333"/>
          <w:spacing w:val="0"/>
          <w:sz w:val="24"/>
          <w:szCs w:val="24"/>
          <w:shd w:val="clear" w:fill="FFFFFF"/>
        </w:rPr>
        <w:t>消化道最常见的恶性肿瘤之一</w:t>
      </w:r>
      <w:r>
        <w:rPr>
          <w:rFonts w:hint="eastAsia" w:ascii="Arial" w:hAnsi="Arial" w:eastAsia="宋体" w:cs="Arial"/>
          <w:b w:val="0"/>
          <w:bCs w:val="0"/>
          <w:i w:val="0"/>
          <w:iCs w:val="0"/>
          <w:caps w:val="0"/>
          <w:color w:val="333333"/>
          <w:spacing w:val="0"/>
          <w:sz w:val="24"/>
          <w:szCs w:val="24"/>
          <w:shd w:val="clear" w:fill="FFFFFF"/>
          <w:lang w:eastAsia="zh-CN"/>
        </w:rPr>
        <w:t>，</w:t>
      </w:r>
      <w:r>
        <w:rPr>
          <w:rFonts w:ascii="Times New Roman" w:hAnsi="Times New Roman" w:eastAsia="宋体" w:cs="Times New Roman"/>
          <w:b w:val="0"/>
          <w:bCs w:val="0"/>
          <w:color w:val="2F2F2F"/>
          <w:kern w:val="0"/>
          <w:sz w:val="24"/>
          <w:szCs w:val="24"/>
          <w:shd w:val="clear" w:color="auto" w:fill="FFFFFF"/>
        </w:rPr>
        <w:t>是我国继肺癌后的第二大癌症</w:t>
      </w:r>
      <w:r>
        <w:rPr>
          <w:rFonts w:hint="eastAsia" w:ascii="Times New Roman" w:hAnsi="Times New Roman" w:eastAsia="宋体" w:cs="Times New Roman"/>
          <w:b w:val="0"/>
          <w:bCs w:val="0"/>
          <w:color w:val="2F2F2F"/>
          <w:kern w:val="0"/>
          <w:sz w:val="24"/>
          <w:szCs w:val="24"/>
          <w:shd w:val="clear" w:color="auto" w:fill="FFFFFF"/>
          <w:lang w:eastAsia="zh-CN"/>
        </w:rPr>
        <w:t>，</w:t>
      </w:r>
      <w:r>
        <w:rPr>
          <w:rFonts w:hint="eastAsia" w:ascii="Times New Roman" w:hAnsi="Times New Roman" w:eastAsia="宋体" w:cs="Times New Roman"/>
          <w:b w:val="0"/>
          <w:bCs w:val="0"/>
          <w:color w:val="2F2F2F"/>
          <w:kern w:val="0"/>
          <w:sz w:val="24"/>
          <w:szCs w:val="24"/>
          <w:shd w:val="clear" w:color="auto" w:fill="FFFFFF"/>
          <w:lang w:val="en-US" w:eastAsia="zh-CN"/>
        </w:rPr>
        <w:t>已对人民的生命健康安全造成了严重威胁。</w:t>
      </w:r>
      <w:r>
        <w:rPr>
          <w:rFonts w:hint="eastAsia" w:eastAsia="宋体" w:cs="Arial"/>
          <w:b w:val="0"/>
          <w:bCs w:val="0"/>
          <w:i w:val="0"/>
          <w:iCs w:val="0"/>
          <w:caps w:val="0"/>
          <w:color w:val="333333"/>
          <w:spacing w:val="0"/>
          <w:sz w:val="24"/>
          <w:szCs w:val="24"/>
          <w:shd w:val="clear" w:fill="FFFFFF"/>
          <w:lang w:val="en-US" w:eastAsia="zh-CN"/>
        </w:rPr>
        <w:t>医院，作为服务人民、保障人民生命健康安全的重要组成，理应在中国抗击直肠癌过程中承担其相应的使命与责任。</w:t>
      </w:r>
    </w:p>
    <w:p>
      <w:pPr>
        <w:pStyle w:val="5"/>
        <w:bidi w:val="0"/>
        <w:ind w:firstLine="480"/>
        <w:jc w:val="left"/>
        <w:rPr>
          <w:rFonts w:hint="eastAsia" w:ascii="Times New Roman" w:hAnsi="Times New Roman" w:eastAsia="宋体" w:cs="Times New Roman"/>
          <w:b w:val="0"/>
          <w:bCs/>
          <w:sz w:val="24"/>
          <w:szCs w:val="24"/>
          <w:lang w:eastAsia="zh-CN"/>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通常情况下，</w:t>
      </w:r>
      <w:r>
        <w:rPr>
          <w:rFonts w:hint="eastAsia" w:ascii="宋体" w:hAnsi="宋体" w:eastAsia="宋体" w:cs="宋体"/>
          <w:b w:val="0"/>
          <w:bCs w:val="0"/>
          <w:sz w:val="24"/>
          <w:szCs w:val="24"/>
        </w:rPr>
        <w:t>在</w:t>
      </w:r>
      <w:r>
        <w:rPr>
          <w:rFonts w:hint="eastAsia" w:ascii="宋体" w:hAnsi="宋体" w:eastAsia="宋体" w:cs="宋体"/>
          <w:sz w:val="24"/>
          <w:szCs w:val="24"/>
          <w:lang w:val="en-US" w:eastAsia="zh-CN"/>
        </w:rPr>
        <w:t>n</w:t>
      </w:r>
      <w:r>
        <w:rPr>
          <w:rFonts w:hint="eastAsia" w:ascii="宋体" w:hAnsi="宋体" w:eastAsia="宋体" w:cs="宋体"/>
          <w:sz w:val="24"/>
          <w:szCs w:val="24"/>
        </w:rPr>
        <w:t>CRT</w:t>
      </w:r>
      <w:r>
        <w:rPr>
          <w:rFonts w:hint="eastAsia" w:ascii="宋体" w:hAnsi="宋体" w:eastAsia="宋体" w:cs="宋体"/>
          <w:b w:val="0"/>
          <w:bCs w:val="0"/>
          <w:sz w:val="24"/>
          <w:szCs w:val="24"/>
        </w:rPr>
        <w:t>后的</w:t>
      </w:r>
      <w:r>
        <w:rPr>
          <w:rFonts w:hint="eastAsia" w:ascii="宋体" w:hAnsi="宋体" w:eastAsia="宋体" w:cs="宋体"/>
          <w:b w:val="0"/>
          <w:bCs w:val="0"/>
          <w:sz w:val="24"/>
          <w:szCs w:val="24"/>
          <w:highlight w:val="none"/>
        </w:rPr>
        <w:t>6-8周</w:t>
      </w:r>
      <w:r>
        <w:rPr>
          <w:rFonts w:hint="eastAsia" w:ascii="宋体" w:hAnsi="宋体" w:eastAsia="宋体" w:cs="宋体"/>
          <w:b w:val="0"/>
          <w:bCs w:val="0"/>
          <w:sz w:val="24"/>
          <w:szCs w:val="24"/>
          <w:highlight w:val="none"/>
          <w:lang w:val="en-US" w:eastAsia="zh-CN"/>
        </w:rPr>
        <w:t>会</w:t>
      </w:r>
      <w:r>
        <w:rPr>
          <w:rFonts w:hint="eastAsia" w:ascii="宋体" w:hAnsi="宋体" w:eastAsia="宋体" w:cs="宋体"/>
          <w:b w:val="0"/>
          <w:bCs w:val="0"/>
          <w:sz w:val="24"/>
          <w:szCs w:val="24"/>
          <w:lang w:val="en-US" w:eastAsia="zh-CN"/>
        </w:rPr>
        <w:t>采</w:t>
      </w:r>
      <w:r>
        <w:rPr>
          <w:rFonts w:hint="eastAsia" w:ascii="宋体" w:hAnsi="宋体" w:eastAsia="宋体" w:cs="宋体"/>
          <w:b w:val="0"/>
          <w:bCs w:val="0"/>
          <w:sz w:val="24"/>
          <w:szCs w:val="24"/>
        </w:rPr>
        <w:t>用肿瘤消退分级（</w:t>
      </w:r>
      <w:r>
        <w:rPr>
          <w:rFonts w:hint="eastAsia" w:ascii="宋体" w:hAnsi="宋体" w:eastAsia="宋体" w:cs="宋体"/>
          <w:b w:val="0"/>
          <w:bCs w:val="0"/>
          <w:sz w:val="24"/>
          <w:szCs w:val="24"/>
          <w:lang w:val="en-US" w:eastAsia="zh-CN"/>
        </w:rPr>
        <w:t>TRG</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的方法来</w:t>
      </w:r>
      <w:r>
        <w:rPr>
          <w:rFonts w:ascii="Times New Roman" w:hAnsi="Times New Roman" w:eastAsia="宋体" w:cs="Times New Roman"/>
          <w:b w:val="0"/>
          <w:bCs/>
          <w:sz w:val="24"/>
          <w:szCs w:val="24"/>
        </w:rPr>
        <w:t>评估原发肿瘤</w:t>
      </w:r>
      <w:r>
        <w:rPr>
          <w:rFonts w:hint="eastAsia" w:ascii="Times New Roman" w:hAnsi="Times New Roman" w:eastAsia="宋体" w:cs="Times New Roman"/>
          <w:b w:val="0"/>
          <w:bCs/>
          <w:sz w:val="24"/>
          <w:szCs w:val="24"/>
          <w:lang w:val="en-US" w:eastAsia="zh-CN"/>
        </w:rPr>
        <w:t>对CRT</w:t>
      </w:r>
      <w:r>
        <w:rPr>
          <w:rFonts w:ascii="Times New Roman" w:hAnsi="Times New Roman" w:eastAsia="宋体" w:cs="Times New Roman"/>
          <w:b w:val="0"/>
          <w:bCs/>
          <w:sz w:val="24"/>
          <w:szCs w:val="24"/>
        </w:rPr>
        <w:t>的治疗反应，以判断患者是否需要继续接受手术治疗或选择何种手术方式</w:t>
      </w:r>
      <w:r>
        <w:rPr>
          <w:rFonts w:hint="eastAsia" w:ascii="Times New Roman" w:hAnsi="Times New Roman" w:eastAsia="宋体" w:cs="Times New Roman"/>
          <w:b w:val="0"/>
          <w:bCs/>
          <w:sz w:val="24"/>
          <w:szCs w:val="24"/>
          <w:lang w:eastAsia="zh-CN"/>
        </w:rPr>
        <w:t>。</w:t>
      </w:r>
    </w:p>
    <w:p>
      <w:pPr>
        <w:widowControl/>
        <w:spacing w:before="156" w:beforeLines="50" w:line="360" w:lineRule="atLeast"/>
        <w:ind w:firstLine="480" w:firstLineChars="200"/>
        <w:jc w:val="left"/>
        <w:rPr>
          <w:rFonts w:hint="eastAsia" w:ascii="Times New Roman" w:hAnsi="Times New Roman" w:eastAsia="宋体" w:cs="Times New Roman"/>
          <w:sz w:val="24"/>
          <w:szCs w:val="24"/>
          <w:u w:val="single"/>
          <w:lang w:val="en-US" w:eastAsia="zh-CN"/>
        </w:rPr>
      </w:pPr>
      <w:r>
        <w:rPr>
          <w:rFonts w:hint="eastAsia" w:ascii="Times New Roman" w:hAnsi="Times New Roman" w:eastAsia="宋体" w:cs="Times New Roman"/>
          <w:sz w:val="24"/>
          <w:szCs w:val="24"/>
          <w:u w:val="single"/>
          <w:lang w:val="en-US" w:eastAsia="zh-CN"/>
        </w:rPr>
        <w:t>然而，目前所有TRG的分级标准均只考虑了原发肿瘤的消退情况。事实上，新辅助放化疗后淋巴结消退同样存在，而且淋巴结消退分级（LRG）情况在评估新辅助放化疗后直肠癌患者的预后中同样具有重要的临床意义。</w:t>
      </w:r>
    </w:p>
    <w:p>
      <w:pPr>
        <w:widowControl/>
        <w:spacing w:before="156" w:beforeLines="50" w:line="360" w:lineRule="atLeast"/>
        <w:ind w:firstLine="480" w:firstLineChars="20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我们小组通过对淋巴结消退分级的影响因素的分析，得出了一个操作简便，适用性强，拟合效果准确的淋巴结消退分级标准。</w:t>
      </w:r>
    </w:p>
    <w:p>
      <w:pPr>
        <w:widowControl/>
        <w:spacing w:before="156" w:beforeLines="50" w:line="360" w:lineRule="atLeast"/>
        <w:ind w:firstLine="482" w:firstLineChars="200"/>
        <w:jc w:val="left"/>
        <w:rPr>
          <w:rFonts w:hint="eastAsia" w:ascii="Times New Roman" w:hAnsi="Times New Roman" w:eastAsia="宋体" w:cs="Times New Roman"/>
          <w:b/>
          <w:bCs/>
          <w:sz w:val="24"/>
          <w:szCs w:val="24"/>
          <w:u w:val="none"/>
          <w:lang w:val="en-US" w:eastAsia="zh-CN"/>
        </w:rPr>
      </w:pPr>
      <w:r>
        <w:rPr>
          <w:rFonts w:hint="eastAsia" w:ascii="Times New Roman" w:hAnsi="Times New Roman" w:eastAsia="宋体" w:cs="Times New Roman"/>
          <w:b/>
          <w:bCs/>
          <w:sz w:val="24"/>
          <w:szCs w:val="24"/>
          <w:u w:val="none"/>
          <w:lang w:val="en-US" w:eastAsia="zh-CN"/>
        </w:rPr>
        <w:t>影响因素的确定</w:t>
      </w:r>
    </w:p>
    <w:p>
      <w:pPr>
        <w:widowControl/>
        <w:spacing w:before="156" w:beforeLines="50" w:line="360" w:lineRule="atLeast"/>
        <w:ind w:firstLine="480" w:firstLineChars="200"/>
        <w:jc w:val="left"/>
        <w:rPr>
          <w:rFonts w:hint="eastAsia" w:ascii="Times New Roman" w:hAnsi="Times New Roman" w:eastAsia="宋体" w:cs="Times New Roman"/>
          <w:b w:val="0"/>
          <w:bCs w:val="0"/>
          <w:sz w:val="24"/>
          <w:szCs w:val="24"/>
          <w:u w:val="none"/>
          <w:lang w:val="en-US" w:eastAsia="zh-CN"/>
        </w:rPr>
      </w:pPr>
      <w:r>
        <w:rPr>
          <w:rFonts w:hint="eastAsia" w:ascii="Times New Roman" w:hAnsi="Times New Roman" w:eastAsia="宋体" w:cs="Times New Roman"/>
          <w:b w:val="0"/>
          <w:bCs w:val="0"/>
          <w:sz w:val="24"/>
          <w:szCs w:val="24"/>
          <w:u w:val="none"/>
          <w:lang w:val="en-US" w:eastAsia="zh-CN"/>
        </w:rPr>
        <w:t>我们通过卡方检验，回归分析等一系列可靠的数学方法将附表中数据进行分析和整合，最后确定了四个影响因素：化疗方案、诊断结果、放疗野淋巴结位置、放疗野淋巴结数量。</w:t>
      </w:r>
    </w:p>
    <w:p>
      <w:pPr>
        <w:widowControl/>
        <w:spacing w:before="156" w:beforeLines="50" w:line="360" w:lineRule="atLeast"/>
        <w:ind w:firstLine="482" w:firstLineChars="200"/>
        <w:jc w:val="left"/>
        <w:rPr>
          <w:rFonts w:hint="eastAsia" w:ascii="Times New Roman" w:hAnsi="Times New Roman" w:eastAsia="宋体" w:cs="Times New Roman"/>
          <w:b/>
          <w:bCs/>
          <w:sz w:val="24"/>
          <w:szCs w:val="24"/>
          <w:u w:val="none"/>
          <w:lang w:val="en-US" w:eastAsia="zh-CN"/>
        </w:rPr>
      </w:pPr>
      <w:r>
        <w:rPr>
          <w:rFonts w:hint="eastAsia" w:ascii="Times New Roman" w:hAnsi="Times New Roman" w:eastAsia="宋体" w:cs="Times New Roman"/>
          <w:b/>
          <w:bCs/>
          <w:sz w:val="24"/>
          <w:szCs w:val="24"/>
          <w:u w:val="none"/>
          <w:lang w:val="en-US" w:eastAsia="zh-CN"/>
        </w:rPr>
        <w:t>权重的确定</w:t>
      </w:r>
    </w:p>
    <w:p>
      <w:pPr>
        <w:widowControl/>
        <w:spacing w:before="156" w:beforeLines="50" w:line="360" w:lineRule="atLeast"/>
        <w:ind w:firstLine="480" w:firstLineChars="200"/>
        <w:jc w:val="left"/>
        <w:rPr>
          <w:rFonts w:ascii="宋体" w:hAnsi="宋体" w:eastAsia="宋体" w:cs="宋体"/>
          <w:sz w:val="24"/>
          <w:szCs w:val="24"/>
        </w:rPr>
      </w:pPr>
      <w:r>
        <w:rPr>
          <w:rFonts w:ascii="宋体" w:hAnsi="宋体" w:eastAsia="宋体" w:cs="宋体"/>
          <w:sz w:val="24"/>
          <w:szCs w:val="24"/>
        </w:rPr>
        <w:t>利用熵权法，类比熵可以代表混乱程度的特性，我们通过参量的变异程度，利用信息熵，反映出每个参量对于淋巴结消退的影响比例，进而确定了权重。</w:t>
      </w:r>
    </w:p>
    <w:p>
      <w:pPr>
        <w:widowControl/>
        <w:spacing w:before="156" w:beforeLines="50" w:line="360" w:lineRule="atLeast"/>
        <w:ind w:firstLine="482" w:firstLineChars="200"/>
        <w:jc w:val="left"/>
        <w:rPr>
          <w:rFonts w:hint="eastAsia" w:ascii="Times New Roman" w:hAnsi="Times New Roman" w:eastAsia="宋体" w:cs="Times New Roman"/>
          <w:b/>
          <w:bCs/>
          <w:sz w:val="24"/>
          <w:szCs w:val="24"/>
          <w:u w:val="none"/>
          <w:lang w:val="en-US" w:eastAsia="zh-CN"/>
        </w:rPr>
      </w:pPr>
      <w:r>
        <w:rPr>
          <w:rFonts w:hint="eastAsia" w:ascii="Times New Roman" w:hAnsi="Times New Roman" w:eastAsia="宋体" w:cs="Times New Roman"/>
          <w:b/>
          <w:bCs/>
          <w:sz w:val="24"/>
          <w:szCs w:val="24"/>
          <w:u w:val="none"/>
          <w:lang w:val="en-US" w:eastAsia="zh-CN"/>
        </w:rPr>
        <w:t>分级标准的制定</w:t>
      </w:r>
    </w:p>
    <w:p>
      <w:pPr>
        <w:widowControl/>
        <w:spacing w:before="156" w:beforeLines="50" w:line="360" w:lineRule="atLeast"/>
        <w:ind w:firstLine="480" w:firstLineChars="20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我们已经得到了四个评价指标的权重，再通过可靠的样本数据，依次相乘累加，得到不同淋巴消退等级的区间。不同的区间有不同的治疗方案。</w:t>
      </w:r>
    </w:p>
    <w:p>
      <w:pPr>
        <w:autoSpaceDE w:val="0"/>
        <w:autoSpaceDN w:val="0"/>
        <w:adjustRightInd w:val="0"/>
        <w:spacing w:before="156" w:beforeLines="50" w:line="360" w:lineRule="atLeast"/>
        <w:ind w:firstLine="480" w:firstLineChars="20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有了我们的这个研究成果，在对患有直肠癌的病人进行放疗时就可以通过对其身体的四项指标进行测量，然后通过我们给出的权重值，就可以计算出区间，从而确定患者相应的LRG等级，了解其身体现况，进而准确地预测下一步的手术类型或治疗方案。从而最大化的改善患者的身体状况，对其身体健康负责。</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single" w:color="000000" w:sz="8" w:space="0"/>
              <w:left w:val="dotted" w:color="auto" w:sz="4" w:space="0"/>
              <w:bottom w:val="single" w:color="000000" w:sz="8" w:space="0"/>
              <w:right w:val="dotted" w:color="auto" w:sz="4" w:space="0"/>
            </w:tcBorders>
            <w:shd w:val="clear" w:color="auto" w:fill="FFFFFF"/>
          </w:tcPr>
          <w:p>
            <w:pPr>
              <w:rPr>
                <w:rFonts w:hint="eastAsia" w:ascii="宋体" w:hAnsi="宋体" w:eastAsia="宋体" w:cs="宋体"/>
                <w:color w:val="000000"/>
                <w:sz w:val="24"/>
                <w:szCs w:val="24"/>
              </w:rPr>
            </w:pPr>
            <w:r>
              <w:rPr>
                <w:rFonts w:hint="eastAsia" w:ascii="宋体" w:hAnsi="宋体" w:eastAsia="宋体" w:cs="宋体"/>
                <w:color w:val="000000"/>
                <w:sz w:val="24"/>
                <w:szCs w:val="24"/>
              </w:rPr>
              <w:t>区间</w:t>
            </w:r>
          </w:p>
        </w:tc>
        <w:tc>
          <w:tcPr>
            <w:tcW w:w="2765" w:type="dxa"/>
            <w:tcBorders>
              <w:top w:val="single" w:color="000000" w:sz="8" w:space="0"/>
              <w:left w:val="dotted" w:color="auto" w:sz="4" w:space="0"/>
              <w:bottom w:val="single" w:color="000000" w:sz="8" w:space="0"/>
              <w:right w:val="dotted" w:color="auto" w:sz="4" w:space="0"/>
            </w:tcBorders>
            <w:shd w:val="clear" w:color="auto" w:fill="FFFFFF"/>
          </w:tcPr>
          <w:p>
            <w:pPr>
              <w:rPr>
                <w:rFonts w:hint="eastAsia" w:ascii="宋体" w:hAnsi="宋体" w:eastAsia="宋体" w:cs="宋体"/>
                <w:color w:val="000000"/>
                <w:sz w:val="24"/>
                <w:szCs w:val="24"/>
              </w:rPr>
            </w:pPr>
            <w:r>
              <w:rPr>
                <w:rFonts w:hint="eastAsia" w:ascii="宋体" w:hAnsi="宋体" w:eastAsia="宋体" w:cs="宋体"/>
                <w:color w:val="000000"/>
                <w:sz w:val="24"/>
                <w:szCs w:val="24"/>
              </w:rPr>
              <w:t>LRG等级</w:t>
            </w:r>
          </w:p>
        </w:tc>
        <w:tc>
          <w:tcPr>
            <w:tcW w:w="2766" w:type="dxa"/>
            <w:tcBorders>
              <w:top w:val="single" w:color="000000" w:sz="8" w:space="0"/>
              <w:left w:val="dotted" w:color="auto" w:sz="4" w:space="0"/>
              <w:bottom w:val="single" w:color="000000" w:sz="8" w:space="0"/>
              <w:right w:val="dotted" w:color="auto" w:sz="4" w:space="0"/>
            </w:tcBorders>
            <w:shd w:val="clear" w:color="auto" w:fill="FFFFFF"/>
          </w:tcPr>
          <w:p>
            <w:pPr>
              <w:rPr>
                <w:rFonts w:hint="eastAsia" w:ascii="宋体" w:hAnsi="宋体" w:eastAsia="宋体" w:cs="宋体"/>
                <w:color w:val="000000"/>
                <w:sz w:val="24"/>
                <w:szCs w:val="24"/>
              </w:rPr>
            </w:pPr>
            <w:r>
              <w:rPr>
                <w:rFonts w:hint="eastAsia" w:ascii="宋体" w:hAnsi="宋体" w:eastAsia="宋体" w:cs="宋体"/>
                <w:color w:val="000000"/>
                <w:sz w:val="24"/>
                <w:szCs w:val="24"/>
              </w:rPr>
              <w:t>身体健康指数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single" w:color="000000" w:sz="8" w:space="0"/>
              <w:left w:val="dotted" w:color="auto" w:sz="4" w:space="0"/>
              <w:bottom w:val="dotted" w:color="auto" w:sz="4" w:space="0"/>
              <w:right w:val="dotted" w:color="auto" w:sz="4" w:space="0"/>
            </w:tcBorders>
            <w:shd w:val="clear" w:color="auto" w:fill="CCCCCC"/>
          </w:tcPr>
          <w:p>
            <w:pPr>
              <w:rPr>
                <w:rFonts w:hint="eastAsia" w:ascii="宋体" w:hAnsi="宋体" w:eastAsia="宋体" w:cs="宋体"/>
                <w:color w:val="000000"/>
                <w:sz w:val="24"/>
                <w:szCs w:val="24"/>
              </w:rPr>
            </w:pPr>
            <w:r>
              <w:rPr>
                <w:rFonts w:hint="eastAsia" w:ascii="宋体" w:hAnsi="宋体" w:eastAsia="宋体" w:cs="宋体"/>
                <w:color w:val="000000"/>
                <w:sz w:val="24"/>
                <w:szCs w:val="24"/>
              </w:rPr>
              <w:t>1.7~2.6</w:t>
            </w:r>
          </w:p>
        </w:tc>
        <w:tc>
          <w:tcPr>
            <w:tcW w:w="2765" w:type="dxa"/>
            <w:tcBorders>
              <w:top w:val="single" w:color="000000" w:sz="8" w:space="0"/>
              <w:left w:val="dotted" w:color="auto" w:sz="4" w:space="0"/>
              <w:bottom w:val="dotted" w:color="auto" w:sz="4" w:space="0"/>
              <w:right w:val="dotted" w:color="auto" w:sz="4" w:space="0"/>
            </w:tcBorders>
            <w:shd w:val="clear" w:color="auto" w:fill="CCCCCC"/>
          </w:tcPr>
          <w:p>
            <w:pPr>
              <w:rPr>
                <w:rFonts w:hint="eastAsia" w:ascii="宋体" w:hAnsi="宋体" w:eastAsia="宋体" w:cs="宋体"/>
                <w:color w:val="000000"/>
                <w:sz w:val="24"/>
                <w:szCs w:val="24"/>
              </w:rPr>
            </w:pPr>
            <w:r>
              <w:rPr>
                <w:rFonts w:hint="eastAsia" w:ascii="宋体" w:hAnsi="宋体" w:eastAsia="宋体" w:cs="宋体"/>
                <w:color w:val="000000"/>
                <w:sz w:val="24"/>
                <w:szCs w:val="24"/>
              </w:rPr>
              <w:t>1</w:t>
            </w:r>
          </w:p>
        </w:tc>
        <w:tc>
          <w:tcPr>
            <w:tcW w:w="2766" w:type="dxa"/>
            <w:tcBorders>
              <w:top w:val="single" w:color="000000" w:sz="8" w:space="0"/>
              <w:left w:val="dotted" w:color="auto" w:sz="4" w:space="0"/>
              <w:bottom w:val="dotted" w:color="auto" w:sz="4" w:space="0"/>
              <w:right w:val="dotted" w:color="auto" w:sz="4" w:space="0"/>
            </w:tcBorders>
            <w:shd w:val="clear" w:color="auto" w:fill="CCCCCC"/>
          </w:tcPr>
          <w:p>
            <w:pPr>
              <w:rPr>
                <w:rFonts w:hint="eastAsia" w:ascii="宋体" w:hAnsi="宋体" w:eastAsia="宋体" w:cs="宋体"/>
                <w:color w:val="000000"/>
                <w:sz w:val="24"/>
                <w:szCs w:val="24"/>
              </w:rPr>
            </w:pPr>
            <w:r>
              <w:rPr>
                <w:rFonts w:hint="eastAsia" w:ascii="宋体" w:hAnsi="宋体" w:eastAsia="宋体" w:cs="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dotted" w:color="auto" w:sz="4" w:space="0"/>
              <w:left w:val="dotted" w:color="auto" w:sz="4" w:space="0"/>
              <w:bottom w:val="dotted" w:color="auto" w:sz="4" w:space="0"/>
              <w:right w:val="dotted" w:color="auto" w:sz="4" w:space="0"/>
            </w:tcBorders>
            <w:shd w:val="clear" w:color="auto" w:fill="FFFFFF"/>
          </w:tcPr>
          <w:p>
            <w:pPr>
              <w:rPr>
                <w:rFonts w:hint="eastAsia" w:ascii="宋体" w:hAnsi="宋体" w:eastAsia="宋体" w:cs="宋体"/>
                <w:color w:val="000000"/>
                <w:sz w:val="24"/>
                <w:szCs w:val="24"/>
              </w:rPr>
            </w:pPr>
            <w:r>
              <w:rPr>
                <w:rFonts w:hint="eastAsia" w:ascii="宋体" w:hAnsi="宋体" w:eastAsia="宋体" w:cs="宋体"/>
                <w:color w:val="000000"/>
                <w:sz w:val="24"/>
                <w:szCs w:val="24"/>
              </w:rPr>
              <w:t>2.6~3.2</w:t>
            </w:r>
          </w:p>
        </w:tc>
        <w:tc>
          <w:tcPr>
            <w:tcW w:w="2765" w:type="dxa"/>
            <w:tcBorders>
              <w:top w:val="dotted" w:color="auto" w:sz="4" w:space="0"/>
              <w:left w:val="dotted" w:color="auto" w:sz="4" w:space="0"/>
              <w:bottom w:val="dotted" w:color="auto" w:sz="4" w:space="0"/>
              <w:right w:val="dotted" w:color="auto" w:sz="4" w:space="0"/>
            </w:tcBorders>
            <w:shd w:val="clear" w:color="auto" w:fill="FFFFFF"/>
          </w:tcPr>
          <w:p>
            <w:pPr>
              <w:rPr>
                <w:rFonts w:hint="eastAsia" w:ascii="宋体" w:hAnsi="宋体" w:eastAsia="宋体" w:cs="宋体"/>
                <w:color w:val="000000"/>
                <w:sz w:val="24"/>
                <w:szCs w:val="24"/>
              </w:rPr>
            </w:pPr>
            <w:r>
              <w:rPr>
                <w:rFonts w:hint="eastAsia" w:ascii="宋体" w:hAnsi="宋体" w:eastAsia="宋体" w:cs="宋体"/>
                <w:color w:val="000000"/>
                <w:sz w:val="24"/>
                <w:szCs w:val="24"/>
              </w:rPr>
              <w:t>2</w:t>
            </w:r>
          </w:p>
        </w:tc>
        <w:tc>
          <w:tcPr>
            <w:tcW w:w="2766" w:type="dxa"/>
            <w:tcBorders>
              <w:top w:val="dotted" w:color="auto" w:sz="4" w:space="0"/>
              <w:left w:val="dotted" w:color="auto" w:sz="4" w:space="0"/>
              <w:bottom w:val="dotted" w:color="auto" w:sz="4" w:space="0"/>
              <w:right w:val="dotted" w:color="auto" w:sz="4" w:space="0"/>
            </w:tcBorders>
            <w:shd w:val="clear" w:color="auto" w:fill="FFFFFF"/>
          </w:tcPr>
          <w:p>
            <w:pPr>
              <w:rPr>
                <w:rFonts w:hint="eastAsia" w:ascii="宋体" w:hAnsi="宋体" w:eastAsia="宋体" w:cs="宋体"/>
                <w:color w:val="000000"/>
                <w:sz w:val="24"/>
                <w:szCs w:val="24"/>
              </w:rPr>
            </w:pPr>
            <w:r>
              <w:rPr>
                <w:rFonts w:hint="eastAsia" w:ascii="宋体" w:hAnsi="宋体" w:eastAsia="宋体" w:cs="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dotted" w:color="auto" w:sz="4" w:space="0"/>
              <w:left w:val="dotted" w:color="auto" w:sz="4" w:space="0"/>
              <w:bottom w:val="dotted" w:color="auto" w:sz="4" w:space="0"/>
              <w:right w:val="dotted" w:color="auto" w:sz="4" w:space="0"/>
            </w:tcBorders>
            <w:shd w:val="clear" w:color="auto" w:fill="CCCCCC"/>
          </w:tcPr>
          <w:p>
            <w:pPr>
              <w:rPr>
                <w:rFonts w:hint="eastAsia" w:ascii="宋体" w:hAnsi="宋体" w:eastAsia="宋体" w:cs="宋体"/>
                <w:color w:val="000000"/>
                <w:sz w:val="24"/>
                <w:szCs w:val="24"/>
              </w:rPr>
            </w:pPr>
            <w:r>
              <w:rPr>
                <w:rFonts w:hint="eastAsia" w:ascii="宋体" w:hAnsi="宋体" w:eastAsia="宋体" w:cs="宋体"/>
                <w:color w:val="000000"/>
                <w:sz w:val="24"/>
                <w:szCs w:val="24"/>
              </w:rPr>
              <w:t>3.2~4.4</w:t>
            </w:r>
          </w:p>
        </w:tc>
        <w:tc>
          <w:tcPr>
            <w:tcW w:w="2765" w:type="dxa"/>
            <w:tcBorders>
              <w:top w:val="dotted" w:color="auto" w:sz="4" w:space="0"/>
              <w:left w:val="dotted" w:color="auto" w:sz="4" w:space="0"/>
              <w:bottom w:val="dotted" w:color="auto" w:sz="4" w:space="0"/>
              <w:right w:val="dotted" w:color="auto" w:sz="4" w:space="0"/>
            </w:tcBorders>
            <w:shd w:val="clear" w:color="auto" w:fill="CCCCCC"/>
          </w:tcPr>
          <w:p>
            <w:pPr>
              <w:rPr>
                <w:rFonts w:hint="eastAsia" w:ascii="宋体" w:hAnsi="宋体" w:eastAsia="宋体" w:cs="宋体"/>
                <w:color w:val="000000"/>
                <w:sz w:val="24"/>
                <w:szCs w:val="24"/>
              </w:rPr>
            </w:pPr>
            <w:r>
              <w:rPr>
                <w:rFonts w:hint="eastAsia" w:ascii="宋体" w:hAnsi="宋体" w:eastAsia="宋体" w:cs="宋体"/>
                <w:color w:val="000000"/>
                <w:sz w:val="24"/>
                <w:szCs w:val="24"/>
              </w:rPr>
              <w:t>3</w:t>
            </w:r>
          </w:p>
        </w:tc>
        <w:tc>
          <w:tcPr>
            <w:tcW w:w="2766" w:type="dxa"/>
            <w:tcBorders>
              <w:top w:val="dotted" w:color="auto" w:sz="4" w:space="0"/>
              <w:left w:val="dotted" w:color="auto" w:sz="4" w:space="0"/>
              <w:bottom w:val="dotted" w:color="auto" w:sz="4" w:space="0"/>
              <w:right w:val="dotted" w:color="auto" w:sz="4" w:space="0"/>
            </w:tcBorders>
            <w:shd w:val="clear" w:color="auto" w:fill="CCCCCC"/>
          </w:tcPr>
          <w:p>
            <w:pPr>
              <w:rPr>
                <w:rFonts w:hint="eastAsia" w:ascii="宋体" w:hAnsi="宋体" w:eastAsia="宋体" w:cs="宋体"/>
                <w:color w:val="000000"/>
                <w:sz w:val="24"/>
                <w:szCs w:val="24"/>
              </w:rPr>
            </w:pPr>
            <w:r>
              <w:rPr>
                <w:rFonts w:hint="eastAsia" w:ascii="宋体" w:hAnsi="宋体" w:eastAsia="宋体" w:cs="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dotted" w:color="auto" w:sz="4" w:space="0"/>
              <w:left w:val="dotted" w:color="auto" w:sz="4" w:space="0"/>
              <w:bottom w:val="dotted" w:color="auto" w:sz="4" w:space="0"/>
              <w:right w:val="dotted" w:color="auto" w:sz="4" w:space="0"/>
            </w:tcBorders>
            <w:shd w:val="clear" w:color="auto" w:fill="FFFFFF"/>
          </w:tcPr>
          <w:p>
            <w:pPr>
              <w:rPr>
                <w:rFonts w:hint="eastAsia" w:ascii="宋体" w:hAnsi="宋体" w:eastAsia="宋体" w:cs="宋体"/>
                <w:color w:val="000000"/>
                <w:sz w:val="24"/>
                <w:szCs w:val="24"/>
              </w:rPr>
            </w:pPr>
            <w:r>
              <w:rPr>
                <w:rFonts w:hint="eastAsia" w:ascii="宋体" w:hAnsi="宋体" w:eastAsia="宋体" w:cs="宋体"/>
                <w:color w:val="000000"/>
                <w:sz w:val="24"/>
                <w:szCs w:val="24"/>
              </w:rPr>
              <w:t>4.4~5.2</w:t>
            </w:r>
          </w:p>
        </w:tc>
        <w:tc>
          <w:tcPr>
            <w:tcW w:w="2765" w:type="dxa"/>
            <w:tcBorders>
              <w:top w:val="dotted" w:color="auto" w:sz="4" w:space="0"/>
              <w:left w:val="dotted" w:color="auto" w:sz="4" w:space="0"/>
              <w:bottom w:val="dotted" w:color="auto" w:sz="4" w:space="0"/>
              <w:right w:val="dotted" w:color="auto" w:sz="4" w:space="0"/>
            </w:tcBorders>
            <w:shd w:val="clear" w:color="auto" w:fill="FFFFFF"/>
          </w:tcPr>
          <w:p>
            <w:pPr>
              <w:rPr>
                <w:rFonts w:hint="eastAsia" w:ascii="宋体" w:hAnsi="宋体" w:eastAsia="宋体" w:cs="宋体"/>
                <w:color w:val="000000"/>
                <w:sz w:val="24"/>
                <w:szCs w:val="24"/>
              </w:rPr>
            </w:pPr>
            <w:r>
              <w:rPr>
                <w:rFonts w:hint="eastAsia" w:ascii="宋体" w:hAnsi="宋体" w:eastAsia="宋体" w:cs="宋体"/>
                <w:color w:val="000000"/>
                <w:sz w:val="24"/>
                <w:szCs w:val="24"/>
              </w:rPr>
              <w:t>4</w:t>
            </w:r>
          </w:p>
        </w:tc>
        <w:tc>
          <w:tcPr>
            <w:tcW w:w="2766" w:type="dxa"/>
            <w:tcBorders>
              <w:top w:val="dotted" w:color="auto" w:sz="4" w:space="0"/>
              <w:left w:val="dotted" w:color="auto" w:sz="4" w:space="0"/>
              <w:bottom w:val="dotted" w:color="auto" w:sz="4" w:space="0"/>
              <w:right w:val="dotted" w:color="auto" w:sz="4" w:space="0"/>
            </w:tcBorders>
            <w:shd w:val="clear" w:color="auto" w:fill="FFFFFF"/>
          </w:tcPr>
          <w:p>
            <w:pPr>
              <w:rPr>
                <w:rFonts w:hint="eastAsia" w:ascii="宋体" w:hAnsi="宋体" w:eastAsia="宋体" w:cs="宋体"/>
                <w:color w:val="000000"/>
                <w:sz w:val="24"/>
                <w:szCs w:val="24"/>
              </w:rPr>
            </w:pPr>
            <w:r>
              <w:rPr>
                <w:rFonts w:hint="eastAsia" w:ascii="宋体" w:hAnsi="宋体" w:eastAsia="宋体" w:cs="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tcBorders>
              <w:top w:val="dotted" w:color="auto" w:sz="4" w:space="0"/>
              <w:left w:val="dotted" w:color="auto" w:sz="4" w:space="0"/>
              <w:bottom w:val="single" w:color="000000" w:sz="8" w:space="0"/>
              <w:right w:val="dotted" w:color="auto" w:sz="4" w:space="0"/>
            </w:tcBorders>
            <w:shd w:val="clear" w:color="auto" w:fill="CCCCCC"/>
          </w:tcPr>
          <w:p>
            <w:pPr>
              <w:rPr>
                <w:rFonts w:hint="eastAsia" w:ascii="宋体" w:hAnsi="宋体" w:eastAsia="宋体" w:cs="宋体"/>
                <w:color w:val="000000"/>
                <w:sz w:val="24"/>
                <w:szCs w:val="24"/>
              </w:rPr>
            </w:pPr>
            <w:r>
              <w:rPr>
                <w:rFonts w:hint="eastAsia" w:ascii="宋体" w:hAnsi="宋体" w:eastAsia="宋体" w:cs="宋体"/>
                <w:color w:val="000000"/>
                <w:sz w:val="24"/>
                <w:szCs w:val="24"/>
              </w:rPr>
              <w:t>5.2~6.5</w:t>
            </w:r>
          </w:p>
        </w:tc>
        <w:tc>
          <w:tcPr>
            <w:tcW w:w="2765" w:type="dxa"/>
            <w:tcBorders>
              <w:top w:val="dotted" w:color="auto" w:sz="4" w:space="0"/>
              <w:left w:val="dotted" w:color="auto" w:sz="4" w:space="0"/>
              <w:bottom w:val="single" w:color="000000" w:sz="8" w:space="0"/>
              <w:right w:val="dotted" w:color="auto" w:sz="4" w:space="0"/>
            </w:tcBorders>
            <w:shd w:val="clear" w:color="auto" w:fill="CCCCCC"/>
          </w:tcPr>
          <w:p>
            <w:pPr>
              <w:rPr>
                <w:rFonts w:hint="eastAsia" w:ascii="宋体" w:hAnsi="宋体" w:eastAsia="宋体" w:cs="宋体"/>
                <w:color w:val="000000"/>
                <w:sz w:val="24"/>
                <w:szCs w:val="24"/>
              </w:rPr>
            </w:pPr>
            <w:r>
              <w:rPr>
                <w:rFonts w:hint="eastAsia" w:ascii="宋体" w:hAnsi="宋体" w:eastAsia="宋体" w:cs="宋体"/>
                <w:color w:val="000000"/>
                <w:sz w:val="24"/>
                <w:szCs w:val="24"/>
              </w:rPr>
              <w:t>5</w:t>
            </w:r>
          </w:p>
        </w:tc>
        <w:tc>
          <w:tcPr>
            <w:tcW w:w="2766" w:type="dxa"/>
            <w:tcBorders>
              <w:top w:val="dotted" w:color="auto" w:sz="4" w:space="0"/>
              <w:left w:val="dotted" w:color="auto" w:sz="4" w:space="0"/>
              <w:bottom w:val="single" w:color="000000" w:sz="8" w:space="0"/>
              <w:right w:val="dotted" w:color="auto" w:sz="4" w:space="0"/>
            </w:tcBorders>
            <w:shd w:val="clear" w:color="auto" w:fill="CCCCCC"/>
          </w:tcPr>
          <w:p>
            <w:pPr>
              <w:rPr>
                <w:rFonts w:hint="eastAsia" w:ascii="宋体" w:hAnsi="宋体" w:eastAsia="宋体" w:cs="宋体"/>
                <w:color w:val="000000"/>
                <w:sz w:val="24"/>
                <w:szCs w:val="24"/>
              </w:rPr>
            </w:pPr>
            <w:r>
              <w:rPr>
                <w:rFonts w:hint="eastAsia" w:ascii="宋体" w:hAnsi="宋体" w:eastAsia="宋体" w:cs="宋体"/>
                <w:color w:val="000000"/>
                <w:sz w:val="24"/>
                <w:szCs w:val="24"/>
              </w:rPr>
              <w:t>*</w:t>
            </w:r>
          </w:p>
        </w:tc>
      </w:tr>
    </w:tbl>
    <w:p>
      <w:pPr>
        <w:widowControl/>
        <w:spacing w:before="156" w:beforeLines="50" w:line="360" w:lineRule="atLeast"/>
        <w:ind w:firstLine="480" w:firstLineChars="200"/>
        <w:jc w:val="left"/>
        <w:rPr>
          <w:rFonts w:hint="default" w:ascii="Times New Roman" w:hAnsi="Times New Roman" w:eastAsia="宋体" w:cs="Times New Roman"/>
          <w:sz w:val="24"/>
          <w:szCs w:val="24"/>
          <w:u w:val="none"/>
          <w:lang w:val="en-US" w:eastAsia="zh-CN"/>
        </w:rPr>
      </w:pPr>
    </w:p>
    <w:p>
      <w:pPr>
        <w:widowControl/>
        <w:numPr>
          <w:ilvl w:val="0"/>
          <w:numId w:val="0"/>
        </w:numPr>
        <w:spacing w:before="156" w:beforeLines="50" w:line="360" w:lineRule="atLeast"/>
        <w:jc w:val="left"/>
        <w:rPr>
          <w:rFonts w:hint="eastAsia" w:ascii="Times New Roman" w:hAnsi="Times New Roman" w:eastAsia="宋体" w:cs="Times New Roman"/>
          <w:b/>
          <w:bCs/>
          <w:sz w:val="24"/>
          <w:szCs w:val="24"/>
          <w:u w:val="none"/>
          <w:lang w:val="en-US" w:eastAsia="zh-CN"/>
        </w:rPr>
      </w:pPr>
    </w:p>
    <w:p>
      <w:pPr>
        <w:keepNext w:val="0"/>
        <w:keepLines w:val="0"/>
        <w:widowControl/>
        <w:numPr>
          <w:ilvl w:val="0"/>
          <w:numId w:val="0"/>
        </w:numPr>
        <w:suppressLineNumbers w:val="0"/>
        <w:jc w:val="both"/>
        <w:rPr>
          <w:rFonts w:hint="eastAsia" w:ascii="黑体" w:hAnsi="黑体" w:eastAsia="黑体" w:cs="黑体"/>
          <w:b/>
          <w:bCs/>
          <w:color w:val="000000"/>
          <w:kern w:val="0"/>
          <w:sz w:val="36"/>
          <w:szCs w:val="36"/>
          <w:lang w:val="en-US" w:eastAsia="zh-CN" w:bidi="ar"/>
        </w:rPr>
      </w:pPr>
    </w:p>
    <w:p>
      <w:pPr>
        <w:rPr>
          <w:rFonts w:hint="default" w:ascii="黑体" w:hAnsi="黑体" w:eastAsia="黑体" w:cs="黑体"/>
          <w:b/>
          <w:bCs/>
          <w:sz w:val="30"/>
          <w:szCs w:val="30"/>
          <w:lang w:val="en-US" w:eastAsia="zh-CN"/>
        </w:rPr>
      </w:pPr>
    </w:p>
    <w:p>
      <w:pPr>
        <w:pStyle w:val="24"/>
        <w:ind w:left="0" w:leftChars="0" w:firstLine="0" w:firstLineChars="0"/>
        <w:rPr>
          <w:rFonts w:hint="default" w:ascii="黑体" w:hAnsi="黑体" w:eastAsia="黑体" w:cs="黑体"/>
          <w:b/>
          <w:bCs/>
          <w:color w:val="000000"/>
          <w:kern w:val="0"/>
          <w:sz w:val="30"/>
          <w:szCs w:val="30"/>
          <w:lang w:val="en-US" w:eastAsia="zh-CN" w:bidi="ar"/>
        </w:rPr>
      </w:pPr>
    </w:p>
    <w:p>
      <w:pPr>
        <w:autoSpaceDE w:val="0"/>
        <w:autoSpaceDN w:val="0"/>
        <w:adjustRightInd w:val="0"/>
        <w:spacing w:before="156" w:beforeLines="50" w:line="360" w:lineRule="atLeast"/>
        <w:jc w:val="left"/>
        <w:rPr>
          <w:rFonts w:hint="default" w:ascii="黑体" w:hAnsi="黑体" w:eastAsia="黑体" w:cs="黑体"/>
          <w:b/>
          <w:bCs/>
          <w:color w:val="000000"/>
          <w:kern w:val="0"/>
          <w:sz w:val="30"/>
          <w:szCs w:val="30"/>
          <w:lang w:val="en-US" w:eastAsia="zh-CN" w:bidi="ar"/>
        </w:rPr>
      </w:pPr>
    </w:p>
    <w:p>
      <w:pPr>
        <w:autoSpaceDE w:val="0"/>
        <w:autoSpaceDN w:val="0"/>
        <w:adjustRightInd w:val="0"/>
        <w:spacing w:before="156" w:beforeLines="50" w:line="360" w:lineRule="atLeast"/>
        <w:jc w:val="left"/>
        <w:rPr>
          <w:rFonts w:hint="eastAsia" w:ascii="黑体" w:hAnsi="黑体" w:eastAsia="黑体" w:cs="黑体"/>
          <w:b/>
          <w:bCs/>
          <w:color w:val="000000"/>
          <w:kern w:val="0"/>
          <w:sz w:val="24"/>
          <w:szCs w:val="24"/>
          <w:lang w:val="en-US" w:eastAsia="zh-CN" w:bidi="ar"/>
        </w:rPr>
      </w:pPr>
    </w:p>
    <w:p>
      <w:pPr>
        <w:autoSpaceDE w:val="0"/>
        <w:autoSpaceDN w:val="0"/>
        <w:adjustRightInd w:val="0"/>
        <w:spacing w:before="156" w:beforeLines="50" w:line="360" w:lineRule="atLeast"/>
        <w:jc w:val="left"/>
        <w:rPr>
          <w:rFonts w:hint="default" w:ascii="黑体" w:hAnsi="黑体" w:eastAsia="黑体" w:cs="黑体"/>
          <w:b/>
          <w:bCs/>
          <w:color w:val="000000"/>
          <w:kern w:val="0"/>
          <w:sz w:val="30"/>
          <w:szCs w:val="30"/>
          <w:lang w:val="en-US" w:eastAsia="zh-CN" w:bidi="ar"/>
        </w:rPr>
      </w:pPr>
    </w:p>
    <w:p>
      <w:pPr>
        <w:jc w:val="both"/>
        <w:rPr>
          <w:rFonts w:ascii="Times New Roman" w:hAnsi="Times New Roman" w:cs="Times New Roman"/>
          <w:sz w:val="28"/>
          <w:szCs w:val="28"/>
          <w:lang w:val="en-US"/>
        </w:rPr>
      </w:pPr>
    </w:p>
    <w:sectPr>
      <w:headerReference r:id="rId3" w:type="default"/>
      <w:pgSz w:w="11906" w:h="16838"/>
      <w:pgMar w:top="1440" w:right="1080" w:bottom="1440" w:left="108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Cambria Math">
    <w:panose1 w:val="02040503050406030204"/>
    <w:charset w:val="00"/>
    <w:family w:val="roman"/>
    <w:pitch w:val="default"/>
    <w:sig w:usb0="E00006FF" w:usb1="420024FF" w:usb2="02000000" w:usb3="00000000" w:csb0="2000019F" w:csb1="00000000"/>
  </w:font>
  <w:font w:name="MingLiU">
    <w:altName w:val="PMingLiU-ExtB"/>
    <w:panose1 w:val="02010609000101010101"/>
    <w:charset w:val="88"/>
    <w:family w:val="moder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rFonts w:ascii="Times New Roman" w:hAnsi="Times New Roman" w:eastAsia="宋体" w:cs="Times New Roman"/>
        <w:sz w:val="24"/>
        <w:szCs w:val="24"/>
      </w:rPr>
    </w:pPr>
    <w:r>
      <w:rPr>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jc w:val="left"/>
                            <w:rPr>
                              <w:rFonts w:hint="default" w:eastAsia="宋体"/>
                              <w:lang w:val="en-US" w:eastAsia="zh-CN"/>
                            </w:rPr>
                          </w:pPr>
                          <w:r>
                            <w:rPr>
                              <w:rFonts w:ascii="Times New Roman" w:hAnsi="Times New Roman" w:eastAsia="宋体" w:cs="Times New Roman"/>
                              <w:sz w:val="24"/>
                              <w:szCs w:val="24"/>
                            </w:rPr>
                            <w:t>Team #</w:t>
                          </w:r>
                          <w:r>
                            <w:rPr>
                              <w:rFonts w:hint="eastAsia" w:ascii="Times New Roman" w:hAnsi="Times New Roman" w:eastAsia="宋体" w:cs="Times New Roman"/>
                              <w:sz w:val="24"/>
                              <w:szCs w:val="24"/>
                              <w:lang w:val="en-US" w:eastAsia="zh-CN"/>
                            </w:rPr>
                            <w:t>F049</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page</w:t>
                          </w:r>
                          <w:r>
                            <w:rPr>
                              <w:rFonts w:ascii="Times New Roman" w:hAnsi="Times New Roman" w:eastAsia="宋体" w:cs="Times New Roman"/>
                              <w:sz w:val="24"/>
                              <w:szCs w:val="24"/>
                              <w:lang w:val="zh-CN"/>
                            </w:rPr>
                            <w:t xml:space="preserve"> </w:t>
                          </w:r>
                          <w:r>
                            <w:rPr>
                              <w:rFonts w:ascii="Times New Roman" w:hAnsi="Times New Roman" w:eastAsia="宋体" w:cs="Times New Roman"/>
                              <w:b/>
                              <w:bCs/>
                              <w:sz w:val="24"/>
                              <w:szCs w:val="24"/>
                            </w:rPr>
                            <w:fldChar w:fldCharType="begin"/>
                          </w:r>
                          <w:r>
                            <w:rPr>
                              <w:rFonts w:ascii="Times New Roman" w:hAnsi="Times New Roman" w:eastAsia="宋体" w:cs="Times New Roman"/>
                              <w:b/>
                              <w:bCs/>
                              <w:sz w:val="24"/>
                              <w:szCs w:val="24"/>
                            </w:rPr>
                            <w:instrText xml:space="preserve">PAGE  \* Arabic  \* MERGEFORMAT</w:instrText>
                          </w:r>
                          <w:r>
                            <w:rPr>
                              <w:rFonts w:ascii="Times New Roman" w:hAnsi="Times New Roman" w:eastAsia="宋体" w:cs="Times New Roman"/>
                              <w:b/>
                              <w:bCs/>
                              <w:sz w:val="24"/>
                              <w:szCs w:val="24"/>
                            </w:rPr>
                            <w:fldChar w:fldCharType="separate"/>
                          </w:r>
                          <w:r>
                            <w:rPr>
                              <w:rFonts w:ascii="Times New Roman" w:hAnsi="Times New Roman" w:eastAsia="宋体" w:cs="Times New Roman"/>
                              <w:b/>
                              <w:bCs/>
                              <w:sz w:val="24"/>
                              <w:szCs w:val="24"/>
                            </w:rPr>
                            <w:t>1</w:t>
                          </w:r>
                          <w:r>
                            <w:rPr>
                              <w:rFonts w:ascii="Times New Roman" w:hAnsi="Times New Roman" w:eastAsia="宋体" w:cs="Times New Roman"/>
                              <w:b/>
                              <w:bCs/>
                              <w:sz w:val="24"/>
                              <w:szCs w:val="24"/>
                            </w:rPr>
                            <w:fldChar w:fldCharType="end"/>
                          </w:r>
                          <w:r>
                            <w:rPr>
                              <w:rFonts w:ascii="Times New Roman" w:hAnsi="Times New Roman" w:eastAsia="宋体" w:cs="Times New Roman"/>
                              <w:b/>
                              <w:bCs/>
                              <w:sz w:val="24"/>
                              <w:szCs w:val="24"/>
                            </w:rPr>
                            <w:t xml:space="preserve"> </w:t>
                          </w:r>
                          <w:r>
                            <w:rPr>
                              <w:rFonts w:ascii="Times New Roman" w:hAnsi="Times New Roman" w:eastAsia="宋体" w:cs="Times New Roman"/>
                              <w:sz w:val="24"/>
                              <w:szCs w:val="24"/>
                              <w:lang w:val="zh-CN"/>
                            </w:rPr>
                            <w:t xml:space="preserve">of </w:t>
                          </w:r>
                          <w:r>
                            <w:rPr>
                              <w:rFonts w:hint="eastAsia" w:ascii="Times New Roman" w:hAnsi="Times New Roman" w:eastAsia="宋体" w:cs="Times New Roman"/>
                              <w:sz w:val="24"/>
                              <w:szCs w:val="24"/>
                              <w:lang w:val="en-US" w:eastAsia="zh-CN"/>
                            </w:rPr>
                            <w:t>22</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9"/>
                      <w:jc w:val="left"/>
                      <w:rPr>
                        <w:rFonts w:hint="default" w:eastAsia="宋体"/>
                        <w:lang w:val="en-US" w:eastAsia="zh-CN"/>
                      </w:rPr>
                    </w:pPr>
                    <w:r>
                      <w:rPr>
                        <w:rFonts w:ascii="Times New Roman" w:hAnsi="Times New Roman" w:eastAsia="宋体" w:cs="Times New Roman"/>
                        <w:sz w:val="24"/>
                        <w:szCs w:val="24"/>
                      </w:rPr>
                      <w:t>Team #</w:t>
                    </w:r>
                    <w:r>
                      <w:rPr>
                        <w:rFonts w:hint="eastAsia" w:ascii="Times New Roman" w:hAnsi="Times New Roman" w:eastAsia="宋体" w:cs="Times New Roman"/>
                        <w:sz w:val="24"/>
                        <w:szCs w:val="24"/>
                        <w:lang w:val="en-US" w:eastAsia="zh-CN"/>
                      </w:rPr>
                      <w:t>F049</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 xml:space="preserve">                  </w:t>
                    </w:r>
                    <w:r>
                      <w:rPr>
                        <w:rFonts w:ascii="Times New Roman" w:hAnsi="Times New Roman" w:eastAsia="宋体" w:cs="Times New Roman"/>
                        <w:sz w:val="24"/>
                        <w:szCs w:val="24"/>
                      </w:rPr>
                      <w:t>page</w:t>
                    </w:r>
                    <w:r>
                      <w:rPr>
                        <w:rFonts w:ascii="Times New Roman" w:hAnsi="Times New Roman" w:eastAsia="宋体" w:cs="Times New Roman"/>
                        <w:sz w:val="24"/>
                        <w:szCs w:val="24"/>
                        <w:lang w:val="zh-CN"/>
                      </w:rPr>
                      <w:t xml:space="preserve"> </w:t>
                    </w:r>
                    <w:r>
                      <w:rPr>
                        <w:rFonts w:ascii="Times New Roman" w:hAnsi="Times New Roman" w:eastAsia="宋体" w:cs="Times New Roman"/>
                        <w:b/>
                        <w:bCs/>
                        <w:sz w:val="24"/>
                        <w:szCs w:val="24"/>
                      </w:rPr>
                      <w:fldChar w:fldCharType="begin"/>
                    </w:r>
                    <w:r>
                      <w:rPr>
                        <w:rFonts w:ascii="Times New Roman" w:hAnsi="Times New Roman" w:eastAsia="宋体" w:cs="Times New Roman"/>
                        <w:b/>
                        <w:bCs/>
                        <w:sz w:val="24"/>
                        <w:szCs w:val="24"/>
                      </w:rPr>
                      <w:instrText xml:space="preserve">PAGE  \* Arabic  \* MERGEFORMAT</w:instrText>
                    </w:r>
                    <w:r>
                      <w:rPr>
                        <w:rFonts w:ascii="Times New Roman" w:hAnsi="Times New Roman" w:eastAsia="宋体" w:cs="Times New Roman"/>
                        <w:b/>
                        <w:bCs/>
                        <w:sz w:val="24"/>
                        <w:szCs w:val="24"/>
                      </w:rPr>
                      <w:fldChar w:fldCharType="separate"/>
                    </w:r>
                    <w:r>
                      <w:rPr>
                        <w:rFonts w:ascii="Times New Roman" w:hAnsi="Times New Roman" w:eastAsia="宋体" w:cs="Times New Roman"/>
                        <w:b/>
                        <w:bCs/>
                        <w:sz w:val="24"/>
                        <w:szCs w:val="24"/>
                      </w:rPr>
                      <w:t>1</w:t>
                    </w:r>
                    <w:r>
                      <w:rPr>
                        <w:rFonts w:ascii="Times New Roman" w:hAnsi="Times New Roman" w:eastAsia="宋体" w:cs="Times New Roman"/>
                        <w:b/>
                        <w:bCs/>
                        <w:sz w:val="24"/>
                        <w:szCs w:val="24"/>
                      </w:rPr>
                      <w:fldChar w:fldCharType="end"/>
                    </w:r>
                    <w:r>
                      <w:rPr>
                        <w:rFonts w:ascii="Times New Roman" w:hAnsi="Times New Roman" w:eastAsia="宋体" w:cs="Times New Roman"/>
                        <w:b/>
                        <w:bCs/>
                        <w:sz w:val="24"/>
                        <w:szCs w:val="24"/>
                      </w:rPr>
                      <w:t xml:space="preserve"> </w:t>
                    </w:r>
                    <w:r>
                      <w:rPr>
                        <w:rFonts w:ascii="Times New Roman" w:hAnsi="Times New Roman" w:eastAsia="宋体" w:cs="Times New Roman"/>
                        <w:sz w:val="24"/>
                        <w:szCs w:val="24"/>
                        <w:lang w:val="zh-CN"/>
                      </w:rPr>
                      <w:t xml:space="preserve">of </w:t>
                    </w:r>
                    <w:r>
                      <w:rPr>
                        <w:rFonts w:hint="eastAsia" w:ascii="Times New Roman" w:hAnsi="Times New Roman" w:eastAsia="宋体" w:cs="Times New Roman"/>
                        <w:sz w:val="24"/>
                        <w:szCs w:val="24"/>
                        <w:lang w:val="en-US" w:eastAsia="zh-CN"/>
                      </w:rPr>
                      <w:t>22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551C60"/>
    <w:multiLevelType w:val="singleLevel"/>
    <w:tmpl w:val="75551C60"/>
    <w:lvl w:ilvl="0" w:tentative="0">
      <w:start w:val="1"/>
      <w:numFmt w:val="chineseCounting"/>
      <w:suff w:val="nothing"/>
      <w:lvlText w:val="%1、"/>
      <w:lvlJc w:val="left"/>
      <w:pPr>
        <w:ind w:left="21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74F"/>
    <w:rsid w:val="000550FB"/>
    <w:rsid w:val="0008242B"/>
    <w:rsid w:val="000849D3"/>
    <w:rsid w:val="000941E1"/>
    <w:rsid w:val="000D43B2"/>
    <w:rsid w:val="001159ED"/>
    <w:rsid w:val="002D4741"/>
    <w:rsid w:val="00474B95"/>
    <w:rsid w:val="004829B1"/>
    <w:rsid w:val="006B49ED"/>
    <w:rsid w:val="00772D2C"/>
    <w:rsid w:val="007C29FC"/>
    <w:rsid w:val="00873D06"/>
    <w:rsid w:val="00892EF0"/>
    <w:rsid w:val="008E7DF2"/>
    <w:rsid w:val="00AD6F8E"/>
    <w:rsid w:val="00B71EAD"/>
    <w:rsid w:val="00B94199"/>
    <w:rsid w:val="00BB174F"/>
    <w:rsid w:val="00C707DE"/>
    <w:rsid w:val="00DD27F5"/>
    <w:rsid w:val="00EF0351"/>
    <w:rsid w:val="038D2352"/>
    <w:rsid w:val="0C503796"/>
    <w:rsid w:val="143A4B7F"/>
    <w:rsid w:val="17CD372E"/>
    <w:rsid w:val="1902693B"/>
    <w:rsid w:val="19945CF1"/>
    <w:rsid w:val="19BB441A"/>
    <w:rsid w:val="1AA2497F"/>
    <w:rsid w:val="20D37895"/>
    <w:rsid w:val="22980C8A"/>
    <w:rsid w:val="27294B2A"/>
    <w:rsid w:val="29F437B7"/>
    <w:rsid w:val="2C6457B9"/>
    <w:rsid w:val="2FCA7FFA"/>
    <w:rsid w:val="313C658C"/>
    <w:rsid w:val="345805C6"/>
    <w:rsid w:val="34FC6069"/>
    <w:rsid w:val="35907881"/>
    <w:rsid w:val="382E52D1"/>
    <w:rsid w:val="3A9B5E14"/>
    <w:rsid w:val="404D0076"/>
    <w:rsid w:val="424B25CF"/>
    <w:rsid w:val="428A72E7"/>
    <w:rsid w:val="45113E4B"/>
    <w:rsid w:val="4761493B"/>
    <w:rsid w:val="4CF228D7"/>
    <w:rsid w:val="539A54F8"/>
    <w:rsid w:val="552871E2"/>
    <w:rsid w:val="5798477A"/>
    <w:rsid w:val="57C93887"/>
    <w:rsid w:val="65BA1453"/>
    <w:rsid w:val="69721EC9"/>
    <w:rsid w:val="717609AF"/>
    <w:rsid w:val="74E17B49"/>
    <w:rsid w:val="7BE11290"/>
    <w:rsid w:val="7DF95B73"/>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6"/>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27"/>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customStyle="1" w:styleId="14">
    <w:name w:val="Other|1_"/>
    <w:basedOn w:val="12"/>
    <w:link w:val="15"/>
    <w:qFormat/>
    <w:uiPriority w:val="0"/>
    <w:rPr>
      <w:sz w:val="32"/>
      <w:szCs w:val="32"/>
    </w:rPr>
  </w:style>
  <w:style w:type="paragraph" w:customStyle="1" w:styleId="15">
    <w:name w:val="Other|1"/>
    <w:basedOn w:val="1"/>
    <w:link w:val="14"/>
    <w:qFormat/>
    <w:uiPriority w:val="0"/>
    <w:pPr>
      <w:spacing w:after="280" w:line="266" w:lineRule="auto"/>
      <w:jc w:val="left"/>
    </w:pPr>
    <w:rPr>
      <w:sz w:val="32"/>
      <w:szCs w:val="32"/>
    </w:rPr>
  </w:style>
  <w:style w:type="character" w:customStyle="1" w:styleId="16">
    <w:name w:val="Body text|3_"/>
    <w:basedOn w:val="12"/>
    <w:link w:val="17"/>
    <w:qFormat/>
    <w:uiPriority w:val="0"/>
    <w:rPr>
      <w:rFonts w:ascii="宋体" w:hAnsi="宋体" w:eastAsia="宋体" w:cs="宋体"/>
      <w:lang w:val="zh-TW" w:eastAsia="zh-TW" w:bidi="zh-TW"/>
    </w:rPr>
  </w:style>
  <w:style w:type="paragraph" w:customStyle="1" w:styleId="17">
    <w:name w:val="Body text|3"/>
    <w:basedOn w:val="1"/>
    <w:link w:val="16"/>
    <w:qFormat/>
    <w:uiPriority w:val="0"/>
    <w:pPr>
      <w:spacing w:line="467" w:lineRule="exact"/>
      <w:ind w:firstLine="420"/>
      <w:jc w:val="left"/>
    </w:pPr>
    <w:rPr>
      <w:rFonts w:ascii="宋体" w:hAnsi="宋体" w:eastAsia="宋体" w:cs="宋体"/>
      <w:lang w:val="zh-TW" w:eastAsia="zh-TW" w:bidi="zh-TW"/>
    </w:rPr>
  </w:style>
  <w:style w:type="character" w:customStyle="1" w:styleId="18">
    <w:name w:val="Heading #1|1_"/>
    <w:basedOn w:val="12"/>
    <w:link w:val="19"/>
    <w:qFormat/>
    <w:uiPriority w:val="0"/>
    <w:rPr>
      <w:b/>
      <w:bCs/>
      <w:sz w:val="54"/>
      <w:szCs w:val="54"/>
    </w:rPr>
  </w:style>
  <w:style w:type="paragraph" w:customStyle="1" w:styleId="19">
    <w:name w:val="Heading #1|1"/>
    <w:basedOn w:val="1"/>
    <w:link w:val="18"/>
    <w:qFormat/>
    <w:uiPriority w:val="0"/>
    <w:pPr>
      <w:spacing w:after="720"/>
      <w:jc w:val="left"/>
      <w:outlineLvl w:val="0"/>
    </w:pPr>
    <w:rPr>
      <w:b/>
      <w:bCs/>
      <w:sz w:val="54"/>
      <w:szCs w:val="54"/>
    </w:rPr>
  </w:style>
  <w:style w:type="character" w:customStyle="1" w:styleId="20">
    <w:name w:val="页眉 字符"/>
    <w:basedOn w:val="12"/>
    <w:link w:val="9"/>
    <w:qFormat/>
    <w:uiPriority w:val="99"/>
    <w:rPr>
      <w:sz w:val="18"/>
      <w:szCs w:val="18"/>
    </w:rPr>
  </w:style>
  <w:style w:type="character" w:customStyle="1" w:styleId="21">
    <w:name w:val="页脚 字符"/>
    <w:basedOn w:val="12"/>
    <w:link w:val="8"/>
    <w:qFormat/>
    <w:uiPriority w:val="99"/>
    <w:rPr>
      <w:sz w:val="18"/>
      <w:szCs w:val="18"/>
    </w:rPr>
  </w:style>
  <w:style w:type="character" w:customStyle="1" w:styleId="22">
    <w:name w:val="Body text|1_"/>
    <w:basedOn w:val="12"/>
    <w:link w:val="23"/>
    <w:qFormat/>
    <w:uiPriority w:val="0"/>
    <w:rPr>
      <w:sz w:val="32"/>
      <w:szCs w:val="32"/>
    </w:rPr>
  </w:style>
  <w:style w:type="paragraph" w:customStyle="1" w:styleId="23">
    <w:name w:val="Body text|1"/>
    <w:basedOn w:val="1"/>
    <w:link w:val="22"/>
    <w:qFormat/>
    <w:uiPriority w:val="0"/>
    <w:pPr>
      <w:spacing w:after="280" w:line="266" w:lineRule="auto"/>
      <w:jc w:val="left"/>
    </w:pPr>
    <w:rPr>
      <w:sz w:val="32"/>
      <w:szCs w:val="32"/>
    </w:rPr>
  </w:style>
  <w:style w:type="paragraph" w:styleId="24">
    <w:name w:val="List Paragraph"/>
    <w:basedOn w:val="1"/>
    <w:qFormat/>
    <w:uiPriority w:val="34"/>
    <w:pPr>
      <w:ind w:firstLine="420" w:firstLineChars="200"/>
    </w:pPr>
  </w:style>
  <w:style w:type="paragraph" w:customStyle="1" w:styleId="25">
    <w:name w:val="WPSOffice手动目录 1"/>
    <w:qFormat/>
    <w:uiPriority w:val="0"/>
    <w:pPr>
      <w:ind w:leftChars="0"/>
    </w:pPr>
    <w:rPr>
      <w:rFonts w:ascii="Times New Roman" w:hAnsi="Times New Roman" w:eastAsia="宋体" w:cs="Times New Roman"/>
      <w:sz w:val="20"/>
      <w:szCs w:val="20"/>
    </w:rPr>
  </w:style>
  <w:style w:type="character" w:customStyle="1" w:styleId="26">
    <w:name w:val="标题 4 Char"/>
    <w:link w:val="5"/>
    <w:qFormat/>
    <w:uiPriority w:val="9"/>
    <w:rPr>
      <w:rFonts w:ascii="Arial" w:hAnsi="Arial" w:eastAsia="黑体"/>
      <w:b/>
      <w:sz w:val="28"/>
    </w:rPr>
  </w:style>
  <w:style w:type="character" w:customStyle="1" w:styleId="27">
    <w:name w:val="标题 5 Char"/>
    <w:link w:val="6"/>
    <w:qFormat/>
    <w:uiPriority w:val="0"/>
    <w:rPr>
      <w:b/>
      <w:sz w:val="28"/>
    </w:rPr>
  </w:style>
  <w:style w:type="paragraph" w:customStyle="1" w:styleId="28">
    <w:name w:val="WPSOffice手动目录 2"/>
    <w:qFormat/>
    <w:uiPriority w:val="0"/>
    <w:pPr>
      <w:ind w:leftChars="200"/>
    </w:pPr>
    <w:rPr>
      <w:rFonts w:ascii="Times New Roman" w:hAnsi="Times New Roman" w:eastAsia="宋体" w:cs="Times New Roman"/>
      <w:sz w:val="20"/>
      <w:szCs w:val="20"/>
    </w:rPr>
  </w:style>
  <w:style w:type="paragraph" w:customStyle="1" w:styleId="29">
    <w:name w:val="WPSOffice手动目录 3"/>
    <w:qFormat/>
    <w:uiPriority w:val="0"/>
    <w:pPr>
      <w:ind w:leftChars="400"/>
    </w:pPr>
    <w:rPr>
      <w:rFonts w:ascii="Times New Roman" w:hAnsi="Times New Roman" w:eastAsia="宋体" w:cs="Times New Roman"/>
      <w:sz w:val="20"/>
      <w:szCs w:val="20"/>
    </w:rPr>
  </w:style>
  <w:style w:type="paragraph" w:customStyle="1" w:styleId="30">
    <w:name w:val="Table Paragraph"/>
    <w:basedOn w:val="1"/>
    <w:qFormat/>
    <w:uiPriority w:val="1"/>
    <w:pPr>
      <w:spacing w:before="30"/>
      <w:jc w:val="center"/>
    </w:pPr>
    <w:rPr>
      <w:rFonts w:ascii="Times New Roman" w:hAnsi="Times New Roman" w:eastAsia="Times New Roman" w:cs="Times New Roman"/>
    </w:rPr>
  </w:style>
  <w:style w:type="table" w:customStyle="1" w:styleId="31">
    <w:name w:val="Table Normal"/>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82</Words>
  <Characters>471</Characters>
  <Lines>3</Lines>
  <Paragraphs>1</Paragraphs>
  <TotalTime>5</TotalTime>
  <ScaleCrop>false</ScaleCrop>
  <LinksUpToDate>false</LinksUpToDate>
  <CharactersWithSpaces>552</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2019-11-21T14:15:00Z</dcterms:created>
  <dc:creator>tan sy</dc:creator>
  <cp:lastModifiedBy>小竹子</cp:lastModifiedBy>
  <dcterms:modified xsi:type="dcterms:W3CDTF">2021-05-23T14:37:31Z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AD242799F8B44C8886A367DBADD5E6E1</vt:lpwstr>
  </property>
</Properties>
</file>