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片区价值研判与</w:t>
        <w:br/>
        <w:t>投资决策辅助 Agent</w:t>
      </w:r>
    </w:p>
    <w:p>
      <w:pPr>
        <w:pStyle w:val="Subtitle"/>
        <w:widowControl/>
      </w:pPr>
      <w:r>
        <w:t>面向建投／城投企业建造前决策的智能研判工作台</w:t>
      </w:r>
    </w:p>
    <w:p>
      <w:pPr>
        <w:widowControl/>
        <w:spacing w:before="80"/>
      </w:pPr>
      <w:r>
        <w:t>项目申报书框架重构稿 · 保留原稿六部分组织 · 已形成可运行工程并完成真实模型主链联调；企业决策效用仍待授权案例验证。</w:t>
      </w:r>
    </w:p>
    <w:p>
      <w:pPr>
        <w:pStyle w:val="Heading1"/>
        <w:widowControl/>
      </w:pPr>
      <w:r>
        <w:t>一、项目背景</w:t>
      </w:r>
    </w:p>
    <w:p>
      <w:pPr>
        <w:pStyle w:val="Heading2"/>
        <w:widowControl/>
      </w:pPr>
      <w:r>
        <w:t>1.1 项目切入点：把资料转化为可行动的前期判断</w:t>
      </w:r>
    </w:p>
    <w:p>
      <w:pPr>
        <w:widowControl/>
      </w:pPr>
      <w:r>
        <w:t>本项目聚焦建筑产业链前端的投资拓展与前期策划：面对一个尚未明确开发或更新路径的片区，帮助企业判断是否值得进入进一步尽调、可以采取哪些实施方式、哪些条件必须先核实，以及企业自身适合以何种角色参与。系统不是通用地产估值器，也不以自动预测价格或收益率作为主目标。</w:t>
      </w:r>
    </w:p>
    <w:p>
      <w:pPr>
        <w:widowControl/>
      </w:pPr>
      <w:r>
        <w:t>原申报框架已经明确了“投委会前形成能不能看、怎么看的第一判断”这一场景。[1] 本次将其进一步落到建筑现状、实施前提、功能适配、运营能力与资源组织，使区域信息的收集直接服务于下一步行动，而不是停留在区位优势的罗列。</w:t>
      </w:r>
    </w:p>
    <w:p>
      <w:pPr>
        <w:pStyle w:val="Heading2"/>
        <w:widowControl/>
      </w:pPr>
      <w:r>
        <w:t>1.2 三个需要解决的具体问题</w:t>
      </w:r>
    </w:p>
    <w:p>
      <w:pPr>
        <w:widowControl/>
      </w:pPr>
      <w:r>
        <w:t>第一，材料能够查到，但难以形成同一口径的判断。区域数据、建筑清单、出让材料、内部讨论与类似项目之间的对象、时间和指标定义不同，容易出现资料齐全而关键前提仍然缺失的情况。</w:t>
      </w:r>
    </w:p>
    <w:p>
      <w:pPr>
        <w:widowControl/>
      </w:pPr>
      <w:r>
        <w:t>第二，经验存在，但很难明确作用于哪一条决策。资深人员的意见常混合事实、偏好、风险线索和组织约束，直接拼接到提示词中既难以复用，也难以解释其改变了什么。</w:t>
      </w:r>
    </w:p>
    <w:p>
      <w:pPr>
        <w:widowControl/>
      </w:pPr>
      <w:r>
        <w:t>第三，方案容易单向自证。报告往往围绕一个预先选定的定位组织材料，缺少与保留、改造、分期或暂缓等替代路径的同条件比较。</w:t>
      </w:r>
    </w:p>
    <w:p>
      <w:pPr>
        <w:pStyle w:val="Heading2"/>
        <w:widowControl/>
      </w:pPr>
      <w:r>
        <w:t>1.3 目标用户与岗位价值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4738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岗位</w:t>
            </w:r>
          </w:p>
        </w:tc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核心任务</w:t>
            </w:r>
          </w:p>
        </w:tc>
        <w:tc>
          <w:tcPr>
            <w:tcW w:type="dxa" w:w="47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产品提供的结果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投资拓展经理（主用户）</w:t>
            </w:r>
          </w:p>
        </w:tc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决定是否进一步投入研究资源</w:t>
            </w:r>
          </w:p>
        </w:tc>
        <w:tc>
          <w:tcPr>
            <w:tcW w:type="dxa" w:w="47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机会、阻断项、候选路径和调查优先级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前期策划／规划研究</w:t>
            </w:r>
          </w:p>
        </w:tc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比较不同改造与功能定位方式</w:t>
            </w:r>
          </w:p>
        </w:tc>
        <w:tc>
          <w:tcPr>
            <w:tcW w:type="dxa" w:w="47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建筑约束、案例迁移条件、方案差异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企业决策管理者</w:t>
            </w:r>
          </w:p>
        </w:tc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决定是否启动协作或专项论证</w:t>
            </w:r>
          </w:p>
        </w:tc>
        <w:tc>
          <w:tcPr>
            <w:tcW w:type="dxa" w:w="47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一页摘要、关键分歧、条件变化与风险</w:t>
            </w:r>
          </w:p>
        </w:tc>
      </w:tr>
    </w:tbl>
    <w:p>
      <w:pPr>
        <w:widowControl/>
        <w:spacing w:after="0"/>
      </w:pPr>
    </w:p>
    <w:p>
      <w:r>
        <w:br w:type="page"/>
      </w:r>
    </w:p>
    <w:p>
      <w:pPr>
        <w:pStyle w:val="Heading1"/>
        <w:widowControl/>
      </w:pPr>
      <w:r>
        <w:t>二、应用场景</w:t>
      </w:r>
    </w:p>
    <w:p>
      <w:pPr>
        <w:pStyle w:val="Heading2"/>
        <w:widowControl/>
      </w:pPr>
      <w:r>
        <w:t>2.1 产品定义与两种使用模式</w:t>
      </w:r>
    </w:p>
    <w:p>
      <w:pPr>
        <w:widowControl/>
      </w:pPr>
      <w:r>
        <w:t>产品采用同一套研究、工具和比较流程，面向不同资料条件提供“自动初筛”与“企业增强”两种入口。岗位信息可一次设置后复用，不要求用户每次填写复杂表单。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4248"/>
        <w:gridCol w:w="4262"/>
      </w:tblGrid>
      <w:tr>
        <w:trPr>
          <w:tblHeader/>
          <w:cantSplit/>
        </w:trPr>
        <w:tc>
          <w:tcPr>
            <w:tcW w:type="dxa" w:w="112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项目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自动初筛版</w:t>
            </w:r>
          </w:p>
        </w:tc>
        <w:tc>
          <w:tcPr>
            <w:tcW w:type="dxa" w:w="426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企业增强版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输入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圈选区域、地块编号或可解析地名</w:t>
            </w:r>
          </w:p>
        </w:tc>
        <w:tc>
          <w:tcPr>
            <w:tcW w:type="dxa" w:w="426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相同区域，加内部资料或自然语言经验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系统任务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自动搜集、解析、诊断、案例对标与多路径分析</w:t>
            </w:r>
          </w:p>
        </w:tc>
        <w:tc>
          <w:tcPr>
            <w:tcW w:type="dxa" w:w="426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将企业事实、约束、偏好编译后局部重评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输出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体检卡、关键问题、候选路径、待核验事项</w:t>
            </w:r>
          </w:p>
        </w:tc>
        <w:tc>
          <w:tcPr>
            <w:tcW w:type="dxa" w:w="426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企业适配、修改前后差异及变化原因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用户参与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默认无需逐字段审批，只显示高影响例外</w:t>
            </w:r>
          </w:p>
        </w:tc>
        <w:tc>
          <w:tcPr>
            <w:tcW w:type="dxa" w:w="426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项目内授权意见直接参与；全局规则另行授权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2.2 主场景：建造前投资机会初筛</w:t>
      </w:r>
    </w:p>
    <w:p>
      <w:pPr>
        <w:widowControl/>
      </w:pPr>
      <w:r>
        <w:t>投资经理指定区域后，系统先辨别研究范围与具体地块、建筑对象，并判断可获取的数据范围。随后围绕实施前提、建筑存量、需求与运营、企业资源生成研究问题，自动收集相关材料，形成可继续调查的实施路径。资料不足时，仍然输出有依据的部分结论，并明确哪项补充调查最可能改变当前判断。</w:t>
      </w:r>
    </w:p>
    <w:p>
      <w:pPr>
        <w:widowControl/>
      </w:pPr>
      <w:r>
        <w:t>与“这个地块地段很好、适合投资”的泛化结论不同，产品需要回答：现有建筑更适合保留利用还是进一步论证重建？是否存在腾退、市政配套或权属核实等先行事项？企业现有能力更适合建设、联合开发还是运营参与？</w:t>
      </w:r>
    </w:p>
    <w:p>
      <w:pPr>
        <w:pStyle w:val="Heading2"/>
        <w:widowControl/>
      </w:pPr>
      <w:r>
        <w:t>2.3 企业增强：让内部经验改变具体判断</w:t>
      </w:r>
    </w:p>
    <w:p>
      <w:pPr>
        <w:widowControl/>
      </w:pPr>
      <w:r>
        <w:t>用户补充“本项目不整体拆除”“存在尚未结束的租约”“企业具备改造经验但不具备某类自营能力”等资料后，系统生成有来源、作用域和条件的上下文版本。它不重新执行所有搜索，而是定位受到影响的候选动作、适配判断和比较结果，展示“新增哪条信息—改变哪项前提—调整哪条路径”。</w:t>
      </w:r>
    </w:p>
    <w:p>
      <w:pPr>
        <w:pStyle w:val="Heading2"/>
        <w:widowControl/>
      </w:pPr>
      <w:r>
        <w:t>2.4 典型演示与拓展场景</w:t>
      </w:r>
    </w:p>
    <w:p>
      <w:pPr>
        <w:widowControl/>
      </w:pPr>
      <w:r>
        <w:t>演示可选一处材料可获得的存量片区。自动版先比较保留利用、局部调整与暂缓调查等路径；企业版再加入一份脱敏意见或显式合成企业Context，展示约束和判断的变化。演示不固定依赖杭州；区域差异由可配置的数据覆盖与规则包处理。</w:t>
      </w:r>
    </w:p>
    <w:p>
      <w:pPr>
        <w:widowControl/>
      </w:pPr>
      <w:r>
        <w:t>更新片区策划可沿用同一工作流。持有资产的定期复评作为后续拓展：当资料变化时提示原判断的哪些前提需要重新审视，不在初版同时扩展为完整资产管理系统。</w:t>
      </w:r>
    </w:p>
    <w:p>
      <w:r>
        <w:br w:type="page"/>
      </w:r>
    </w:p>
    <w:p>
      <w:pPr>
        <w:pStyle w:val="Heading1"/>
        <w:widowControl/>
      </w:pPr>
      <w:r>
        <w:t>三、技术方案</w:t>
      </w:r>
    </w:p>
    <w:p>
      <w:pPr>
        <w:pStyle w:val="Heading2"/>
        <w:widowControl/>
      </w:pPr>
      <w:r>
        <w:t>3.1 总体架构：复用应用壳、运行时与专业工具</w:t>
      </w:r>
    </w:p>
    <w:p>
      <w:pPr>
        <w:widowControl/>
      </w:pPr>
      <w:r>
        <w:t>系统沿用原稿四层组织，将职责重新明确为数据与上下文层、专业能力层、决策执行层、交互层。采用现有开源工作台及成熟Harness承接通用工程功能，把自有开发集中在岗位问题、企业Context、实施路径与比较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8"/>
        <w:gridCol w:w="4248"/>
        <w:gridCol w:w="3888"/>
      </w:tblGrid>
      <w:tr>
        <w:trPr>
          <w:tblHeader/>
          <w:cantSplit/>
        </w:trPr>
        <w:tc>
          <w:tcPr>
            <w:tcW w:type="dxa" w:w="14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层次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具体职责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设计边界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交互层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区域输入、资料上传、进度、候选对比、版本差异与报告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不在前端保存模型密钥或生成权威计算结果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决策执行层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研究分工、候选生成、反证检查、比较与条件化输出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一个运行控制入口，可调度多个专业子Agent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专业能力层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统一搜索、表格与文档处理、GIS、案例检索、参数化工具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同一种功能一个入口，不在各Agent重复实现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数据与上下文层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项目快照、企业经验、来源与规则、方案、审查记录</w:t>
            </w:r>
          </w:p>
        </w:tc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权限与版本受控，区分真实、估计、缺失和合成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3.2 直接代码复用与适配</w:t>
      </w:r>
    </w:p>
    <w:p>
      <w:pPr>
        <w:widowControl/>
      </w:pPr>
      <w:r>
        <w:t>应用侧已选择性复用CRE工作台结构、通用解析和报告表格能力；执行侧实际接入DeepSeek Harness的工具、专业子任务、结构化输出及持久化机制。[2][3] HIRE、RETQA、GeoAgent、STORM与Search-o1的适用函数通过统一能力入口调用，复用边界和补丁保留在工程清单中。完整研究、候选、反证与比较主链已使用真实模型联调，不以离线固定结果代替模型输出。</w:t>
      </w:r>
    </w:p>
    <w:p>
      <w:pPr>
        <w:widowControl/>
      </w:pPr>
      <w:r>
        <w:t>复用不等于整仓拼接。保留可用代码与原有测试，替换不适用的地区口径、权限、模型接口及演示假数据；同一能力已有通用库时不再重复编写。上游出处、许可证和修改内容纳入迁移清单。模型、数据、第三方依赖的授权分别核验。</w:t>
      </w:r>
    </w:p>
    <w:p>
      <w:pPr>
        <w:pStyle w:val="Heading2"/>
        <w:widowControl/>
      </w:pPr>
      <w:r>
        <w:t>3.3 面向非结构化资料的快速入口</w:t>
      </w:r>
    </w:p>
    <w:p>
      <w:pPr>
        <w:widowControl/>
      </w:pPr>
      <w:r>
        <w:t>当前已接通真实模型API，完成自然语言项目经验分类、文档证据研究与条件化决策输出。文本、CSV、PDF文本、Word与Excel通过统一入口解析，保留来源和位置；扫描材料无可提取文本时明确标记待OCR，不伪称已读。模型提出结构化候选，工具校验对象、规则、版本和数值，响应表现以实际调用记录为准。[4]</w:t>
      </w:r>
    </w:p>
    <w:p>
      <w:pPr>
        <w:widowControl/>
      </w:pPr>
      <w:r>
        <w:t>RAG是提供知识和证据的基础能力，但本项目的技术重点在于：检索结果如何约束实施路径、经验如何形成可执行Context，以及竞争性方案如何在共同证据口径下接受反证与比较。</w:t>
      </w:r>
    </w:p>
    <w:p>
      <w:r>
        <w:br w:type="page"/>
      </w:r>
    </w:p>
    <w:p>
      <w:pPr>
        <w:pStyle w:val="Heading1"/>
        <w:widowControl/>
      </w:pPr>
      <w:r>
        <w:t>三、技术方案（续）</w:t>
      </w:r>
    </w:p>
    <w:p>
      <w:pPr>
        <w:pStyle w:val="Heading2"/>
        <w:widowControl/>
      </w:pPr>
      <w:r>
        <w:t>3.4 研究—推演—审查的完整工作流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3874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阶段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输入与处理</w:t>
            </w:r>
          </w:p>
        </w:tc>
        <w:tc>
          <w:tcPr>
            <w:tcW w:type="dxa" w:w="38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交付到下一阶段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界定对象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区域、岗位与资料覆盖；区分研究范围和具体建设对象</w:t>
            </w:r>
          </w:p>
        </w:tc>
        <w:tc>
          <w:tcPr>
            <w:tcW w:type="dxa" w:w="38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项目范围与必要证据清单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资料整理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统一搜索、抓取、解析、对象与指标对齐</w:t>
            </w:r>
          </w:p>
        </w:tc>
        <w:tc>
          <w:tcPr>
            <w:tcW w:type="dxa" w:w="38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带来源的项目快照、缺项与冲突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专业研究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建筑/实施、需求/运营、案例/企业适配并行分析</w:t>
            </w:r>
          </w:p>
        </w:tc>
        <w:tc>
          <w:tcPr>
            <w:tcW w:type="dxa" w:w="38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判断、支撑、反证与未知条件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候选推演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同一快照生成不同实施路径并调用参数化工具</w:t>
            </w:r>
          </w:p>
        </w:tc>
        <w:tc>
          <w:tcPr>
            <w:tcW w:type="dxa" w:w="38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动作组合、前提、分期与资源约束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反证检查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逐项挑战薄弱依据、隐含假设与关键冲突</w:t>
            </w:r>
          </w:p>
        </w:tc>
        <w:tc>
          <w:tcPr>
            <w:tcW w:type="dxa" w:w="38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可定位的问题及修正建议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比较与输出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先检查硬约束，再比较适配与偏好</w:t>
            </w:r>
          </w:p>
        </w:tc>
        <w:tc>
          <w:tcPr>
            <w:tcW w:type="dxa" w:w="38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条件化决策包、关键分歧和下一步行动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专业子Agent共享项目快照与统一工具，但不通过自由群聊反复抄写事实。每个任务明确输入工件、可用工具、输出类型和预算；结果以结构化引用传给下一节点。缺口补查与修订有停止条件，避免没有新增证据的循环。</w:t>
      </w:r>
    </w:p>
    <w:p>
      <w:pPr>
        <w:pStyle w:val="Heading2"/>
        <w:widowControl/>
      </w:pPr>
      <w:r>
        <w:t>3.5 多路径比较，而不是多数票裁决</w:t>
      </w:r>
    </w:p>
    <w:p>
      <w:pPr>
        <w:widowControl/>
      </w:pPr>
      <w:r>
        <w:t>系统不要求所有Agent形成一致意见。候选路径先接受事实与明确约束检查，未知前提不能按“已通过”处理；通过后再比较功能适配、实施组织、企业能力与资源风险。审查角色负责发现反例，比较角色解释取舍，报告角色只组织已生成的结果。</w:t>
      </w:r>
    </w:p>
    <w:p>
      <w:pPr>
        <w:widowControl/>
      </w:pPr>
      <w:r>
        <w:t>对无法区分的方案可以给出并列或“需补充某项调查后再判断”，而不是强行输出唯一最优。可使用有定义的维度评分辅助展示，但评分不代表投资成功概率；同一模型生成多次意见也不能自动视为独立专家共识。</w:t>
      </w:r>
    </w:p>
    <w:p>
      <w:pPr>
        <w:pStyle w:val="Heading2"/>
        <w:widowControl/>
      </w:pPr>
      <w:r>
        <w:t>3.6 建筑契合度与计算边界</w:t>
      </w:r>
    </w:p>
    <w:p>
      <w:pPr>
        <w:widowControl/>
      </w:pPr>
      <w:r>
        <w:t>能力工具关注现状使用、建筑规模、空间关系、潜在改造冲突、分期衔接及市政配套等建造前问题。有相应输入时可提供容量、工期与资源敏感性分析；缺数据时保留区间或未知，不为了报告完整随意填入售价与收益率。远程资料与图像不得替代结构检测、消防审查、勘察或规划许可。</w:t>
      </w:r>
    </w:p>
    <w:p>
      <w:r>
        <w:br w:type="page"/>
      </w:r>
    </w:p>
    <w:p>
      <w:pPr>
        <w:pStyle w:val="Heading1"/>
        <w:widowControl/>
      </w:pPr>
      <w:r>
        <w:t>三、技术方案（续）</w:t>
      </w:r>
    </w:p>
    <w:p>
      <w:pPr>
        <w:pStyle w:val="Heading2"/>
        <w:widowControl/>
      </w:pPr>
      <w:r>
        <w:t>3.7 企业资料与经验的Context编译</w:t>
      </w:r>
    </w:p>
    <w:p>
      <w:pPr>
        <w:widowControl/>
      </w:pPr>
      <w:r>
        <w:t>内部文件、项目记录与人员经验通过统一入口进入系统。编译过程依次进行格式识别、字段抽取、对象链接、语义分类、适用范围确认与版本发布。它不仅摘要原文，还要区分“发生了什么”“组织要求什么”“人员更偏好什么”以及“什么仍待核实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880"/>
        <w:gridCol w:w="3730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用户表达（虚构例子）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结构化归类</w:t>
            </w:r>
          </w:p>
        </w:tc>
        <w:tc>
          <w:tcPr>
            <w:tcW w:type="dxa" w:w="373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对研判的影响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“本项目先别整体拆掉”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经授权的项目组织约束</w:t>
            </w:r>
          </w:p>
        </w:tc>
        <w:tc>
          <w:tcPr>
            <w:tcW w:type="dxa" w:w="373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限制本项目整体拆除路径，不扩散到其他项目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“有一栋还在出租”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待关联具体建筑与租期的事实候选</w:t>
            </w:r>
          </w:p>
        </w:tc>
        <w:tc>
          <w:tcPr>
            <w:tcW w:type="dxa" w:w="373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触发腾退与分期核查，不猜具体结束日期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“最好分期推进”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偏好</w:t>
            </w:r>
          </w:p>
        </w:tc>
        <w:tc>
          <w:tcPr>
            <w:tcW w:type="dxa" w:w="373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影响方案比较，但不变成外部强制规定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“结构能不能改还不清楚”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未知与调查事项</w:t>
            </w:r>
          </w:p>
        </w:tc>
        <w:tc>
          <w:tcPr>
            <w:tcW w:type="dxa" w:w="373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保留条件化判断，不自动认定安全可改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3.8 减少人工介入，不掩盖不确定性</w:t>
      </w:r>
    </w:p>
    <w:p>
      <w:pPr>
        <w:widowControl/>
      </w:pPr>
      <w:r>
        <w:t>来源定位、格式识别、去重、单位转换、结构化校验和常规材料更新尽量自动执行。不设置每个字段都等待人工确认的串行流程；对能够验证的正常记录自动通过，对未解决但不影响整体流程的缺项继续形成部分结果。</w:t>
      </w:r>
    </w:p>
    <w:p>
      <w:pPr>
        <w:widowControl/>
      </w:pPr>
      <w:r>
        <w:t>仅将可能显著改变路径的冲突、权限不足的全局规则修改等聚合为例外卡片。用户不处理时，系统明确结果的条件范围，而不是停在空白页面。最终是否投入、报批或签署合同仍由具备权限的人员决定，分析自动化不等于行动自动授权。</w:t>
      </w:r>
    </w:p>
    <w:p>
      <w:pPr>
        <w:pStyle w:val="Heading2"/>
        <w:widowControl/>
      </w:pPr>
      <w:r>
        <w:t>3.9 数据准备与安全</w:t>
      </w:r>
    </w:p>
    <w:p>
      <w:pPr>
        <w:widowControl/>
      </w:pPr>
      <w:r>
        <w:t>在企业资料尚未落实时，先使用真实公开快照与显式合成材料验证数据结构和工作流。半合成数据保留原始字段与生成字段的区别；合成项目、经验和参数不伪装成真实企业材料。拿到脱敏资料后，再评价真实业务适配与用户收益。</w:t>
      </w:r>
    </w:p>
    <w:p>
      <w:pPr>
        <w:widowControl/>
      </w:pPr>
      <w:r>
        <w:t>公开可访问不等于没有使用限制。按资料来源、许可和保密要求确定使用范围，企业材料只送往获准的推理端点，权限在检索前过滤。原始上传文本中的指令不获得系统权限；测试预期答案与生产Agent输入隔离。</w:t>
      </w:r>
    </w:p>
    <w:p>
      <w:r>
        <w:br w:type="page"/>
      </w:r>
    </w:p>
    <w:p>
      <w:pPr>
        <w:pStyle w:val="Heading1"/>
        <w:widowControl/>
      </w:pPr>
      <w:r>
        <w:t>四、创新点</w:t>
      </w:r>
    </w:p>
    <w:p>
      <w:pPr>
        <w:pStyle w:val="Heading2"/>
        <w:widowControl/>
      </w:pPr>
      <w:r>
        <w:t>4.1 从“检索相关资料”推进到“约束可行动路径”</w:t>
      </w:r>
    </w:p>
    <w:p>
      <w:pPr>
        <w:widowControl/>
      </w:pPr>
      <w:r>
        <w:t>围绕建造前决策组织建筑、区位、功能和企业资料，将关键发现连接到保留、改造、分期、合作参与或暂缓等具体路径。创新主张落在信息如何改变行动，而非单独宣称检索或生成技术新颖。</w:t>
      </w:r>
    </w:p>
    <w:p>
      <w:pPr>
        <w:pStyle w:val="Heading2"/>
        <w:widowControl/>
      </w:pPr>
      <w:r>
        <w:t>4.2 将经验编译为有条件、有作用域的决策Context</w:t>
      </w:r>
    </w:p>
    <w:p>
      <w:pPr>
        <w:widowControl/>
      </w:pPr>
      <w:r>
        <w:t>把自然语言经验分解为事实候选、组织约束、启发式、偏好和待验证线索，保留适用范围与例外，支持追溯、撤销及局部更新。以“哪条经验改变哪项判断”的对照展示知识复用，而不是用聊天历史代替企业知识体系。</w:t>
      </w:r>
    </w:p>
    <w:p>
      <w:pPr>
        <w:pStyle w:val="Heading2"/>
        <w:widowControl/>
      </w:pPr>
      <w:r>
        <w:t>4.3 将竞争性方案与反证检查纳入同一流程</w:t>
      </w:r>
    </w:p>
    <w:p>
      <w:pPr>
        <w:widowControl/>
      </w:pPr>
      <w:r>
        <w:t>专业研究提出解释，候选路径给出不同动作组合，反证角色主动检查薄弱前提，比较角色在同一证据口径下说明条件与取舍。将“尚不能区分”和“继续调查”作为合法结果，减少单一方案的自我论证。</w:t>
      </w:r>
    </w:p>
    <w:p>
      <w:pPr>
        <w:pStyle w:val="Heading2"/>
        <w:widowControl/>
      </w:pPr>
      <w:r>
        <w:t>4.4 以依赖驱动的重评支撑连续追问</w:t>
      </w:r>
    </w:p>
    <w:p>
      <w:pPr>
        <w:widowControl/>
      </w:pPr>
      <w:r>
        <w:t>当用户新增资料或修改经验时，只重新执行受影响的研究结论、方案和审查节点，保留其他工件。连续推演不局限于价格变化，也能响应腾退条件、企业能力与实施方式的变化。</w:t>
      </w:r>
    </w:p>
    <w:p>
      <w:pPr>
        <w:pStyle w:val="Heading1"/>
        <w:widowControl/>
      </w:pPr>
      <w:r>
        <w:t>五、价值贡献与验证方式</w:t>
      </w:r>
    </w:p>
    <w:p>
      <w:pPr>
        <w:widowControl/>
      </w:pPr>
      <w:r>
        <w:t>本项目拟降低材料整理与反复核查的操作负担，改善前期调查完整性和企业经验复用。所有收益通过对应测试记录报告，不预填“数周压缩为数天”或“准确率显著提升”等未经验证的数字。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4075"/>
        <w:gridCol w:w="3931"/>
      </w:tblGrid>
      <w:tr>
        <w:trPr>
          <w:tblHeader/>
          <w:cantSplit/>
        </w:trPr>
        <w:tc>
          <w:tcPr>
            <w:tcW w:type="dxa" w:w="162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评价目标</w:t>
            </w:r>
          </w:p>
        </w:tc>
        <w:tc>
          <w:tcPr>
            <w:tcW w:type="dxa" w:w="40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验证办法</w:t>
            </w:r>
          </w:p>
        </w:tc>
        <w:tc>
          <w:tcPr>
            <w:tcW w:type="dxa" w:w="39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允许得出的结论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工程可运行</w:t>
            </w:r>
          </w:p>
        </w:tc>
        <w:tc>
          <w:tcPr>
            <w:tcW w:type="dxa" w:w="40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契约、故障、重启、两模式闭环测试</w:t>
            </w:r>
          </w:p>
        </w:tc>
        <w:tc>
          <w:tcPr>
            <w:tcW w:type="dxa" w:w="39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组件是否真正接通；不等于业务判断正确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材料与经验可用</w:t>
            </w:r>
          </w:p>
        </w:tc>
        <w:tc>
          <w:tcPr>
            <w:tcW w:type="dxa" w:w="40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事实、单位、作用域、冲突与缺项测试</w:t>
            </w:r>
          </w:p>
        </w:tc>
        <w:tc>
          <w:tcPr>
            <w:tcW w:type="dxa" w:w="39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是否正确理解输入与边界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反证与比较有效</w:t>
            </w:r>
          </w:p>
        </w:tc>
        <w:tc>
          <w:tcPr>
            <w:tcW w:type="dxa" w:w="40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等数据/预算的单Agent、无反证等对照</w:t>
            </w:r>
          </w:p>
        </w:tc>
        <w:tc>
          <w:tcPr>
            <w:tcW w:type="dxa" w:w="39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新增机制是否减少特定错误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真实业务价值</w:t>
            </w:r>
          </w:p>
        </w:tc>
        <w:tc>
          <w:tcPr>
            <w:tcW w:type="dxa" w:w="40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取得授权资料后的专家复核与用户任务测试</w:t>
            </w:r>
          </w:p>
        </w:tc>
        <w:tc>
          <w:tcPr>
            <w:tcW w:type="dxa" w:w="39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实际纠错、调查遗漏与总用户耗时变化</w:t>
            </w:r>
          </w:p>
        </w:tc>
      </w:tr>
    </w:tbl>
    <w:p>
      <w:pPr>
        <w:widowControl/>
        <w:spacing w:after="0"/>
      </w:pPr>
    </w:p>
    <w:p>
      <w:r>
        <w:br w:type="page"/>
      </w:r>
    </w:p>
    <w:p>
      <w:pPr>
        <w:pStyle w:val="Heading1"/>
        <w:widowControl/>
      </w:pPr>
      <w:r>
        <w:t>六、AI-native实施与交付保障</w:t>
      </w:r>
    </w:p>
    <w:p>
      <w:pPr>
        <w:pStyle w:val="Heading2"/>
        <w:widowControl/>
      </w:pPr>
      <w:r>
        <w:t>6.1 一次整体任务，按依赖连续实施</w:t>
      </w:r>
    </w:p>
    <w:p>
      <w:pPr>
        <w:widowControl/>
      </w:pPr>
      <w:r>
        <w:t>实施组织以编码Agent的任务依赖图为主，由编码Agent维护目标、契约和状态，连续完成代码、联调与必要验证，不以人月估算替代执行。业务运行时通过有权限边界的专业角色分工推进，开发Agent与业务Agent权限分离。上下文通过任务文件、代码和工件持久化，不依赖聊天窗口永久保留全部细节。</w:t>
      </w:r>
    </w:p>
    <w:p>
      <w:pPr>
        <w:widowControl/>
      </w:pPr>
      <w:r>
        <w:t>实施顺序为：读取需求与核验上游→锁定复用文件和许可→统一接口与数据模型→并行接入工作台、运行时、能力代码、Context与夹具→打通研究、候选、反证、比较→完成两版交互与增量更新→运行离线与真实接口测试→形成可复现交付。</w:t>
      </w:r>
    </w:p>
    <w:p>
      <w:pPr>
        <w:pStyle w:val="Heading2"/>
        <w:widowControl/>
      </w:pPr>
      <w:r>
        <w:t>6.2 验收节点与交付物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4104"/>
        <w:gridCol w:w="3917"/>
      </w:tblGrid>
      <w:tr>
        <w:trPr>
          <w:tblHeader/>
          <w:cantSplit/>
        </w:trPr>
        <w:tc>
          <w:tcPr>
            <w:tcW w:type="dxa" w:w="16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节点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必须交付</w:t>
            </w:r>
          </w:p>
        </w:tc>
        <w:tc>
          <w:tcPr>
            <w:tcW w:type="dxa" w:w="3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  <w:shd w:fill="EAF0F6"/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/>
                <w:color w:val="174A75"/>
                <w:sz w:val="18"/>
              </w:rPr>
              <w:t>完成判据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复用落地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上游清单、保留声明、补丁与基线测试</w:t>
            </w:r>
          </w:p>
        </w:tc>
        <w:tc>
          <w:tcPr>
            <w:tcW w:type="dxa" w:w="3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实际调用迁入实现，而非只有引用名称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两模式闭环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区域初筛与新增内部经验后的差异演示</w:t>
            </w:r>
          </w:p>
        </w:tc>
        <w:tc>
          <w:tcPr>
            <w:tcW w:type="dxa" w:w="3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经验改变相应路径，不回到纯价格Demo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可靠性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异常、恢复、权限、缺项和顺序偏差测试</w:t>
            </w:r>
          </w:p>
        </w:tc>
        <w:tc>
          <w:tcPr>
            <w:tcW w:type="dxa" w:w="3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失败可定位，跳过项不记成通过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发布包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代码、配置、合成标记、测试记录、申报说明</w:t>
            </w:r>
          </w:p>
        </w:tc>
        <w:tc>
          <w:tcPr>
            <w:tcW w:type="dxa" w:w="3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3" w:color="D7E0E9"/>
              <w:left w:val="single" w:sz="3" w:color="D7E0E9"/>
              <w:bottom w:val="single" w:sz="3" w:color="D7E0E9"/>
              <w:right w:val="single" w:sz="3" w:color="D7E0E9"/>
            </w:tcBorders>
          </w:tcPr>
          <w:p>
            <w:pPr>
              <w:spacing w:after="40" w:before="20" w:line="276" w:lineRule="auto"/>
            </w:pPr>
            <w:r>
              <w:rPr>
                <w:rFonts w:ascii="Noto Sans CJK SC" w:hAnsi="Noto Sans CJK SC" w:eastAsia="Noto Sans CJK SC"/>
                <w:b w:val="0"/>
                <w:color w:val="253247"/>
                <w:sz w:val="18"/>
              </w:rPr>
              <w:t>明确已完成、待验证与外部阻塞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6.3 资料与领域协作</w:t>
      </w:r>
    </w:p>
    <w:p>
      <w:pPr>
        <w:widowControl/>
      </w:pPr>
      <w:r>
        <w:t>指导教师和企业人员重点提供问题定义、脱敏材料、真实判断依据与验证反馈，而不是替系统逐条整理字段。优先争取少量能够串起“当时材料—专家修改—项目决定”的完整样例，并将后续结果与当时输入分开。资料暂未获得，不影响接口与合成测试推进，但不得宣称已验证企业投资效果。</w:t>
      </w:r>
    </w:p>
    <w:p>
      <w:pPr>
        <w:pStyle w:val="Heading2"/>
        <w:widowControl/>
      </w:pPr>
      <w:r>
        <w:t>6.4 当前状态与后续口径</w:t>
      </w:r>
    </w:p>
    <w:p>
      <w:pPr>
        <w:widowControl/>
      </w:pPr>
      <w:r>
        <w:t>目前已形成可启动工作台，打通真实模型、原生搜索、公开原文获取、专业研究、候选动作、独立反证、六维比较、经验版本化与局部重评，并完成工程与样例验证。公开资料实测取得4篇政府网站原文，另1条缺原文记录保留为待核；合成企业约束及权限隔离测试与真实企业效果评测分别报告。当前不宣称已验证企业投资效率或收益改善，详细完成状态与证据见配套工程记录。</w:t>
      </w:r>
    </w:p>
    <w:p>
      <w:pPr>
        <w:pStyle w:val="Heading2"/>
        <w:widowControl/>
      </w:pPr>
      <w:r>
        <w:t>材料依据与技术出处</w:t>
      </w:r>
    </w:p>
    <w:p>
      <w:pPr>
        <w:widowControl/>
        <w:spacing w:before="80"/>
      </w:pPr>
      <w:r>
        <w:rPr>
          <w:rFonts w:ascii="Noto Sans CJK SC" w:hAnsi="Noto Sans CJK SC" w:eastAsia="Noto Sans CJK SC"/>
          <w:color w:val="627084"/>
          <w:sz w:val="18"/>
        </w:rPr>
        <w:t>[1] 团队提供《海之子杯申报书框架_片区价值研判Agent.docx》。原稿中的赛程、评审权重及效率数字未在本稿中作为外部已核实事实。</w:t>
      </w:r>
    </w:p>
    <w:p>
      <w:pPr>
        <w:widowControl/>
        <w:spacing w:before="80"/>
      </w:pPr>
      <w:r>
        <w:rPr>
          <w:rFonts w:ascii="Noto Sans CJK SC" w:hAnsi="Noto Sans CJK SC" w:eastAsia="Noto Sans CJK SC"/>
          <w:color w:val="627084"/>
          <w:sz w:val="18"/>
        </w:rPr>
        <w:t>[2] DeepSeek Harness 官方仓库：deepseek-ai/deepseek-harness；子Agent、web工具与MIT许可。</w:t>
        <w:br/>
        <w:t>[3] CRE Acquisition Orchestrator 官方仓库：ahacker-1/cre-acquisition-orchestrator；parser-service、README及EVAL-PLAN。</w:t>
        <w:br/>
        <w:t>[4] DeepSeek官方，Introducing DeepSeek-V4.1-Flash，2026-09-10。仅说明候选模型能力，不代替本项目实测。</w:t>
      </w:r>
    </w:p>
    <w:p>
      <w:pPr>
        <w:widowControl/>
        <w:spacing w:before="80"/>
      </w:pPr>
      <w:r>
        <w:rPr>
          <w:rFonts w:ascii="Noto Sans CJK SC" w:hAnsi="Noto Sans CJK SC" w:eastAsia="Noto Sans CJK SC"/>
          <w:color w:val="627084"/>
          <w:sz w:val="18"/>
        </w:rPr>
        <w:t>完整文件路径、核验状态、许可证及源版本见配套《工程架构与AI执行计划_v2》和reuse_manifest。指导教师、团队成员及经确认的企业合作信息由团队按真实情况补充。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38" w:bottom="979" w:left="1138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4758A"/>
        <w:sz w:val="16"/>
      </w:rPr>
      <w:t xml:space="preserve">架构重构稿 v2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CCD7E3"/>
      </w:pBdr>
    </w:pPr>
    <w:r>
      <w:rPr>
        <w:rFonts w:ascii="Noto Sans CJK SC" w:hAnsi="Noto Sans CJK SC" w:eastAsia="Noto Sans CJK SC"/>
        <w:color w:val="64758A"/>
        <w:sz w:val="16"/>
      </w:rPr>
      <w:t>海之子杯  |  片区价值研判与投资决策辅助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/>
      <w:color w:val="25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300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A7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00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A7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00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A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0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4A7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auto"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53247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海之子杯申报书框架：片区价值研判Agent（重构稿v2）</dc:title>
  <dc:subject>建造前决策、直接代码复用、双模式、AI-native执行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