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728A3">
      <w:pPr>
        <w:spacing w:after="120"/>
      </w:pPr>
      <w:r>
        <w:rPr>
          <w:rFonts w:ascii="Calibri" w:hAnsi="Calibri"/>
          <w:b/>
          <w:color w:val="1F4D78"/>
          <w:sz w:val="32"/>
        </w:rPr>
        <w:t>Supplementary Tables for OCTA and Cho/CFP Biomarker Modelling</w:t>
      </w:r>
    </w:p>
    <w:p w14:paraId="78CAD9A3">
      <w:pPr>
        <w:spacing w:after="120"/>
      </w:pPr>
      <w:r>
        <w:rPr>
          <w:sz w:val="20"/>
        </w:rPr>
        <w:t>Draft table set designed with the same supplement logic as the reference file: module definitions, cohort characteristics, measurement QC, model specifications, and AUC results.</w:t>
      </w:r>
    </w:p>
    <w:p w14:paraId="399C0F41">
      <w:pPr>
        <w:spacing w:before="200" w:after="80"/>
      </w:pPr>
      <w:r>
        <w:rPr>
          <w:rFonts w:ascii="Calibri" w:hAnsi="Calibri"/>
          <w:b/>
          <w:sz w:val="21"/>
        </w:rPr>
        <w:t>Supplementary Table 1. Definition of OCTA and Cho/CFP biomarker modules.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700"/>
        <w:gridCol w:w="2600"/>
        <w:gridCol w:w="2300"/>
        <w:gridCol w:w="1760"/>
      </w:tblGrid>
      <w:tr w14:paraId="47DF9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F8D5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Domain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9765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Module / biomarker group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7D57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Components used for score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66AE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Interpretation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E716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Used in model(s)</w:t>
            </w:r>
          </w:p>
        </w:tc>
      </w:tr>
      <w:tr w14:paraId="0E612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A4F8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OCTA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6C51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CCFA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D0AB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Median of retained choriocapillaris flow-area grid values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7B36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Flow-related choriocapillaris signal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10AA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Model 3, Model 5</w:t>
            </w:r>
          </w:p>
        </w:tc>
      </w:tr>
      <w:tr w14:paraId="2B1D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6D4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OCTA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78826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5BE4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Median of retained choroidal thickness grid values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0E89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Structural choroidal thickness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409F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Model 3, Model 4, Model 5</w:t>
            </w:r>
          </w:p>
        </w:tc>
      </w:tr>
      <w:tr w14:paraId="5A347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11B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OCTA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F253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CVI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B114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Median of retained choroidal vascularity index grid values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503B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Relative choroidal vascularity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8452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Model 3, Model 4, Model 5</w:t>
            </w:r>
          </w:p>
        </w:tc>
      </w:tr>
      <w:tr w14:paraId="16A9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F61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Cho/CFP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BBA1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Density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7508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Whole-region GAN-derived vessel-density metrics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BF1C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Global choroidal vessel density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808F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Model 2, Model 5</w:t>
            </w:r>
          </w:p>
        </w:tc>
      </w:tr>
      <w:tr w14:paraId="577C3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A0D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Cho/CFP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BBEB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Complexity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184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Whole-region GAN-derived complexity metrics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DA2F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Branching/structural complexity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7AE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Model 2, Model 5</w:t>
            </w:r>
          </w:p>
        </w:tc>
      </w:tr>
      <w:tr w14:paraId="14B9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C7D9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Cho/CFP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501A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Calibre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9ED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Whole-region GAN-derived calibre metrics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C65F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Vessel width/calibre profile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4D3F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Model 2, Model 5</w:t>
            </w:r>
          </w:p>
        </w:tc>
      </w:tr>
      <w:tr w14:paraId="2EB0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7A06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Cho/CFP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40C0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Tortuosity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ABC2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Whole-region GAN-derived tortuosity metrics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C39F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Curvature and vessel path irregularity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BA8B0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Model 2, Model 5</w:t>
            </w:r>
          </w:p>
        </w:tc>
      </w:tr>
      <w:tr w14:paraId="3FBE4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D755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Cho/CFP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3C30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Branching Angle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538B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Whole-region GAN-derived branching-angle metrics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154E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Angular branching geometry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7165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7"/>
              </w:rPr>
              <w:t>Model 2, Model 5</w:t>
            </w:r>
          </w:p>
        </w:tc>
      </w:tr>
    </w:tbl>
    <w:p w14:paraId="2BB3C5A7">
      <w:pPr>
        <w:spacing w:before="40" w:after="160"/>
      </w:pPr>
      <w:r>
        <w:rPr>
          <w:rFonts w:ascii="Calibri" w:hAnsi="Calibri"/>
          <w:color w:val="505050"/>
          <w:sz w:val="17"/>
        </w:rPr>
        <w:t>Note. CCFA, choriocapillaris flow area; CT, choroidal thickness; CVI, choroidal vascularity index; CFP, color fundus photography.</w:t>
      </w:r>
    </w:p>
    <w:p w14:paraId="4B6608CC">
      <w:pPr>
        <w:spacing w:before="200" w:after="80"/>
      </w:pPr>
      <w:r>
        <w:rPr>
          <w:rFonts w:ascii="Calibri" w:hAnsi="Calibri"/>
          <w:b/>
          <w:sz w:val="21"/>
        </w:rPr>
        <w:t xml:space="preserve">Table </w:t>
      </w:r>
      <w:r>
        <w:rPr>
          <w:rFonts w:hint="eastAsia" w:eastAsia="SimSun"/>
          <w:b/>
          <w:sz w:val="21"/>
          <w:lang w:val="en-US" w:eastAsia="zh-CN"/>
        </w:rPr>
        <w:t>1</w:t>
      </w:r>
      <w:r>
        <w:rPr>
          <w:rFonts w:ascii="Calibri" w:hAnsi="Calibri"/>
          <w:b/>
          <w:sz w:val="21"/>
        </w:rPr>
        <w:t>. Characteristics of</w:t>
      </w:r>
      <w:r>
        <w:rPr>
          <w:rFonts w:cs="Times New Roman"/>
          <w:bCs/>
          <w:sz w:val="20"/>
          <w:szCs w:val="20"/>
        </w:rPr>
        <w:t xml:space="preserve"> the participants in the </w:t>
      </w:r>
      <w:r>
        <w:rPr>
          <w:rFonts w:hint="eastAsia" w:eastAsia="SimSun" w:cs="Times New Roman"/>
          <w:bCs/>
          <w:sz w:val="20"/>
          <w:szCs w:val="20"/>
          <w:lang w:val="en-US" w:eastAsia="zh-CN"/>
        </w:rPr>
        <w:t>C</w:t>
      </w:r>
      <w:r>
        <w:rPr>
          <w:rFonts w:cs="Times New Roman"/>
          <w:bCs/>
          <w:sz w:val="20"/>
          <w:szCs w:val="20"/>
        </w:rPr>
        <w:t>U</w:t>
      </w:r>
      <w:r>
        <w:rPr>
          <w:rFonts w:hint="eastAsia" w:eastAsia="SimSun" w:cs="Times New Roman"/>
          <w:bCs/>
          <w:sz w:val="20"/>
          <w:szCs w:val="20"/>
          <w:lang w:val="en-US" w:eastAsia="zh-CN"/>
        </w:rPr>
        <w:t>H</w:t>
      </w:r>
      <w:r>
        <w:rPr>
          <w:rFonts w:cs="Times New Roman"/>
          <w:bCs/>
          <w:sz w:val="20"/>
          <w:szCs w:val="20"/>
        </w:rPr>
        <w:t>K study.</w:t>
      </w:r>
    </w:p>
    <w:tbl>
      <w:tblPr>
        <w:tblStyle w:val="33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8"/>
        <w:gridCol w:w="1544"/>
        <w:gridCol w:w="1601"/>
        <w:gridCol w:w="1978"/>
        <w:gridCol w:w="1613"/>
      </w:tblGrid>
      <w:tr w14:paraId="4C8A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9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B823">
            <w:pPr>
              <w:snapToGrid w:val="0"/>
              <w:spacing w:after="0" w:line="252" w:lineRule="auto"/>
              <w:jc w:val="left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libri" w:hAnsi="Calibri"/>
                <w:b/>
                <w:i w:val="0"/>
                <w:color w:val="000000" w:themeColor="dark1"/>
                <w:sz w:val="17"/>
                <w14:textFill>
                  <w14:solidFill>
                    <w14:schemeClr w14:val="dk1"/>
                  </w14:solidFill>
                </w14:textFill>
              </w:rPr>
              <w:t>Variables</w:t>
            </w:r>
          </w:p>
        </w:tc>
        <w:tc>
          <w:tcPr>
            <w:tcW w:w="804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9125">
            <w:pPr>
              <w:snapToGrid w:val="0"/>
              <w:spacing w:after="0" w:line="252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libri" w:hAnsi="Calibri"/>
                <w:b/>
                <w:i w:val="0"/>
                <w:color w:val="000000" w:themeColor="dark1"/>
                <w:sz w:val="17"/>
                <w14:textFill>
                  <w14:solidFill>
                    <w14:schemeClr w14:val="dk1"/>
                  </w14:solidFill>
                </w14:textFill>
              </w:rPr>
              <w:t>Total (n = 137)</w:t>
            </w:r>
          </w:p>
        </w:tc>
        <w:tc>
          <w:tcPr>
            <w:tcW w:w="834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10B8">
            <w:pPr>
              <w:snapToGrid w:val="0"/>
              <w:spacing w:after="0" w:line="252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libri" w:hAnsi="Calibri"/>
                <w:b/>
                <w:i w:val="0"/>
                <w:color w:val="000000" w:themeColor="dark1"/>
                <w:sz w:val="17"/>
                <w14:textFill>
                  <w14:solidFill>
                    <w14:schemeClr w14:val="dk1"/>
                  </w14:solidFill>
                </w14:textFill>
              </w:rPr>
              <w:t>Non-myopia (n = 22)</w:t>
            </w:r>
          </w:p>
        </w:tc>
        <w:tc>
          <w:tcPr>
            <w:tcW w:w="1030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7E58">
            <w:pPr>
              <w:snapToGrid w:val="0"/>
              <w:spacing w:after="0" w:line="252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libri" w:hAnsi="Calibri"/>
                <w:b/>
                <w:i w:val="0"/>
                <w:color w:val="000000" w:themeColor="dark1"/>
                <w:sz w:val="17"/>
                <w14:textFill>
                  <w14:solidFill>
                    <w14:schemeClr w14:val="dk1"/>
                  </w14:solidFill>
                </w14:textFill>
              </w:rPr>
              <w:t>Moderate myopia (n = 91)</w:t>
            </w:r>
          </w:p>
        </w:tc>
        <w:tc>
          <w:tcPr>
            <w:tcW w:w="840" w:type="pct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4544">
            <w:pPr>
              <w:snapToGrid w:val="0"/>
              <w:spacing w:after="0" w:line="252" w:lineRule="auto"/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libri" w:hAnsi="Calibri"/>
                <w:b/>
                <w:i w:val="0"/>
                <w:color w:val="000000" w:themeColor="dark1"/>
                <w:sz w:val="17"/>
                <w14:textFill>
                  <w14:solidFill>
                    <w14:schemeClr w14:val="dk1"/>
                  </w14:solidFill>
                </w14:textFill>
              </w:rPr>
              <w:t>High myopia (n = 24)</w:t>
            </w:r>
          </w:p>
        </w:tc>
      </w:tr>
      <w:tr w14:paraId="0B3E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9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D88A">
            <w:pPr>
              <w:snapToGrid w:val="0"/>
              <w:spacing w:after="0" w:line="252" w:lineRule="auto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Age, median (Q1, Q3)</w:t>
            </w:r>
          </w:p>
        </w:tc>
        <w:tc>
          <w:tcPr>
            <w:tcW w:w="804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DA64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12.0 (10.0, 13.0)</w:t>
            </w:r>
          </w:p>
        </w:tc>
        <w:tc>
          <w:tcPr>
            <w:tcW w:w="834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8935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13.0 (12.0, 14.0)</w:t>
            </w:r>
          </w:p>
        </w:tc>
        <w:tc>
          <w:tcPr>
            <w:tcW w:w="1030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D198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11.0 (10.0, 13.0)</w:t>
            </w:r>
          </w:p>
        </w:tc>
        <w:tc>
          <w:tcPr>
            <w:tcW w:w="840" w:type="pct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81B3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13.0 (10.8, 14.0)</w:t>
            </w:r>
          </w:p>
        </w:tc>
      </w:tr>
      <w:tr w14:paraId="1FB8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BDA9">
            <w:pPr>
              <w:snapToGrid w:val="0"/>
              <w:spacing w:after="0" w:line="252" w:lineRule="auto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Sex = 1, n (%)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EE66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69 (50.4)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2451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10 (45.5)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5867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47 (51.6)</w:t>
            </w: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66ACA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12 (50.0)</w:t>
            </w:r>
          </w:p>
        </w:tc>
      </w:tr>
      <w:tr w14:paraId="09B7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9791">
            <w:pPr>
              <w:snapToGrid w:val="0"/>
              <w:spacing w:after="0" w:line="252" w:lineRule="auto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Sex = 2, n (%)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C1C42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68 (49.6)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4142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12 (54.5)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4C62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44 (48.4)</w:t>
            </w: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7888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12 (50.0)</w:t>
            </w:r>
          </w:p>
        </w:tc>
      </w:tr>
      <w:tr w14:paraId="2DF6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1C4B">
            <w:pPr>
              <w:snapToGrid w:val="0"/>
              <w:spacing w:after="0" w:line="252" w:lineRule="auto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Axial length, median (Q1, Q3), mm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6D3C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24.91 (23.97, 25.71)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B93F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23.52 (23.11, 23.96)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42BB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24.91 (24.21, 25.49)</w:t>
            </w: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D712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26.39 (25.82, 26.95)</w:t>
            </w:r>
          </w:p>
        </w:tc>
      </w:tr>
      <w:tr w14:paraId="733A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28D4">
            <w:pPr>
              <w:snapToGrid w:val="0"/>
              <w:spacing w:after="0" w:line="252" w:lineRule="auto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Spherical equivalent, median (Q1, Q3), D</w:t>
            </w:r>
          </w:p>
        </w:tc>
        <w:tc>
          <w:tcPr>
            <w:tcW w:w="8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F627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-3.50 (-5.25, -1.00)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E8B2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0.25 (0.00, 0.69)</w:t>
            </w:r>
          </w:p>
        </w:tc>
        <w:tc>
          <w:tcPr>
            <w:tcW w:w="10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22D6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-3.50 (-4.88, -2.12)</w:t>
            </w: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0D18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-6.75 (-8.00, -6.50)</w:t>
            </w:r>
          </w:p>
        </w:tc>
      </w:tr>
      <w:tr w14:paraId="5506F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9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82BA">
            <w:pPr>
              <w:snapToGrid w:val="0"/>
              <w:spacing w:after="0" w:line="252" w:lineRule="auto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AL &gt;= 26 mm, n (%)</w:t>
            </w:r>
          </w:p>
        </w:tc>
        <w:tc>
          <w:tcPr>
            <w:tcW w:w="804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2FBE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25 (18.2)</w:t>
            </w:r>
          </w:p>
        </w:tc>
        <w:tc>
          <w:tcPr>
            <w:tcW w:w="834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AE78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0 (0.0)</w:t>
            </w:r>
          </w:p>
        </w:tc>
        <w:tc>
          <w:tcPr>
            <w:tcW w:w="1030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3E71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9 (9.9)</w:t>
            </w:r>
          </w:p>
        </w:tc>
        <w:tc>
          <w:tcPr>
            <w:tcW w:w="840" w:type="pct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2684">
            <w:pPr>
              <w:snapToGrid w:val="0"/>
              <w:spacing w:after="0" w:line="252" w:lineRule="auto"/>
              <w:jc w:val="center"/>
              <w:rPr>
                <w:b w:val="0"/>
                <w:i w:val="0"/>
                <w:color w:val="08090C"/>
              </w:rPr>
            </w:pPr>
            <w:r>
              <w:rPr>
                <w:rFonts w:ascii="Calibri" w:hAnsi="Calibri"/>
                <w:b w:val="0"/>
                <w:i w:val="0"/>
                <w:color w:val="08090C"/>
                <w:sz w:val="17"/>
              </w:rPr>
              <w:t>16 (66.7)</w:t>
            </w:r>
          </w:p>
        </w:tc>
      </w:tr>
    </w:tbl>
    <w:p w14:paraId="0D1FCDAE">
      <w:pPr>
        <w:spacing w:before="40" w:after="160"/>
      </w:pPr>
      <w:r>
        <w:rPr>
          <w:rFonts w:ascii="Calibri" w:hAnsi="Calibri"/>
          <w:color w:val="505050"/>
          <w:sz w:val="17"/>
        </w:rPr>
        <w:t>Note. Sex was kept as the coded variable available in the source files. Moderate and high myopia are mutually exclusive by SE definition.</w:t>
      </w:r>
    </w:p>
    <w:p w14:paraId="3663FD6D">
      <w:r>
        <w:br w:type="page"/>
      </w:r>
    </w:p>
    <w:p w14:paraId="4F498403">
      <w:pPr>
        <w:spacing w:before="200" w:after="80"/>
      </w:pPr>
      <w:r>
        <w:rPr>
          <w:rFonts w:ascii="Calibri" w:hAnsi="Calibri"/>
          <w:b/>
          <w:sz w:val="21"/>
        </w:rPr>
        <w:t>Supplementary Table 3. Quality control and module construction summary.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1050"/>
        <w:gridCol w:w="950"/>
        <w:gridCol w:w="2250"/>
        <w:gridCol w:w="2710"/>
      </w:tblGrid>
      <w:tr w14:paraId="703AC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B6CA9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Source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0B20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Module / category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C99D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Candidate n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5239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Retained n</w:t>
            </w:r>
          </w:p>
        </w:tc>
        <w:tc>
          <w:tcPr>
            <w:tcW w:w="2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0818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Removed variables</w:t>
            </w:r>
          </w:p>
        </w:tc>
        <w:tc>
          <w:tcPr>
            <w:tcW w:w="27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F2B9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Processing note</w:t>
            </w:r>
          </w:p>
        </w:tc>
      </w:tr>
      <w:tr w14:paraId="61DD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2231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OCTA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1822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CCFA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95E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95D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C008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low IQR: 0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72C3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Grid-level QC -&gt; module median -&gt; median imputation if needed -&gt; scale</w:t>
            </w:r>
          </w:p>
        </w:tc>
      </w:tr>
      <w:tr w14:paraId="4D8D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0FA4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OCTA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F430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CFA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F0C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5AAF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A731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low IQR: 3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73E4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QC checked; excluded from final models because of high correlation with CCFA</w:t>
            </w:r>
          </w:p>
        </w:tc>
      </w:tr>
      <w:tr w14:paraId="62D1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6C6F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OCTA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BBBC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CT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39E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AEEE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B9C02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low IQR: 0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55A5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Grid-level QC -&gt; module median -&gt; median imputation if needed -&gt; scale</w:t>
            </w:r>
          </w:p>
        </w:tc>
      </w:tr>
      <w:tr w14:paraId="480D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032B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OCTA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7AC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CVI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2FE6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63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3C83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59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BFE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low IQR: 4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678C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Grid-level QC -&gt; module median -&gt; median imputation if needed -&gt; scale</w:t>
            </w:r>
          </w:p>
        </w:tc>
      </w:tr>
      <w:tr w14:paraId="0BE70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7893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Cho/CFP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7A9C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Density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543D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AF44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CC25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valid n&lt;threshold: 0; low IQR: 0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745A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Variable median imputation -&gt; variable z-score -&gt; module median -&gt; scale</w:t>
            </w:r>
          </w:p>
        </w:tc>
      </w:tr>
      <w:tr w14:paraId="05C04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FEAE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Cho/CFP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DBAA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Complexity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E3D5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A131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8F1B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valid n&lt;threshold: 0; low IQR: 0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761F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Variable median imputation -&gt; variable z-score -&gt; module median -&gt; scale</w:t>
            </w:r>
          </w:p>
        </w:tc>
      </w:tr>
      <w:tr w14:paraId="552D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0C5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Cho/CFP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E653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Calibre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D80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8066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007B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valid n&lt;threshold: 0; low IQR: 0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D31A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Variable median imputation -&gt; variable z-score -&gt; module median -&gt; scale</w:t>
            </w:r>
          </w:p>
        </w:tc>
      </w:tr>
      <w:tr w14:paraId="234B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73B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Cho/CFP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8F93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Tortuosity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543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315D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705C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valid n&lt;threshold: 0; low IQR: 1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A80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Variable median imputation -&gt; variable z-score -&gt; module median -&gt; scale</w:t>
            </w:r>
          </w:p>
        </w:tc>
      </w:tr>
      <w:tr w14:paraId="0567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21C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Cho/CFP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ACF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Branching Angle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7738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9DAA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257EE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missing &gt;90%: 0; valid n&lt;threshold: 0; low IQR: 0</w:t>
            </w:r>
          </w:p>
        </w:tc>
        <w:tc>
          <w:tcPr>
            <w:tcW w:w="2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F2D6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Variable median imputation -&gt; variable z-score -&gt; module median -&gt; scale</w:t>
            </w:r>
          </w:p>
        </w:tc>
      </w:tr>
    </w:tbl>
    <w:p w14:paraId="381B7D19">
      <w:pPr>
        <w:spacing w:before="40" w:after="160"/>
      </w:pPr>
      <w:r>
        <w:rPr>
          <w:rFonts w:ascii="Calibri" w:hAnsi="Calibri"/>
          <w:color w:val="505050"/>
          <w:sz w:val="17"/>
        </w:rPr>
        <w:t>Note. Both data sources removed variables with missing rate &gt;90% and near-zero IQR. Cho/CFP additionally required valid n &gt;= 20 or &gt;=10% of total n.</w:t>
      </w:r>
    </w:p>
    <w:p w14:paraId="4855985D">
      <w:pPr>
        <w:spacing w:before="200" w:after="80"/>
      </w:pPr>
      <w:r>
        <w:rPr>
          <w:rFonts w:ascii="Calibri" w:hAnsi="Calibri"/>
          <w:b/>
          <w:sz w:val="21"/>
        </w:rPr>
        <w:t xml:space="preserve">Supplementary </w:t>
      </w:r>
      <w:bookmarkStart w:id="0" w:name="_GoBack"/>
      <w:r>
        <w:rPr>
          <w:rFonts w:ascii="Calibri" w:hAnsi="Calibri"/>
          <w:b/>
          <w:sz w:val="21"/>
        </w:rPr>
        <w:t xml:space="preserve">Table </w:t>
      </w:r>
      <w:r>
        <w:rPr>
          <w:rFonts w:hint="eastAsia" w:eastAsia="SimSun"/>
          <w:b/>
          <w:sz w:val="21"/>
          <w:lang w:val="en-US" w:eastAsia="zh-CN"/>
        </w:rPr>
        <w:t>2</w:t>
      </w:r>
      <w:r>
        <w:rPr>
          <w:rFonts w:ascii="Calibri" w:hAnsi="Calibri"/>
          <w:b/>
          <w:sz w:val="21"/>
        </w:rPr>
        <w:t>. Binary outcomes and prediction model specifications.</w:t>
      </w:r>
    </w:p>
    <w:tbl>
      <w:tblPr>
        <w:tblStyle w:val="33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0"/>
        <w:gridCol w:w="3014"/>
        <w:gridCol w:w="4258"/>
        <w:gridCol w:w="1282"/>
      </w:tblGrid>
      <w:tr w14:paraId="6EB8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tcBorders>
              <w:top w:val="single" w:color="000000" w:themeColor="dark1" w:sz="8" w:space="0"/>
              <w:left w:val="single" w:color="000000" w:themeColor="dark1" w:sz="8" w:space="0"/>
              <w:bottom w:val="single" w:color="000000" w:themeColor="dark1" w:sz="8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D752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  <w:t>Section</w:t>
            </w:r>
          </w:p>
        </w:tc>
        <w:tc>
          <w:tcPr>
            <w:tcW w:w="1570" w:type="pct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8F9A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  <w:t>Name</w:t>
            </w:r>
          </w:p>
        </w:tc>
        <w:tc>
          <w:tcPr>
            <w:tcW w:w="2218" w:type="pct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01DE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  <w:t>Definition / predictors</w:t>
            </w:r>
          </w:p>
        </w:tc>
        <w:tc>
          <w:tcPr>
            <w:tcW w:w="668" w:type="pct"/>
            <w:tcBorders>
              <w:top w:val="single" w:color="000000" w:themeColor="dark1" w:sz="8" w:space="0"/>
              <w:left w:val="nil"/>
              <w:bottom w:val="single" w:color="000000" w:themeColor="dark1" w:sz="8" w:space="0"/>
              <w:right w:val="single" w:color="000000" w:themeColor="dark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26AF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000000" w:themeColor="dark1"/>
                <w:sz w:val="18"/>
                <w:szCs w:val="18"/>
                <w14:textFill>
                  <w14:solidFill>
                    <w14:schemeClr w14:val="dk1"/>
                  </w14:solidFill>
                </w14:textFill>
              </w:rPr>
              <w:t>Event count</w:t>
            </w:r>
          </w:p>
        </w:tc>
      </w:tr>
      <w:tr w14:paraId="30BD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vMerge w:val="restart"/>
            <w:tcBorders>
              <w:top w:val="single" w:color="000000" w:themeColor="dark1" w:sz="8" w:space="0"/>
              <w:left w:val="single" w:color="000000" w:themeColor="dark1" w:sz="8" w:space="0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5389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Outcome</w:t>
            </w:r>
          </w:p>
          <w:p w14:paraId="65CBB356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  <w:tc>
          <w:tcPr>
            <w:tcW w:w="1570" w:type="pct"/>
            <w:tcBorders>
              <w:top w:val="single" w:color="000000" w:themeColor="dark1" w:sz="8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F3AB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High myopia</w:t>
            </w:r>
          </w:p>
        </w:tc>
        <w:tc>
          <w:tcPr>
            <w:tcW w:w="2218" w:type="pct"/>
            <w:tcBorders>
              <w:top w:val="single" w:color="000000" w:themeColor="dark1" w:sz="8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3509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SE &lt;= -6.00 D</w:t>
            </w:r>
          </w:p>
        </w:tc>
        <w:tc>
          <w:tcPr>
            <w:tcW w:w="668" w:type="pct"/>
            <w:tcBorders>
              <w:top w:val="single" w:color="000000" w:themeColor="dark1" w:sz="8" w:space="0"/>
              <w:left w:val="nil"/>
              <w:bottom w:val="nil"/>
              <w:right w:val="single" w:color="000000" w:themeColor="dark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7444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24/137</w:t>
            </w:r>
          </w:p>
        </w:tc>
      </w:tr>
      <w:tr w14:paraId="2905F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vMerge w:val="continue"/>
            <w:tcBorders>
              <w:top w:val="nil"/>
              <w:left w:val="single" w:color="000000" w:themeColor="dark1" w:sz="8" w:space="0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8387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  <w:tc>
          <w:tcPr>
            <w:tcW w:w="1570" w:type="pct"/>
            <w:tcBorders>
              <w:top w:val="nil"/>
              <w:left w:val="nil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4E6D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Moderate myopia</w:t>
            </w:r>
          </w:p>
        </w:tc>
        <w:tc>
          <w:tcPr>
            <w:tcW w:w="2218" w:type="pct"/>
            <w:tcBorders>
              <w:top w:val="nil"/>
              <w:left w:val="nil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2DE0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-6.00 D &lt; SE &lt;= -0.50 D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color="000000" w:themeColor="dark1" w:sz="8" w:space="0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F74E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91/137</w:t>
            </w:r>
          </w:p>
        </w:tc>
      </w:tr>
      <w:tr w14:paraId="041FE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vMerge w:val="continue"/>
            <w:tcBorders>
              <w:top w:val="nil"/>
              <w:left w:val="single" w:color="000000" w:themeColor="dark1" w:sz="8" w:space="0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4DFF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  <w:tc>
          <w:tcPr>
            <w:tcW w:w="15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8652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Long axial length</w:t>
            </w:r>
          </w:p>
        </w:tc>
        <w:tc>
          <w:tcPr>
            <w:tcW w:w="22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1E95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AL &gt;= 26 mm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color="000000" w:themeColor="dark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4FF6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25/137</w:t>
            </w:r>
          </w:p>
        </w:tc>
      </w:tr>
      <w:tr w14:paraId="565B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vMerge w:val="restart"/>
            <w:tcBorders>
              <w:top w:val="nil"/>
              <w:left w:val="single" w:color="000000" w:themeColor="dark1" w:sz="8" w:space="0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4026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570" w:type="pct"/>
            <w:tcBorders>
              <w:top w:val="nil"/>
              <w:left w:val="nil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37D6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Model 1 Clinical</w:t>
            </w:r>
          </w:p>
        </w:tc>
        <w:tc>
          <w:tcPr>
            <w:tcW w:w="2218" w:type="pct"/>
            <w:tcBorders>
              <w:top w:val="nil"/>
              <w:left w:val="nil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FF5A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Age + Sex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color="000000" w:themeColor="dark1" w:sz="8" w:space="0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8067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</w:tr>
      <w:tr w14:paraId="122F5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vMerge w:val="continue"/>
            <w:tcBorders>
              <w:top w:val="nil"/>
              <w:left w:val="single" w:color="000000" w:themeColor="dark1" w:sz="8" w:space="0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7048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  <w:tc>
          <w:tcPr>
            <w:tcW w:w="15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D326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Model 2 Clinical + Cho</w:t>
            </w:r>
          </w:p>
        </w:tc>
        <w:tc>
          <w:tcPr>
            <w:tcW w:w="22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F003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Age + Sex + 5 Cho/CFP modules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color="000000" w:themeColor="dark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EC2F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</w:tr>
      <w:tr w14:paraId="22B99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vMerge w:val="continue"/>
            <w:tcBorders>
              <w:top w:val="nil"/>
              <w:left w:val="single" w:color="000000" w:themeColor="dark1" w:sz="8" w:space="0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E69E9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  <w:tc>
          <w:tcPr>
            <w:tcW w:w="1570" w:type="pct"/>
            <w:tcBorders>
              <w:top w:val="nil"/>
              <w:left w:val="nil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40BD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Model 3 Clinical + OCTA</w:t>
            </w:r>
          </w:p>
        </w:tc>
        <w:tc>
          <w:tcPr>
            <w:tcW w:w="2218" w:type="pct"/>
            <w:tcBorders>
              <w:top w:val="nil"/>
              <w:left w:val="nil"/>
              <w:bottom w:val="nil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00D5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Age + Sex + CCFA + CT + CVI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color="000000" w:themeColor="dark1" w:sz="8" w:space="0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0526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</w:tr>
      <w:tr w14:paraId="7833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vMerge w:val="continue"/>
            <w:tcBorders>
              <w:top w:val="nil"/>
              <w:left w:val="single" w:color="000000" w:themeColor="dark1" w:sz="8" w:space="0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D97D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  <w:tc>
          <w:tcPr>
            <w:tcW w:w="15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B414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Model 4 Clinical + OCTA_nonflow</w:t>
            </w:r>
          </w:p>
        </w:tc>
        <w:tc>
          <w:tcPr>
            <w:tcW w:w="22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F04BF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Age + Sex + CT + CVI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single" w:color="000000" w:themeColor="dark1" w:sz="8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0684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</w:tr>
      <w:tr w14:paraId="19E4C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42" w:type="pct"/>
            <w:vMerge w:val="continue"/>
            <w:tcBorders>
              <w:top w:val="nil"/>
              <w:left w:val="single" w:color="000000" w:themeColor="dark1" w:sz="8" w:space="0"/>
              <w:bottom w:val="single" w:color="000000" w:themeColor="dark1" w:sz="8" w:space="0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FA35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  <w:tc>
          <w:tcPr>
            <w:tcW w:w="1570" w:type="pct"/>
            <w:tcBorders>
              <w:top w:val="nil"/>
              <w:left w:val="nil"/>
              <w:bottom w:val="single" w:color="000000" w:themeColor="dark1" w:sz="8" w:space="0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A6AE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Model 5 Clinical + OCTA + Cho</w:t>
            </w:r>
          </w:p>
        </w:tc>
        <w:tc>
          <w:tcPr>
            <w:tcW w:w="2218" w:type="pct"/>
            <w:tcBorders>
              <w:top w:val="nil"/>
              <w:left w:val="nil"/>
              <w:bottom w:val="single" w:color="000000" w:themeColor="dark1" w:sz="8" w:space="0"/>
              <w:right w:val="nil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9EE6">
            <w:pPr>
              <w:snapToGrid w:val="0"/>
              <w:spacing w:after="0" w:line="252" w:lineRule="auto"/>
              <w:jc w:val="left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  <w:t>Age + Sex + OCTA modules + 5 Cho/CFP modules</w:t>
            </w:r>
          </w:p>
        </w:tc>
        <w:tc>
          <w:tcPr>
            <w:tcW w:w="668" w:type="pct"/>
            <w:tcBorders>
              <w:top w:val="nil"/>
              <w:left w:val="nil"/>
              <w:bottom w:val="single" w:color="000000" w:themeColor="dark1" w:sz="8" w:space="0"/>
              <w:right w:val="single" w:color="000000" w:themeColor="dark1" w:sz="8" w:space="0"/>
            </w:tcBorders>
            <w:shd w:val="clear" w:color="auto" w:fill="E5E5E5" w:themeFill="dark1" w:themeFillTint="1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F678">
            <w:pPr>
              <w:snapToGrid w:val="0"/>
              <w:spacing w:after="0" w:line="252" w:lineRule="auto"/>
              <w:jc w:val="center"/>
              <w:rPr>
                <w:rFonts w:hint="default" w:ascii="Times New Roman" w:hAnsi="Times New Roman" w:cs="Times New Roman"/>
                <w:b w:val="0"/>
                <w:i w:val="0"/>
                <w:color w:val="000000"/>
                <w:sz w:val="18"/>
                <w:szCs w:val="18"/>
              </w:rPr>
            </w:pPr>
          </w:p>
        </w:tc>
      </w:tr>
    </w:tbl>
    <w:p w14:paraId="26A5AF6C">
      <w:pPr>
        <w:spacing w:before="40" w:after="160"/>
      </w:pPr>
      <w:r>
        <w:rPr>
          <w:rFonts w:ascii="Calibri" w:hAnsi="Calibri"/>
          <w:color w:val="505050"/>
          <w:sz w:val="17"/>
        </w:rPr>
        <w:t>Note. All models used the final aligned OD analysis set (n=137). Age, Sex, AL and SE were taken from the OCTA file as the canonical clinical/outcome source.</w:t>
      </w:r>
    </w:p>
    <w:p w14:paraId="2BB8B2E1">
      <w:r>
        <w:br w:type="page"/>
      </w:r>
    </w:p>
    <w:p w14:paraId="7A30CA8A">
      <w:pPr>
        <w:spacing w:before="200" w:after="80"/>
      </w:pPr>
      <w:r>
        <w:rPr>
          <w:rFonts w:ascii="Calibri" w:hAnsi="Calibri"/>
          <w:b/>
          <w:sz w:val="21"/>
        </w:rPr>
        <w:t>Supplementary Table 5. Cross-validated AUC performance of the five prediction models.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1100"/>
        <w:gridCol w:w="950"/>
        <w:gridCol w:w="950"/>
        <w:gridCol w:w="950"/>
        <w:gridCol w:w="1350"/>
        <w:gridCol w:w="1560"/>
      </w:tblGrid>
      <w:tr w14:paraId="2A76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D639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Endpoint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37A0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Events / N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F23F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Clinical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AE37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+ Cho</w:t>
            </w:r>
          </w:p>
        </w:tc>
        <w:tc>
          <w:tcPr>
            <w:tcW w:w="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5355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+ OCTA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7A50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+ OCTA_nonflow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D4D2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+ OCTA + Cho</w:t>
            </w:r>
          </w:p>
        </w:tc>
      </w:tr>
      <w:tr w14:paraId="57872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9214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High myopia (SE &lt;= -6.00D)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7D7E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24/137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CC8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0.487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302DE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0.682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53B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0.741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954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0.620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7B11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0.750</w:t>
            </w:r>
          </w:p>
        </w:tc>
      </w:tr>
      <w:tr w14:paraId="25AAE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E3D5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Moderate myopia (-6.00D &lt; SE &lt;= -0.50D)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9D9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91/137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DE3C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0.640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546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0.644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E64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0.662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98A8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0.669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838E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0.693</w:t>
            </w:r>
          </w:p>
        </w:tc>
      </w:tr>
      <w:tr w14:paraId="4411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C16C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Long axial length (AL &gt;= 26mm)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1C6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25/137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DA36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0.684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FD2D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0.668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285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0.763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468FA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0.736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ADA6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0.710</w:t>
            </w:r>
          </w:p>
        </w:tc>
      </w:tr>
    </w:tbl>
    <w:p w14:paraId="6564329C">
      <w:pPr>
        <w:spacing w:before="40" w:after="160"/>
      </w:pPr>
      <w:r>
        <w:rPr>
          <w:rFonts w:ascii="Calibri" w:hAnsi="Calibri"/>
          <w:color w:val="505050"/>
          <w:sz w:val="17"/>
        </w:rPr>
        <w:t>Note. Values are repeated 5-fold cross-validated AUCs. In-sample AUCs were not prioritized for interpretation because they are more optimistic.</w:t>
      </w:r>
    </w:p>
    <w:p w14:paraId="1E859B0D">
      <w:pPr>
        <w:spacing w:before="200" w:after="80"/>
      </w:pPr>
      <w:r>
        <w:rPr>
          <w:rFonts w:ascii="Calibri" w:hAnsi="Calibri"/>
          <w:b/>
          <w:sz w:val="21"/>
        </w:rPr>
        <w:t>Supplementary Table 6. Key pairwise differences in cross-validated AUC.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950"/>
        <w:gridCol w:w="1050"/>
        <w:gridCol w:w="1450"/>
        <w:gridCol w:w="750"/>
        <w:gridCol w:w="2060"/>
      </w:tblGrid>
      <w:tr w14:paraId="014C9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2904"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17"/>
              </w:rPr>
              <w:t>Endpoint</w:t>
            </w:r>
          </w:p>
        </w:tc>
        <w:tc>
          <w:tcPr>
            <w:tcW w:w="19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46B2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Comparison</w:t>
            </w:r>
          </w:p>
        </w:tc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166C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Delta CV AUC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F138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95% CI</w:t>
            </w:r>
          </w:p>
        </w:tc>
        <w:tc>
          <w:tcPr>
            <w:tcW w:w="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6F95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p</w:t>
            </w:r>
          </w:p>
        </w:tc>
        <w:tc>
          <w:tcPr>
            <w:tcW w:w="2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1AF7"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17"/>
              </w:rPr>
              <w:t>Interpretation</w:t>
            </w:r>
          </w:p>
        </w:tc>
      </w:tr>
      <w:tr w14:paraId="1A2C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F5B39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High myopia (SE &lt;= -6.00D)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6688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Cho vs OCTA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2410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-0.059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706E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-0.222 to 0.090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B384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0.469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C7F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NS; comparable within this sample</w:t>
            </w:r>
          </w:p>
        </w:tc>
      </w:tr>
      <w:tr w14:paraId="311FF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6FAC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High myopia (SE &lt;= -6.00D)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5D4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Cho vs OCTA_nonflow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2FE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0.062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EFC4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-0.078 to 0.200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7B8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0.387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C8D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NS; comparable within this sample</w:t>
            </w:r>
          </w:p>
        </w:tc>
      </w:tr>
      <w:tr w14:paraId="622C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C37D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High myopia (SE &lt;= -6.00D)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A378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OCTA flow contribution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CE4A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0.121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AAC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0.025 to 0.225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F46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0.017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D5E3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Significant</w:t>
            </w:r>
          </w:p>
        </w:tc>
      </w:tr>
      <w:tr w14:paraId="1B76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6395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High myopia (SE &lt;= -6.00D)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DBF5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Add Cho beyond OCTA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3F1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0.009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1D45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-0.100 to 0.114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0ED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0.886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D620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</w:t>
            </w:r>
          </w:p>
        </w:tc>
      </w:tr>
      <w:tr w14:paraId="65A7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2899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Moderate myopia (-6.00D &lt; SE &lt;= -0.50D)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3A24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Cho vs OCTA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71D1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-0.018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2903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-0.116 to 0.081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1184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0.734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14C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NS; comparable within this sample</w:t>
            </w:r>
          </w:p>
        </w:tc>
      </w:tr>
      <w:tr w14:paraId="2010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885C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Moderate myopia (-6.00D &lt; SE &lt;= -0.50D)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28A4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Cho vs OCTA_nonflow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895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-0.025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405E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-0.110 to 0.076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E978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0.634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1479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NS; comparable within this sample</w:t>
            </w:r>
          </w:p>
        </w:tc>
      </w:tr>
      <w:tr w14:paraId="5A234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B0D0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Moderate myopia (-6.00D &lt; SE &lt;= -0.50D)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F47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OCTA flow contribution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1AAD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B3F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-0.031 to 0.017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640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0.635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ECE61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</w:t>
            </w:r>
          </w:p>
        </w:tc>
      </w:tr>
      <w:tr w14:paraId="619C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AA80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Moderate myopia (-6.00D &lt; SE &lt;= -0.50D)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552C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Add Cho beyond OCTA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31D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0.031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32BD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-0.039 to 0.103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A6B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0.416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77E3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</w:t>
            </w:r>
          </w:p>
        </w:tc>
      </w:tr>
      <w:tr w14:paraId="3C591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E12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Long axial length (AL &gt;= 26mm)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A084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Cho vs OCTA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ACC64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-0.095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F5DE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-0.212 to 0.019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68F3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0.114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B98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NS; comparable within this sample</w:t>
            </w:r>
          </w:p>
        </w:tc>
      </w:tr>
      <w:tr w14:paraId="7C9E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6977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Long axial length (AL &gt;= 26mm)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9FBD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Cho vs OCTA_nonflow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82C7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-0.068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A21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-0.180 to 0.047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382A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0.263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5570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NS; comparable within this sample</w:t>
            </w:r>
          </w:p>
        </w:tc>
      </w:tr>
      <w:tr w14:paraId="3F5B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2FAE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Long axial length (AL &gt;= 26mm)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23C2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OCTA flow contribution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D5ED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0.027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2603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-0.035 to 0.088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6DC1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0.383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A4479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</w:t>
            </w:r>
          </w:p>
        </w:tc>
      </w:tr>
      <w:tr w14:paraId="6CB1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51DC"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sz w:val="16"/>
              </w:rPr>
              <w:t>Long axial length (AL &gt;= 26mm)</w:t>
            </w: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886B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Add Cho beyond OCTA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5536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-0.053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8818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-0.121 to 0.007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BDAF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0.092</w:t>
            </w: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B17F"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sz w:val="16"/>
              </w:rPr>
              <w:t>NS</w:t>
            </w:r>
          </w:p>
        </w:tc>
      </w:tr>
    </w:tbl>
    <w:p w14:paraId="2E35BBA3">
      <w:pPr>
        <w:spacing w:before="40" w:after="160"/>
      </w:pPr>
      <w:r>
        <w:rPr>
          <w:rFonts w:ascii="Calibri" w:hAnsi="Calibri"/>
          <w:color w:val="505050"/>
          <w:sz w:val="17"/>
        </w:rPr>
        <w:t>Note. Delta CV AUC equals the first model minus the second model. Confidence intervals and p values were estimated using paired bootstrap on repeated-CV probabilities.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F6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1063</Words>
  <Characters>5442</Characters>
  <Lines>0</Lines>
  <Paragraphs>0</Paragraphs>
  <TotalTime>12</TotalTime>
  <ScaleCrop>false</ScaleCrop>
  <LinksUpToDate>false</LinksUpToDate>
  <CharactersWithSpaces>6214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砖</cp:lastModifiedBy>
  <dcterms:modified xsi:type="dcterms:W3CDTF">2026-06-16T11:41:18Z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eyJoZGlkIjoiOGRhYTFhMDA4MjBkYWQwNTZjMzBmODMzZDI0NTM0MTUiLCJ1c2VySWQiOiIzMDI2NTM0OTAifQ==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98AC1AFB12A24185B5A0CB5E54524517_12</vt:lpwstr>
  </property>
</Properties>
</file>