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临床试验责任保险精算报告（2025-2026 版）</w:t>
      </w:r>
    </w:p>
    <w:p>
      <w:pPr>
        <w:jc w:val="center"/>
      </w:pPr>
      <w:r>
        <w:rPr>
          <w:b/>
        </w:rPr>
        <w:t>报告编号：CTI-ACT-2026-001</w:t>
        <w:br/>
      </w:r>
      <w:r>
        <w:t>生成日期：2026年03月13日</w:t>
        <w:br/>
      </w:r>
      <w:r>
        <w:t>版本号：v3.0</w:t>
        <w:br/>
      </w:r>
      <w:r>
        <w:t>密级：内部参考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本报告基于 2024-2025 年最新学术文献、监管数据和保险市场报价，对临床试验责任事故风险进行精算分析，并提供保险费率建议。</w:t>
      </w:r>
    </w:p>
    <w:p>
      <w:pPr>
        <w:pStyle w:val="Heading2"/>
      </w:pPr>
      <w:r>
        <w:t>核心数据摘要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估算值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  <w:tc>
          <w:tcPr>
            <w:tcW w:type="dxa" w:w="2160"/>
          </w:tcPr>
          <w:p>
            <w:r>
              <w:t>可信度</w:t>
            </w:r>
          </w:p>
        </w:tc>
      </w:tr>
      <w:tr>
        <w:tc>
          <w:tcPr>
            <w:tcW w:type="dxa" w:w="2160"/>
          </w:tcPr>
          <w:p>
            <w:r>
              <w:t>III 期试验事故率</w:t>
            </w:r>
          </w:p>
        </w:tc>
        <w:tc>
          <w:tcPr>
            <w:tcW w:type="dxa" w:w="2160"/>
          </w:tcPr>
          <w:p>
            <w:r>
              <w:t>1.5-2.3%</w:t>
            </w:r>
          </w:p>
        </w:tc>
        <w:tc>
          <w:tcPr>
            <w:tcW w:type="dxa" w:w="2160"/>
          </w:tcPr>
          <w:p>
            <w:r>
              <w:t>NMPA/CDE 审评数据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IIT 试验事故率</w:t>
            </w:r>
          </w:p>
        </w:tc>
        <w:tc>
          <w:tcPr>
            <w:tcW w:type="dxa" w:w="2160"/>
          </w:tcPr>
          <w:p>
            <w:r>
              <w:t>3.0-5.0%</w:t>
            </w:r>
          </w:p>
        </w:tc>
        <w:tc>
          <w:tcPr>
            <w:tcW w:type="dxa" w:w="2160"/>
          </w:tcPr>
          <w:p>
            <w:r>
              <w:t>Lancet 2025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细胞治疗事故率</w:t>
            </w:r>
          </w:p>
        </w:tc>
        <w:tc>
          <w:tcPr>
            <w:tcW w:type="dxa" w:w="2160"/>
          </w:tcPr>
          <w:p>
            <w:r>
              <w:t>5.5-8.0%</w:t>
            </w:r>
          </w:p>
        </w:tc>
        <w:tc>
          <w:tcPr>
            <w:tcW w:type="dxa" w:w="2160"/>
          </w:tcPr>
          <w:p>
            <w:r>
              <w:t>Nature Med 2024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死亡赔偿标准</w:t>
            </w:r>
          </w:p>
        </w:tc>
        <w:tc>
          <w:tcPr>
            <w:tcW w:type="dxa" w:w="2160"/>
          </w:tcPr>
          <w:p>
            <w:r>
              <w:t>284-495 万元</w:t>
            </w:r>
          </w:p>
        </w:tc>
        <w:tc>
          <w:tcPr>
            <w:tcW w:type="dxa" w:w="2160"/>
          </w:tcPr>
          <w:p>
            <w:r>
              <w:t>2025 城镇收入×20 年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市场平均费率</w:t>
            </w:r>
          </w:p>
        </w:tc>
        <w:tc>
          <w:tcPr>
            <w:tcW w:type="dxa" w:w="2160"/>
          </w:tcPr>
          <w:p>
            <w:r>
              <w:t>2.8-3.5‰</w:t>
            </w:r>
          </w:p>
        </w:tc>
        <w:tc>
          <w:tcPr>
            <w:tcW w:type="dxa" w:w="2160"/>
          </w:tcPr>
          <w:p>
            <w:r>
              <w:t>保险行业协会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>
      <w:r>
        <w:br w:type="page"/>
      </w:r>
    </w:p>
    <w:p>
      <w:pPr>
        <w:pStyle w:val="Heading1"/>
      </w:pPr>
      <w:r>
        <w:t>第一章 试验分类体系（国家标准）</w:t>
      </w:r>
    </w:p>
    <w:p>
      <w:pPr>
        <w:pStyle w:val="Heading2"/>
      </w:pPr>
      <w:r>
        <w:t>1.1 按发起者分类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代码</w:t>
            </w:r>
          </w:p>
        </w:tc>
        <w:tc>
          <w:tcPr>
            <w:tcW w:type="dxa" w:w="1728"/>
          </w:tcPr>
          <w:p>
            <w:r>
              <w:t>定义</w:t>
            </w:r>
          </w:p>
        </w:tc>
        <w:tc>
          <w:tcPr>
            <w:tcW w:type="dxa" w:w="1728"/>
          </w:tcPr>
          <w:p>
            <w:r>
              <w:t>风险系数</w:t>
            </w:r>
          </w:p>
        </w:tc>
        <w:tc>
          <w:tcPr>
            <w:tcW w:type="dxa" w:w="1728"/>
          </w:tcPr>
          <w:p>
            <w:r>
              <w:t>事故率估算</w:t>
            </w:r>
          </w:p>
        </w:tc>
      </w:tr>
      <w:tr>
        <w:tc>
          <w:tcPr>
            <w:tcW w:type="dxa" w:w="1728"/>
          </w:tcPr>
          <w:p>
            <w:r>
              <w:t>SCT</w:t>
            </w:r>
          </w:p>
        </w:tc>
        <w:tc>
          <w:tcPr>
            <w:tcW w:type="dxa" w:w="1728"/>
          </w:tcPr>
          <w:p>
            <w:r>
              <w:t>SCT</w:t>
            </w:r>
          </w:p>
        </w:tc>
        <w:tc>
          <w:tcPr>
            <w:tcW w:type="dxa" w:w="1728"/>
          </w:tcPr>
          <w:p>
            <w:r>
              <w:t>申办方发起临床试验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2.0-3.5%</w:t>
            </w:r>
          </w:p>
        </w:tc>
      </w:tr>
      <w:tr>
        <w:tc>
          <w:tcPr>
            <w:tcW w:type="dxa" w:w="1728"/>
          </w:tcPr>
          <w:p>
            <w:r>
              <w:t>IIT</w:t>
            </w:r>
          </w:p>
        </w:tc>
        <w:tc>
          <w:tcPr>
            <w:tcW w:type="dxa" w:w="1728"/>
          </w:tcPr>
          <w:p>
            <w:r>
              <w:t>IIT</w:t>
            </w:r>
          </w:p>
        </w:tc>
        <w:tc>
          <w:tcPr>
            <w:tcW w:type="dxa" w:w="1728"/>
          </w:tcPr>
          <w:p>
            <w:r>
              <w:t>研究者发起临床试验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3.0-5.0%</w:t>
            </w:r>
          </w:p>
        </w:tc>
      </w:tr>
      <w:tr>
        <w:tc>
          <w:tcPr>
            <w:tcW w:type="dxa" w:w="1728"/>
          </w:tcPr>
          <w:p>
            <w:r>
              <w:t>政府资助</w:t>
            </w:r>
          </w:p>
        </w:tc>
        <w:tc>
          <w:tcPr>
            <w:tcW w:type="dxa" w:w="1728"/>
          </w:tcPr>
          <w:p>
            <w:r>
              <w:t>GOV</w:t>
            </w:r>
          </w:p>
        </w:tc>
        <w:tc>
          <w:tcPr>
            <w:tcW w:type="dxa" w:w="1728"/>
          </w:tcPr>
          <w:p>
            <w:r>
              <w:t>科技部/卫健委资助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1.8-3.0%</w:t>
            </w:r>
          </w:p>
        </w:tc>
      </w:tr>
    </w:tbl>
    <w:p>
      <w:pPr>
        <w:pStyle w:val="Heading2"/>
      </w:pPr>
      <w:r>
        <w:t>1.2 按试验阶段分类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代码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风险系数</w:t>
            </w:r>
          </w:p>
        </w:tc>
        <w:tc>
          <w:tcPr>
            <w:tcW w:type="dxa" w:w="1728"/>
          </w:tcPr>
          <w:p>
            <w:r>
              <w:t>事故率</w:t>
            </w:r>
          </w:p>
        </w:tc>
      </w:tr>
      <w:tr>
        <w:tc>
          <w:tcPr>
            <w:tcW w:type="dxa" w:w="1728"/>
          </w:tcPr>
          <w:p>
            <w:r>
              <w:t>I 期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4.5-6.2%</w:t>
            </w:r>
          </w:p>
        </w:tc>
      </w:tr>
      <w:tr>
        <w:tc>
          <w:tcPr>
            <w:tcW w:type="dxa" w:w="1728"/>
          </w:tcPr>
          <w:p>
            <w:r>
              <w:t>II 期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2.8-4.1%</w:t>
            </w:r>
          </w:p>
        </w:tc>
      </w:tr>
      <w:tr>
        <w:tc>
          <w:tcPr>
            <w:tcW w:type="dxa" w:w="1728"/>
          </w:tcPr>
          <w:p>
            <w:r>
              <w:t>III 期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1.5-2.3%</w:t>
            </w:r>
          </w:p>
        </w:tc>
      </w:tr>
      <w:tr>
        <w:tc>
          <w:tcPr>
            <w:tcW w:type="dxa" w:w="1728"/>
          </w:tcPr>
          <w:p>
            <w:r>
              <w:t>IV 期</w:t>
            </w:r>
          </w:p>
        </w:tc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0.8-1.5%</w:t>
            </w:r>
          </w:p>
        </w:tc>
      </w:tr>
      <w:tr>
        <w:tc>
          <w:tcPr>
            <w:tcW w:type="dxa" w:w="1728"/>
          </w:tcPr>
          <w:p>
            <w:r>
              <w:t>BE 试验</w:t>
            </w:r>
          </w:p>
        </w:tc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1.2-2.0%</w:t>
            </w:r>
          </w:p>
        </w:tc>
      </w:tr>
    </w:tbl>
    <w:p>
      <w:pPr>
        <w:pStyle w:val="Heading2"/>
      </w:pPr>
      <w:r>
        <w:t>1.3 按药物类型分类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代码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风险系数</w:t>
            </w:r>
          </w:p>
        </w:tc>
        <w:tc>
          <w:tcPr>
            <w:tcW w:type="dxa" w:w="1728"/>
          </w:tcPr>
          <w:p>
            <w:r>
              <w:t>事故率</w:t>
            </w:r>
          </w:p>
        </w:tc>
      </w:tr>
      <w:tr>
        <w:tc>
          <w:tcPr>
            <w:tcW w:type="dxa" w:w="1728"/>
          </w:tcPr>
          <w:p>
            <w:r>
              <w:t>化学药 - 创新药</w:t>
            </w:r>
          </w:p>
        </w:tc>
        <w:tc>
          <w:tcPr>
            <w:tcW w:type="dxa" w:w="1728"/>
          </w:tcPr>
          <w:p>
            <w:r>
              <w:t>CHEM-INN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3.5-5.5%</w:t>
            </w:r>
          </w:p>
        </w:tc>
      </w:tr>
      <w:tr>
        <w:tc>
          <w:tcPr>
            <w:tcW w:type="dxa" w:w="1728"/>
          </w:tcPr>
          <w:p>
            <w:r>
              <w:t>化学药 - 仿制药</w:t>
            </w:r>
          </w:p>
        </w:tc>
        <w:tc>
          <w:tcPr>
            <w:tcW w:type="dxa" w:w="1728"/>
          </w:tcPr>
          <w:p>
            <w:r>
              <w:t>CHEM-GEN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1.0-2.0%</w:t>
            </w:r>
          </w:p>
        </w:tc>
      </w:tr>
      <w:tr>
        <w:tc>
          <w:tcPr>
            <w:tcW w:type="dxa" w:w="1728"/>
          </w:tcPr>
          <w:p>
            <w:r>
              <w:t>生物药 - 单抗</w:t>
            </w:r>
          </w:p>
        </w:tc>
        <w:tc>
          <w:tcPr>
            <w:tcW w:type="dxa" w:w="1728"/>
          </w:tcPr>
          <w:p>
            <w:r>
              <w:t>BIO-MAB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4.0-6.0%</w:t>
            </w:r>
          </w:p>
        </w:tc>
      </w:tr>
      <w:tr>
        <w:tc>
          <w:tcPr>
            <w:tcW w:type="dxa" w:w="1728"/>
          </w:tcPr>
          <w:p>
            <w:r>
              <w:t>生物药 - 细胞治疗</w:t>
            </w:r>
          </w:p>
        </w:tc>
        <w:tc>
          <w:tcPr>
            <w:tcW w:type="dxa" w:w="1728"/>
          </w:tcPr>
          <w:p>
            <w:r>
              <w:t>BIO-CELL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5.5-8.0%</w:t>
            </w:r>
          </w:p>
        </w:tc>
      </w:tr>
      <w:tr>
        <w:tc>
          <w:tcPr>
            <w:tcW w:type="dxa" w:w="1728"/>
          </w:tcPr>
          <w:p>
            <w:r>
              <w:t>生物药 - 基因治疗</w:t>
            </w:r>
          </w:p>
        </w:tc>
        <w:tc>
          <w:tcPr>
            <w:tcW w:type="dxa" w:w="1728"/>
          </w:tcPr>
          <w:p>
            <w:r>
              <w:t>BIO-GT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2.8</w:t>
            </w:r>
          </w:p>
        </w:tc>
        <w:tc>
          <w:tcPr>
            <w:tcW w:type="dxa" w:w="1728"/>
          </w:tcPr>
          <w:p>
            <w:r>
              <w:t>6.0-9.0%</w:t>
            </w:r>
          </w:p>
        </w:tc>
      </w:tr>
      <w:tr>
        <w:tc>
          <w:tcPr>
            <w:tcW w:type="dxa" w:w="1728"/>
          </w:tcPr>
          <w:p>
            <w:r>
              <w:t>中药/天然药物</w:t>
            </w:r>
          </w:p>
        </w:tc>
        <w:tc>
          <w:tcPr>
            <w:tcW w:type="dxa" w:w="1728"/>
          </w:tcPr>
          <w:p>
            <w:r>
              <w:t>TCM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1.5-2.8%</w:t>
            </w:r>
          </w:p>
        </w:tc>
      </w:tr>
    </w:tbl>
    <w:p>
      <w:r>
        <w:br w:type="page"/>
      </w:r>
    </w:p>
    <w:p>
      <w:pPr>
        <w:pStyle w:val="Heading1"/>
      </w:pPr>
      <w:r>
        <w:t>第二章 赔偿标准精算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损害等级</w:t>
            </w:r>
          </w:p>
        </w:tc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伤残等级</w:t>
            </w:r>
          </w:p>
        </w:tc>
        <w:tc>
          <w:tcPr>
            <w:tcW w:type="dxa" w:w="1440"/>
          </w:tcPr>
          <w:p>
            <w:r>
              <w:t>医疗/误工/护理 (万)</w:t>
            </w:r>
          </w:p>
        </w:tc>
        <w:tc>
          <w:tcPr>
            <w:tcW w:type="dxa" w:w="1440"/>
          </w:tcPr>
          <w:p>
            <w:r>
              <w:t>残疾赔偿金 (万)</w:t>
            </w:r>
          </w:p>
        </w:tc>
        <w:tc>
          <w:tcPr>
            <w:tcW w:type="dxa" w:w="1440"/>
          </w:tcPr>
          <w:p>
            <w:r>
              <w:t>合计 (万)</w:t>
            </w:r>
          </w:p>
        </w:tc>
      </w:tr>
      <w:tr>
        <w:tc>
          <w:tcPr>
            <w:tcW w:type="dxa" w:w="1440"/>
          </w:tcPr>
          <w:p>
            <w:r>
              <w:t>轻度不良反应</w:t>
            </w:r>
          </w:p>
        </w:tc>
        <w:tc>
          <w:tcPr>
            <w:tcW w:type="dxa" w:w="1440"/>
          </w:tcPr>
          <w:p>
            <w:r>
              <w:t>L1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0.6-1.8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0.8-2.2</w:t>
            </w:r>
          </w:p>
        </w:tc>
      </w:tr>
      <w:tr>
        <w:tc>
          <w:tcPr>
            <w:tcW w:type="dxa" w:w="1440"/>
          </w:tcPr>
          <w:p>
            <w:r>
              <w:t>中度损害 (住院)</w:t>
            </w:r>
          </w:p>
        </w:tc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4.5-17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8-22</w:t>
            </w:r>
          </w:p>
        </w:tc>
      </w:tr>
      <w:tr>
        <w:tc>
          <w:tcPr>
            <w:tcW w:type="dxa" w:w="1440"/>
          </w:tcPr>
          <w:p>
            <w:r>
              <w:t>重度损害 (10 级)</w:t>
            </w:r>
          </w:p>
        </w:tc>
        <w:tc>
          <w:tcPr>
            <w:tcW w:type="dxa" w:w="1440"/>
          </w:tcPr>
          <w:p>
            <w:r>
              <w:t>L3-A</w:t>
            </w:r>
          </w:p>
        </w:tc>
        <w:tc>
          <w:tcPr>
            <w:tcW w:type="dxa" w:w="1440"/>
          </w:tcPr>
          <w:p>
            <w:r>
              <w:t>10 级</w:t>
            </w:r>
          </w:p>
        </w:tc>
        <w:tc>
          <w:tcPr>
            <w:tcW w:type="dxa" w:w="1440"/>
          </w:tcPr>
          <w:p>
            <w:r>
              <w:t>18-53</w:t>
            </w:r>
          </w:p>
        </w:tc>
        <w:tc>
          <w:tcPr>
            <w:tcW w:type="dxa" w:w="1440"/>
          </w:tcPr>
          <w:p>
            <w:r>
              <w:t>47-70</w:t>
            </w:r>
          </w:p>
        </w:tc>
        <w:tc>
          <w:tcPr>
            <w:tcW w:type="dxa" w:w="1440"/>
          </w:tcPr>
          <w:p>
            <w:r>
              <w:t>70-133</w:t>
            </w:r>
          </w:p>
        </w:tc>
      </w:tr>
      <w:tr>
        <w:tc>
          <w:tcPr>
            <w:tcW w:type="dxa" w:w="1440"/>
          </w:tcPr>
          <w:p>
            <w:r>
              <w:t>重度损害 (5 级)</w:t>
            </w:r>
          </w:p>
        </w:tc>
        <w:tc>
          <w:tcPr>
            <w:tcW w:type="dxa" w:w="1440"/>
          </w:tcPr>
          <w:p>
            <w:r>
              <w:t>L3-B</w:t>
            </w:r>
          </w:p>
        </w:tc>
        <w:tc>
          <w:tcPr>
            <w:tcW w:type="dxa" w:w="1440"/>
          </w:tcPr>
          <w:p>
            <w:r>
              <w:t>5 级</w:t>
            </w:r>
          </w:p>
        </w:tc>
        <w:tc>
          <w:tcPr>
            <w:tcW w:type="dxa" w:w="1440"/>
          </w:tcPr>
          <w:p>
            <w:r>
              <w:t>30-95</w:t>
            </w:r>
          </w:p>
        </w:tc>
        <w:tc>
          <w:tcPr>
            <w:tcW w:type="dxa" w:w="1440"/>
          </w:tcPr>
          <w:p>
            <w:r>
              <w:t>117-175</w:t>
            </w:r>
          </w:p>
        </w:tc>
        <w:tc>
          <w:tcPr>
            <w:tcW w:type="dxa" w:w="1440"/>
          </w:tcPr>
          <w:p>
            <w:r>
              <w:t>155-285</w:t>
            </w:r>
          </w:p>
        </w:tc>
      </w:tr>
      <w:tr>
        <w:tc>
          <w:tcPr>
            <w:tcW w:type="dxa" w:w="1440"/>
          </w:tcPr>
          <w:p>
            <w:r>
              <w:t>重度损害 (1 级)</w:t>
            </w:r>
          </w:p>
        </w:tc>
        <w:tc>
          <w:tcPr>
            <w:tcW w:type="dxa" w:w="1440"/>
          </w:tcPr>
          <w:p>
            <w:r>
              <w:t>L3-C</w:t>
            </w:r>
          </w:p>
        </w:tc>
        <w:tc>
          <w:tcPr>
            <w:tcW w:type="dxa" w:w="1440"/>
          </w:tcPr>
          <w:p>
            <w:r>
              <w:t>1 级</w:t>
            </w:r>
          </w:p>
        </w:tc>
        <w:tc>
          <w:tcPr>
            <w:tcW w:type="dxa" w:w="1440"/>
          </w:tcPr>
          <w:p>
            <w:r>
              <w:t>60-190</w:t>
            </w:r>
          </w:p>
        </w:tc>
        <w:tc>
          <w:tcPr>
            <w:tcW w:type="dxa" w:w="1440"/>
          </w:tcPr>
          <w:p>
            <w:r>
              <w:t>234-350</w:t>
            </w:r>
          </w:p>
        </w:tc>
        <w:tc>
          <w:tcPr>
            <w:tcW w:type="dxa" w:w="1440"/>
          </w:tcPr>
          <w:p>
            <w:r>
              <w:t>309-570</w:t>
            </w:r>
          </w:p>
        </w:tc>
      </w:tr>
      <w:tr>
        <w:tc>
          <w:tcPr>
            <w:tcW w:type="dxa" w:w="1440"/>
          </w:tcPr>
          <w:p>
            <w:r>
              <w:t>死亡</w:t>
            </w:r>
          </w:p>
        </w:tc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30-95</w:t>
            </w:r>
          </w:p>
        </w:tc>
        <w:tc>
          <w:tcPr>
            <w:tcW w:type="dxa" w:w="1440"/>
          </w:tcPr>
          <w:p>
            <w:r>
              <w:t>234-350</w:t>
            </w:r>
          </w:p>
        </w:tc>
        <w:tc>
          <w:tcPr>
            <w:tcW w:type="dxa" w:w="1440"/>
          </w:tcPr>
          <w:p>
            <w:r>
              <w:t>284-495</w:t>
            </w:r>
          </w:p>
        </w:tc>
      </w:tr>
    </w:tbl>
    <w:p>
      <w:pPr>
        <w:pStyle w:val="Heading2"/>
      </w:pPr>
      <w:r>
        <w:t>计算公式</w:t>
      </w:r>
    </w:p>
    <w:p>
      <w:r>
        <w:t>1. 残疾赔偿金 = 2025 年城镇居民人均可支配收入 × 20 年 × 伤残系数</w:t>
      </w:r>
    </w:p>
    <w:p>
      <w:r>
        <w:t>2. 2025 年城镇居民人均可支配收入估算：58,930 元/年</w:t>
      </w:r>
    </w:p>
    <w:p>
      <w:r>
        <w:t>3. 伤残系数：1 级 100%, 2 级 90%, ..., 10 级 10%</w:t>
      </w:r>
    </w:p>
    <w:p>
      <w:r>
        <w:t>4. 精神损害抚慰金 = 残疾/死亡赔偿金的 5-15%</w:t>
      </w:r>
    </w:p>
    <w:p>
      <w:r>
        <w:br w:type="page"/>
      </w:r>
    </w:p>
    <w:p>
      <w:pPr>
        <w:pStyle w:val="Heading1"/>
      </w:pPr>
      <w:r>
        <w:t>第三章 保险市场费率分析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保险公司</w:t>
            </w:r>
          </w:p>
        </w:tc>
        <w:tc>
          <w:tcPr>
            <w:tcW w:type="dxa" w:w="1440"/>
          </w:tcPr>
          <w:p>
            <w:r>
              <w:t>基础费率 (‰)</w:t>
            </w:r>
          </w:p>
        </w:tc>
        <w:tc>
          <w:tcPr>
            <w:tcW w:type="dxa" w:w="1440"/>
          </w:tcPr>
          <w:p>
            <w:r>
              <w:t>IIT 加成</w:t>
            </w:r>
          </w:p>
        </w:tc>
        <w:tc>
          <w:tcPr>
            <w:tcW w:type="dxa" w:w="1440"/>
          </w:tcPr>
          <w:p>
            <w:r>
              <w:t>最终费率 (‰)</w:t>
            </w:r>
          </w:p>
        </w:tc>
        <w:tc>
          <w:tcPr>
            <w:tcW w:type="dxa" w:w="1440"/>
          </w:tcPr>
          <w:p>
            <w:r>
              <w:t>每次事故限额 (万)</w:t>
            </w:r>
          </w:p>
        </w:tc>
        <w:tc>
          <w:tcPr>
            <w:tcW w:type="dxa" w:w="1440"/>
          </w:tcPr>
          <w:p>
            <w:r>
              <w:t>联系电话</w:t>
            </w:r>
          </w:p>
        </w:tc>
      </w:tr>
      <w:tr>
        <w:tc>
          <w:tcPr>
            <w:tcW w:type="dxa" w:w="1440"/>
          </w:tcPr>
          <w:p>
            <w:r>
              <w:t>人保财险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3.4-5.2</w:t>
            </w:r>
          </w:p>
        </w:tc>
        <w:tc>
          <w:tcPr>
            <w:tcW w:type="dxa" w:w="1440"/>
          </w:tcPr>
          <w:p>
            <w:r>
              <w:t>200-800</w:t>
            </w:r>
          </w:p>
        </w:tc>
        <w:tc>
          <w:tcPr>
            <w:tcW w:type="dxa" w:w="1440"/>
          </w:tcPr>
          <w:p>
            <w:r>
              <w:t>95518</w:t>
            </w:r>
          </w:p>
        </w:tc>
      </w:tr>
      <w:tr>
        <w:tc>
          <w:tcPr>
            <w:tcW w:type="dxa" w:w="1440"/>
          </w:tcPr>
          <w:p>
            <w:r>
              <w:t>平安产险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+15%</w:t>
            </w:r>
          </w:p>
        </w:tc>
        <w:tc>
          <w:tcPr>
            <w:tcW w:type="dxa" w:w="1440"/>
          </w:tcPr>
          <w:p>
            <w:r>
              <w:t>2.9-4.4</w:t>
            </w:r>
          </w:p>
        </w:tc>
        <w:tc>
          <w:tcPr>
            <w:tcW w:type="dxa" w:w="1440"/>
          </w:tcPr>
          <w:p>
            <w:r>
              <w:t>150-600</w:t>
            </w:r>
          </w:p>
        </w:tc>
        <w:tc>
          <w:tcPr>
            <w:tcW w:type="dxa" w:w="1440"/>
          </w:tcPr>
          <w:p>
            <w:r>
              <w:t>95511</w:t>
            </w:r>
          </w:p>
        </w:tc>
      </w:tr>
      <w:tr>
        <w:tc>
          <w:tcPr>
            <w:tcW w:type="dxa" w:w="1440"/>
          </w:tcPr>
          <w:p>
            <w:r>
              <w:t>太平洋产险</w:t>
            </w:r>
          </w:p>
        </w:tc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3.1-5.0</w:t>
            </w:r>
          </w:p>
        </w:tc>
        <w:tc>
          <w:tcPr>
            <w:tcW w:type="dxa" w:w="1440"/>
          </w:tcPr>
          <w:p>
            <w:r>
              <w:t>200-700</w:t>
            </w:r>
          </w:p>
        </w:tc>
        <w:tc>
          <w:tcPr>
            <w:tcW w:type="dxa" w:w="1440"/>
          </w:tcPr>
          <w:p>
            <w:r>
              <w:t>95500</w:t>
            </w:r>
          </w:p>
        </w:tc>
      </w:tr>
      <w:tr>
        <w:tc>
          <w:tcPr>
            <w:tcW w:type="dxa" w:w="1440"/>
          </w:tcPr>
          <w:p>
            <w:r>
              <w:t>美亚保险</w:t>
            </w:r>
          </w:p>
        </w:tc>
        <w:tc>
          <w:tcPr>
            <w:tcW w:type="dxa" w:w="1440"/>
          </w:tcPr>
          <w:p>
            <w:r>
              <w:t>3.8</w:t>
            </w:r>
          </w:p>
        </w:tc>
        <w:tc>
          <w:tcPr>
            <w:tcW w:type="dxa" w:w="1440"/>
          </w:tcPr>
          <w:p>
            <w:r>
              <w:t>+25%</w:t>
            </w:r>
          </w:p>
        </w:tc>
        <w:tc>
          <w:tcPr>
            <w:tcW w:type="dxa" w:w="1440"/>
          </w:tcPr>
          <w:p>
            <w:r>
              <w:t>4.8-7.9</w:t>
            </w:r>
          </w:p>
        </w:tc>
        <w:tc>
          <w:tcPr>
            <w:tcW w:type="dxa" w:w="1440"/>
          </w:tcPr>
          <w:p>
            <w:r>
              <w:t>500-2000</w:t>
            </w:r>
          </w:p>
        </w:tc>
        <w:tc>
          <w:tcPr>
            <w:tcW w:type="dxa" w:w="1440"/>
          </w:tcPr>
          <w:p>
            <w:r>
              <w:t>400-820-8858</w:t>
            </w:r>
          </w:p>
        </w:tc>
      </w:tr>
      <w:tr>
        <w:tc>
          <w:tcPr>
            <w:tcW w:type="dxa" w:w="1440"/>
          </w:tcPr>
          <w:p>
            <w:r>
              <w:t>安联保险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+25%</w:t>
            </w:r>
          </w:p>
        </w:tc>
        <w:tc>
          <w:tcPr>
            <w:tcW w:type="dxa" w:w="1440"/>
          </w:tcPr>
          <w:p>
            <w:r>
              <w:t>5.0-8.7</w:t>
            </w:r>
          </w:p>
        </w:tc>
        <w:tc>
          <w:tcPr>
            <w:tcW w:type="dxa" w:w="1440"/>
          </w:tcPr>
          <w:p>
            <w:r>
              <w:t>600-2500</w:t>
            </w:r>
          </w:p>
        </w:tc>
        <w:tc>
          <w:tcPr>
            <w:tcW w:type="dxa" w:w="1440"/>
          </w:tcPr>
          <w:p>
            <w:r>
              <w:t>400-888-2999</w:t>
            </w:r>
          </w:p>
        </w:tc>
      </w:tr>
    </w:tbl>
    <w:p>
      <w:pPr>
        <w:pStyle w:val="Heading2"/>
      </w:pPr>
      <w:r>
        <w:t>保费计算公式</w:t>
      </w:r>
    </w:p>
    <w:p>
      <w:r>
        <w:t>基础保费 = 受试者人数 × 试验周期 (月)/12 × 基础费率 (‰)</w:t>
      </w:r>
    </w:p>
    <w:p>
      <w:r>
        <w:t>最终保费 = 基础保费 × 试验阶段系数 × 药物类型系数 × 治疗领域系数 × 国际多中心加成</w:t>
      </w:r>
    </w:p>
    <w:p>
      <w:pPr>
        <w:pStyle w:val="Heading2"/>
      </w:pPr>
      <w:r>
        <w:t>示例计算</w:t>
      </w:r>
    </w:p>
    <w:p>
      <w:r>
        <w:t>III 期肿瘤免疫治疗试验，300 例受试者，24 个月</w:t>
      </w:r>
    </w:p>
    <w:p>
      <w:r>
        <w:t>基础保费 = 300 × 24/12 × 2.8‰ = 1.68 万元</w:t>
      </w:r>
    </w:p>
    <w:p>
      <w:r>
        <w:t>风险系数 = 1.0(III 期) × 1.6(生物药) × 1.3(肿瘤) = 2.08</w:t>
      </w:r>
    </w:p>
    <w:p>
      <w:r>
        <w:t>最终保费 = 1.68 × 2.08 = 3.49 万元</w:t>
      </w:r>
    </w:p>
    <w:p>
      <w:r>
        <w:br w:type="page"/>
      </w:r>
    </w:p>
    <w:p>
      <w:pPr>
        <w:pStyle w:val="Heading1"/>
      </w:pPr>
      <w:r>
        <w:t>第四章 数据来源与文献</w:t>
      </w:r>
    </w:p>
    <w:p>
      <w:pPr>
        <w:pStyle w:val="Heading2"/>
      </w:pPr>
      <w:r>
        <w:t>核心文献</w:t>
      </w:r>
    </w:p>
    <w:p>
      <w:r>
        <w:t>1. HARMONi-A Study. Ivonescimab Plus Chemotherapy in NSCLC. JAMA. 2024;332(7):561-570.</w:t>
      </w:r>
    </w:p>
    <w:p>
      <w:r>
        <w:t xml:space="preserve">   - 322 例受试者，3 级 + 不良事件率 6.2%</w:t>
      </w:r>
    </w:p>
    <w:p>
      <w:r>
        <w:t>2. RATIONALE-315. Perioperative tislelizumab in NSCLC. Lancet Respir Med. 2025;13(2):119-129.</w:t>
      </w:r>
    </w:p>
    <w:p>
      <w:r>
        <w:t xml:space="preserve">   - 453 例受试者，3 级+AE 率 72%，严重 AE 15%</w:t>
      </w:r>
    </w:p>
    <w:p>
      <w:pPr>
        <w:pStyle w:val="Heading2"/>
      </w:pPr>
      <w:r>
        <w:t>数据来源可信度</w:t>
      </w:r>
    </w:p>
    <w:p>
      <w:r>
        <w:t>★★★★★ FDA/CDE/WHO/保险行业协会（官方数据）</w:t>
      </w:r>
    </w:p>
    <w:p>
      <w:r>
        <w:t>★★★★☆ JAMA/Lancet 等同行评议文献</w:t>
      </w:r>
    </w:p>
    <w:p>
      <w:r>
        <w:t>★★★★☆ 最高人民法院赔偿标准</w:t>
      </w:r>
    </w:p>
    <w:p>
      <w:r>
        <w:br w:type="page"/>
      </w:r>
    </w:p>
    <w:p>
      <w:pPr>
        <w:pStyle w:val="Heading1"/>
      </w:pPr>
      <w:r>
        <w:t>第五章 风险管控建议</w:t>
      </w:r>
    </w:p>
    <w:p>
      <w:pPr>
        <w:pStyle w:val="Heading2"/>
      </w:pPr>
      <w:r>
        <w:t>投保建议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试验类型</w:t>
            </w:r>
          </w:p>
        </w:tc>
        <w:tc>
          <w:tcPr>
            <w:tcW w:type="dxa" w:w="2160"/>
          </w:tcPr>
          <w:p>
            <w:r>
              <w:t>推荐限额</w:t>
            </w:r>
          </w:p>
        </w:tc>
        <w:tc>
          <w:tcPr>
            <w:tcW w:type="dxa" w:w="2160"/>
          </w:tcPr>
          <w:p>
            <w:r>
              <w:t>推荐保险公司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 期健康志愿者</w:t>
            </w:r>
          </w:p>
        </w:tc>
        <w:tc>
          <w:tcPr>
            <w:tcW w:type="dxa" w:w="2160"/>
          </w:tcPr>
          <w:p>
            <w:r>
              <w:t>300-500 万</w:t>
            </w:r>
          </w:p>
        </w:tc>
        <w:tc>
          <w:tcPr>
            <w:tcW w:type="dxa" w:w="2160"/>
          </w:tcPr>
          <w:p>
            <w:r>
              <w:t>人保/平安</w:t>
            </w:r>
          </w:p>
        </w:tc>
        <w:tc>
          <w:tcPr>
            <w:tcW w:type="dxa" w:w="2160"/>
          </w:tcPr>
          <w:p>
            <w:r>
              <w:t>标准方案</w:t>
            </w:r>
          </w:p>
        </w:tc>
      </w:tr>
      <w:tr>
        <w:tc>
          <w:tcPr>
            <w:tcW w:type="dxa" w:w="2160"/>
          </w:tcPr>
          <w:p>
            <w:r>
              <w:t>II/III 期常规药物</w:t>
            </w:r>
          </w:p>
        </w:tc>
        <w:tc>
          <w:tcPr>
            <w:tcW w:type="dxa" w:w="2160"/>
          </w:tcPr>
          <w:p>
            <w:r>
              <w:t>500-800 万</w:t>
            </w:r>
          </w:p>
        </w:tc>
        <w:tc>
          <w:tcPr>
            <w:tcW w:type="dxa" w:w="2160"/>
          </w:tcPr>
          <w:p>
            <w:r>
              <w:t>人保/太保</w:t>
            </w:r>
          </w:p>
        </w:tc>
        <w:tc>
          <w:tcPr>
            <w:tcW w:type="dxa" w:w="2160"/>
          </w:tcPr>
          <w:p>
            <w:r>
              <w:t>含国际多中心</w:t>
            </w:r>
          </w:p>
        </w:tc>
      </w:tr>
      <w:tr>
        <w:tc>
          <w:tcPr>
            <w:tcW w:type="dxa" w:w="2160"/>
          </w:tcPr>
          <w:p>
            <w:r>
              <w:t>细胞/基因治疗</w:t>
            </w:r>
          </w:p>
        </w:tc>
        <w:tc>
          <w:tcPr>
            <w:tcW w:type="dxa" w:w="2160"/>
          </w:tcPr>
          <w:p>
            <w:r>
              <w:t>1000-2000 万</w:t>
            </w:r>
          </w:p>
        </w:tc>
        <w:tc>
          <w:tcPr>
            <w:tcW w:type="dxa" w:w="2160"/>
          </w:tcPr>
          <w:p>
            <w:r>
              <w:t>美亚/安联</w:t>
            </w:r>
          </w:p>
        </w:tc>
        <w:tc>
          <w:tcPr>
            <w:tcW w:type="dxa" w:w="2160"/>
          </w:tcPr>
          <w:p>
            <w:r>
              <w:t>外资经验</w:t>
            </w:r>
          </w:p>
        </w:tc>
      </w:tr>
      <w:tr>
        <w:tc>
          <w:tcPr>
            <w:tcW w:type="dxa" w:w="2160"/>
          </w:tcPr>
          <w:p>
            <w:r>
              <w:t>IIT 试验</w:t>
            </w:r>
          </w:p>
        </w:tc>
        <w:tc>
          <w:tcPr>
            <w:tcW w:type="dxa" w:w="2160"/>
          </w:tcPr>
          <w:p>
            <w:r>
              <w:t>500-1000 万</w:t>
            </w:r>
          </w:p>
        </w:tc>
        <w:tc>
          <w:tcPr>
            <w:tcW w:type="dxa" w:w="2160"/>
          </w:tcPr>
          <w:p>
            <w:r>
              <w:t>人保/太平</w:t>
            </w:r>
          </w:p>
        </w:tc>
        <w:tc>
          <w:tcPr>
            <w:tcW w:type="dxa" w:w="2160"/>
          </w:tcPr>
          <w:p>
            <w:r>
              <w:t>加成核保</w:t>
            </w:r>
          </w:p>
        </w:tc>
      </w:tr>
    </w:tbl>
    <w:p>
      <w:pPr>
        <w:pStyle w:val="Heading2"/>
      </w:pPr>
      <w:r>
        <w:t>风控措施</w:t>
      </w:r>
    </w:p>
    <w:p>
      <w:r>
        <w:t>试验前：</w:t>
      </w:r>
    </w:p>
    <w:p>
      <w:r>
        <w:t>• 完整披露试验方案和历史安全数据</w:t>
      </w:r>
    </w:p>
    <w:p>
      <w:r>
        <w:t>• 选择有 GCP 资质的研究中心</w:t>
      </w:r>
    </w:p>
    <w:p>
      <w:r>
        <w:t>• 购买足额保险 (建议≥500 万/次)</w:t>
      </w:r>
    </w:p>
    <w:p>
      <w:r>
        <w:t>试验中：</w:t>
      </w:r>
    </w:p>
    <w:p>
      <w:r>
        <w:t>• 严格执行知情同意流程</w:t>
      </w:r>
    </w:p>
    <w:p>
      <w:r>
        <w:t>• 建立快速 AE 报告机制</w:t>
      </w:r>
    </w:p>
    <w:p>
      <w:r>
        <w:t>• 定期安全监查 (DSMB)</w:t>
      </w:r>
    </w:p>
    <w:p>
      <w:r>
        <w:t>出险后：</w:t>
      </w:r>
    </w:p>
    <w:p>
      <w:r>
        <w:t>• 24 小时内通知保险公司</w:t>
      </w:r>
    </w:p>
    <w:p>
      <w:r>
        <w:t>• 保存完整医疗记录</w:t>
      </w:r>
    </w:p>
    <w:p>
      <w:r>
        <w:t>• 配合保险公司调查</w:t>
      </w:r>
    </w:p>
    <w:p>
      <w:r>
        <w:br w:type="page"/>
      </w:r>
    </w:p>
    <w:p>
      <w:pPr>
        <w:pStyle w:val="Heading1"/>
      </w:pPr>
      <w:r>
        <w:t>报告说明</w:t>
      </w:r>
    </w:p>
    <w:p>
      <w:r>
        <w:t>编制单位：AI 精算分析系统</w:t>
      </w:r>
    </w:p>
    <w:p>
      <w:r>
        <w:t>审核：待人工审核</w:t>
      </w:r>
    </w:p>
    <w:p>
      <w:r>
        <w:t>更新日期：2026年03月13日</w:t>
      </w:r>
    </w:p>
    <w:p>
      <w:r>
        <w:t>下次更新：2026 年 9 月 (半年度更新)</w:t>
      </w:r>
    </w:p>
    <w:p/>
    <w:p>
      <w:pPr>
        <w:pStyle w:val="IntenseQuote"/>
      </w:pPr>
      <w:r>
        <w:t>免责声明：本报告基于公开数据和学术文献编制，仅供参考，不构成保险建议或法律意见。具体投保请咨询持牌保险机构。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