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PingFang SC" w:hAnsi="PingFang SC" w:eastAsia="PingFang SC"/>
          <w:b/>
          <w:color w:val="1C1B18"/>
          <w:sz w:val="44"/>
        </w:rPr>
        <w:t>2026 年当前 ENSO/FEP 事件的实时气象诊断小报告</w:t>
      </w:r>
    </w:p>
    <w:p>
      <w:pPr>
        <w:spacing w:after="240"/>
      </w:pPr>
      <w:r>
        <w:rPr>
          <w:rFonts w:ascii="PingFang SC" w:hAnsi="PingFang SC" w:eastAsia="PingFang SC"/>
          <w:b w:val="0"/>
          <w:color w:val="5B5A55"/>
          <w:sz w:val="24"/>
        </w:rPr>
        <w:t>基于 ERA5、OISST、GPCP 和 CPC OLR 的阶段性结果 | 2026-06-22</w:t>
      </w:r>
    </w:p>
    <w:p>
      <w:pPr>
        <w:spacing w:after="160"/>
        <w:pBdr>
          <w:bottom w:val="single" w:sz="6" w:space="1" w:color="D8D1C2"/>
        </w:pBdr>
      </w:pPr>
    </w:p>
    <w:p>
      <w:pPr>
        <w:pStyle w:val="Heading1"/>
      </w:pPr>
      <w:r>
        <w:t>一、当前核心判断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CellMar>
          <w:top w:w="120" w:type="dxa"/>
          <w:bottom w:w="120" w:type="dxa"/>
          <w:start w:w="180" w:type="dxa"/>
          <w:end w:w="18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E7F1EF"/>
          </w:tcPr>
          <w:p>
            <w:pPr>
              <w:spacing w:after="80"/>
            </w:pPr>
            <w:r/>
            <w:r>
              <w:rPr>
                <w:rFonts w:ascii="PingFang SC" w:hAnsi="PingFang SC" w:eastAsia="PingFang SC"/>
                <w:b/>
                <w:color w:val="2C7773"/>
                <w:sz w:val="23"/>
              </w:rPr>
              <w:t>一句话结论</w:t>
            </w:r>
          </w:p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1C1B18"/>
                <w:sz w:val="21"/>
              </w:rPr>
              <w:t>2026 当前事件不能简单写成“海温强、大气完全不响应”。更准确的说法是：海温/FEP 先行增暖，1-2 月风压和降水明显不同步，3-5 月风压分支开始滞后恢复，而降水/对流仍最滞后、最不稳定。</w:t>
            </w:r>
          </w:p>
        </w:tc>
      </w:tr>
    </w:tbl>
    <w:p/>
    <w:p>
      <w:pPr>
        <w:pStyle w:val="ListBullet"/>
        <w:spacing w:after="100"/>
      </w:pPr>
      <w:r>
        <w:rPr>
          <w:rFonts w:ascii="PingFang SC" w:hAnsi="PingFang SC" w:eastAsia="PingFang SC"/>
          <w:sz w:val="21"/>
        </w:rPr>
        <w:t>海温端：OISST 显示 2026 年 2 月以后 FEP 和东太平洋暖异常快速增强。</w:t>
      </w:r>
    </w:p>
    <w:p>
      <w:pPr>
        <w:pStyle w:val="ListBullet"/>
        <w:spacing w:after="100"/>
      </w:pPr>
      <w:r>
        <w:rPr>
          <w:rFonts w:ascii="PingFang SC" w:hAnsi="PingFang SC" w:eastAsia="PingFang SC"/>
          <w:sz w:val="21"/>
        </w:rPr>
        <w:t>风压端：ERA5 显示 1-2 月中太平洋仍偏东风、SOI-like 压差偏 La Niña-like；但 MAM 和 Apr-May 风场与海平面气压开始转向 El Niño-like。</w:t>
      </w:r>
    </w:p>
    <w:p>
      <w:pPr>
        <w:pStyle w:val="ListBullet"/>
        <w:spacing w:after="100"/>
      </w:pPr>
      <w:r>
        <w:rPr>
          <w:rFonts w:ascii="PingFang SC" w:hAnsi="PingFang SC" w:eastAsia="PingFang SC"/>
          <w:sz w:val="21"/>
        </w:rPr>
        <w:t>降水/对流端：GPCP 与 CPC OLR 均显示响应中心偏西、偏北或空间破碎，赤道中东太平洋尚未形成稳定连续的强对流/降水响应。</w:t>
      </w:r>
    </w:p>
    <w:p>
      <w:pPr>
        <w:pStyle w:val="ListBullet"/>
        <w:spacing w:after="100"/>
      </w:pPr>
      <w:r>
        <w:rPr>
          <w:rFonts w:ascii="PingFang SC" w:hAnsi="PingFang SC" w:eastAsia="PingFang SC"/>
          <w:sz w:val="21"/>
        </w:rPr>
        <w:t>omega850 解释：omega850 是 850 hPa 垂直压力速度，负值表示偏上升，正值表示偏下沉；本报告中正的 omega850 异常意味着相对气候态更偏下沉，不利于深对流增强。</w:t>
      </w:r>
    </w:p>
    <w:p>
      <w:pPr>
        <w:pStyle w:val="Heading1"/>
      </w:pPr>
      <w:r>
        <w:t>二、研究背景与问题来源</w:t>
      </w:r>
    </w:p>
    <w:p>
      <w:r>
        <w:rPr>
          <w:rFonts w:ascii="PingFang SC" w:hAnsi="PingFang SC" w:eastAsia="PingFang SC"/>
          <w:sz w:val="22"/>
        </w:rPr>
        <w:t>前期工作从 Peng et al. (2025) 关于 2023/24 强厄尔尼诺的研究出发：该事件海洋动力增暖很强，但同期风场、气压、降水和遥相关响应偏弱。当前 2026 事件提供了一个实时对照案例：如果东太平洋/FEP 海温再次率先增暖，大气分支是否同步跟上？</w:t>
      </w:r>
    </w:p>
    <w:p>
      <w:r>
        <w:rPr>
          <w:rFonts w:ascii="PingFang SC" w:hAnsi="PingFang SC" w:eastAsia="PingFang SC"/>
          <w:sz w:val="22"/>
        </w:rPr>
        <w:t>因此，本阶段不是判断 2026 是否已经成为强厄尔尼诺，而是检查“海温、风压、降水/对流是否同步”的早期信号。</w:t>
      </w:r>
    </w:p>
    <w:p>
      <w:pPr>
        <w:pStyle w:val="Heading1"/>
      </w:pPr>
      <w:r>
        <w:t>三、数据链与异常定义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1600"/>
        <w:gridCol w:w="2500"/>
        <w:gridCol w:w="3500"/>
        <w:gridCol w:w="1760"/>
      </w:tblGrid>
      <w:tr>
        <w:tc>
          <w:tcPr>
            <w:tcW w:type="dxa" w:w="160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1C1B18"/>
                <w:sz w:val="20"/>
              </w:rPr>
              <w:t>变量</w:t>
            </w:r>
          </w:p>
        </w:tc>
        <w:tc>
          <w:tcPr>
            <w:tcW w:type="dxa" w:w="250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1C1B18"/>
                <w:sz w:val="20"/>
              </w:rPr>
              <w:t>数据集</w:t>
            </w:r>
          </w:p>
        </w:tc>
        <w:tc>
          <w:tcPr>
            <w:tcW w:type="dxa" w:w="350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1C1B18"/>
                <w:sz w:val="20"/>
              </w:rPr>
              <w:t>当前用途</w:t>
            </w:r>
          </w:p>
        </w:tc>
        <w:tc>
          <w:tcPr>
            <w:tcW w:type="dxa" w:w="176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1C1B18"/>
                <w:sz w:val="20"/>
              </w:rPr>
              <w:t>可用时段</w:t>
            </w:r>
          </w:p>
        </w:tc>
      </w:tr>
      <w:tr>
        <w:tc>
          <w:tcPr>
            <w:tcW w:type="dxa" w:w="16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SST 海表温度</w:t>
            </w:r>
          </w:p>
        </w:tc>
        <w:tc>
          <w:tcPr>
            <w:tcW w:type="dxa" w:w="25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NOAA OISST v2.1</w:t>
            </w:r>
          </w:p>
        </w:tc>
        <w:tc>
          <w:tcPr>
            <w:tcW w:type="dxa" w:w="35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判断 FEP、Niño 区和热带海盆暖异常</w:t>
            </w:r>
          </w:p>
        </w:tc>
        <w:tc>
          <w:tcPr>
            <w:tcW w:type="dxa" w:w="176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到 2026-05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降水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GPCP monthly precipitation</w:t>
            </w:r>
          </w:p>
        </w:tc>
        <w:tc>
          <w:tcPr>
            <w:tcW w:type="dxa" w:w="350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检验降水是否与 SST 同步增强</w:t>
            </w:r>
          </w:p>
        </w:tc>
        <w:tc>
          <w:tcPr>
            <w:tcW w:type="dxa" w:w="176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到 2026-05</w:t>
            </w:r>
          </w:p>
        </w:tc>
      </w:tr>
      <w:tr>
        <w:tc>
          <w:tcPr>
            <w:tcW w:type="dxa" w:w="16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对流</w:t>
            </w:r>
          </w:p>
        </w:tc>
        <w:tc>
          <w:tcPr>
            <w:tcW w:type="dxa" w:w="25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CPC Blended OLR</w:t>
            </w:r>
          </w:p>
        </w:tc>
        <w:tc>
          <w:tcPr>
            <w:tcW w:type="dxa" w:w="35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独立检验深对流位置；OLR 负值代表对流增强</w:t>
            </w:r>
          </w:p>
        </w:tc>
        <w:tc>
          <w:tcPr>
            <w:tcW w:type="dxa" w:w="176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到 2026-06-15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风压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ERA5 single levels</w:t>
            </w:r>
          </w:p>
        </w:tc>
        <w:tc>
          <w:tcPr>
            <w:tcW w:type="dxa" w:w="350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10 m 风、平均海平面气压、总降水</w:t>
            </w:r>
          </w:p>
        </w:tc>
        <w:tc>
          <w:tcPr>
            <w:tcW w:type="dxa" w:w="176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1982-2022 与 2026-01 至 2026-05</w:t>
            </w:r>
          </w:p>
        </w:tc>
      </w:tr>
      <w:tr>
        <w:tc>
          <w:tcPr>
            <w:tcW w:type="dxa" w:w="16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低层环流</w:t>
            </w:r>
          </w:p>
        </w:tc>
        <w:tc>
          <w:tcPr>
            <w:tcW w:type="dxa" w:w="25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ERA5 pressure levels</w:t>
            </w:r>
          </w:p>
        </w:tc>
        <w:tc>
          <w:tcPr>
            <w:tcW w:type="dxa" w:w="35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850 hPa 风和 omega850</w:t>
            </w:r>
          </w:p>
        </w:tc>
        <w:tc>
          <w:tcPr>
            <w:tcW w:type="dxa" w:w="176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1982-2022 与 2026-01 至 2026-05</w:t>
            </w:r>
          </w:p>
        </w:tc>
      </w:tr>
    </w:tbl>
    <w:p/>
    <w:p>
      <w:r>
        <w:rPr>
          <w:rFonts w:ascii="PingFang SC" w:hAnsi="PingFang SC" w:eastAsia="PingFang SC"/>
          <w:b w:val="0"/>
          <w:color w:val="5B5A55"/>
          <w:sz w:val="21"/>
        </w:rPr>
        <w:t>异常定义：2026 anomaly = 2026 某月或某时段平均值 − 1982-2022 同月气候态。MAM 表示 3-5 月，Apr-May 表示 4-5 月；完整 AMJ 仍需等待 2026 年 6 月月平均数据。</w:t>
      </w:r>
    </w:p>
    <w:p>
      <w:pPr>
        <w:pStyle w:val="Heading1"/>
      </w:pPr>
      <w:r>
        <w:t>四、图件证据链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4197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2026_sst_fep_residu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419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</w:pPr>
      <w:r>
        <w:rPr>
          <w:rFonts w:ascii="PingFang SC" w:hAnsi="PingFang SC" w:eastAsia="PingFang SC"/>
          <w:b w:val="0"/>
          <w:color w:val="5B5A55"/>
          <w:sz w:val="19"/>
        </w:rPr>
        <w:t>图 1. OISST 指数与 FEP residual。数据：NOAA OISST v2.1 月平均海表温度异常。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CellMar>
          <w:top w:w="120" w:type="dxa"/>
          <w:bottom w:w="120" w:type="dxa"/>
          <w:start w:w="180" w:type="dxa"/>
          <w:end w:w="18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E8EEF5"/>
          </w:tcPr>
          <w:p>
            <w:pPr>
              <w:spacing w:after="80"/>
            </w:pPr>
            <w:r/>
            <w:r>
              <w:rPr>
                <w:rFonts w:ascii="PingFang SC" w:hAnsi="PingFang SC" w:eastAsia="PingFang SC"/>
                <w:b/>
                <w:color w:val="2C7773"/>
                <w:sz w:val="23"/>
              </w:rPr>
              <w:t>图件解读</w:t>
            </w:r>
          </w:p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1C1B18"/>
                <w:sz w:val="21"/>
              </w:rPr>
              <w:t>该图确认海温端已经先行变化：2026 年 2 月后 FEP 和 Niño1+2 附近快速转暖，FEP residual 为正，表示沿岸远东太平洋暖异常相对热带太平洋整体更突出。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422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2026_sst_precip_spati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42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</w:pPr>
      <w:r>
        <w:rPr>
          <w:rFonts w:ascii="PingFang SC" w:hAnsi="PingFang SC" w:eastAsia="PingFang SC"/>
          <w:b w:val="0"/>
          <w:color w:val="5B5A55"/>
          <w:sz w:val="19"/>
        </w:rPr>
        <w:t>图 2. OISST 海温异常与 GPCP 降水异常空间分布。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CellMar>
          <w:top w:w="120" w:type="dxa"/>
          <w:bottom w:w="120" w:type="dxa"/>
          <w:start w:w="180" w:type="dxa"/>
          <w:end w:w="18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E8EEF5"/>
          </w:tcPr>
          <w:p>
            <w:pPr>
              <w:spacing w:after="80"/>
            </w:pPr>
            <w:r/>
            <w:r>
              <w:rPr>
                <w:rFonts w:ascii="PingFang SC" w:hAnsi="PingFang SC" w:eastAsia="PingFang SC"/>
                <w:b/>
                <w:color w:val="2C7773"/>
                <w:sz w:val="23"/>
              </w:rPr>
              <w:t>图件解读</w:t>
            </w:r>
          </w:p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1C1B18"/>
                <w:sz w:val="21"/>
              </w:rPr>
              <w:t>MAM 和 Apr-May 的东太平洋/FEP 偏暖明显，但 GPCP 降水增强中心偏向西太平洋和赤道以北；赤道中东太平洋没有形成连续强正降水带。这说明 SST 增暖与降水响应之间仍存在空间错位。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997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2026_olr_convection_spati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99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</w:pPr>
      <w:r>
        <w:rPr>
          <w:rFonts w:ascii="PingFang SC" w:hAnsi="PingFang SC" w:eastAsia="PingFang SC"/>
          <w:b w:val="0"/>
          <w:color w:val="5B5A55"/>
          <w:sz w:val="19"/>
        </w:rPr>
        <w:t>图 3. CPC Blended OLR 对流异常。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CellMar>
          <w:top w:w="120" w:type="dxa"/>
          <w:bottom w:w="120" w:type="dxa"/>
          <w:start w:w="180" w:type="dxa"/>
          <w:end w:w="18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E8EEF5"/>
          </w:tcPr>
          <w:p>
            <w:pPr>
              <w:spacing w:after="80"/>
            </w:pPr>
            <w:r/>
            <w:r>
              <w:rPr>
                <w:rFonts w:ascii="PingFang SC" w:hAnsi="PingFang SC" w:eastAsia="PingFang SC"/>
                <w:b/>
                <w:color w:val="2C7773"/>
                <w:sz w:val="23"/>
              </w:rPr>
              <w:t>图件解读</w:t>
            </w:r>
          </w:p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1C1B18"/>
                <w:sz w:val="21"/>
              </w:rPr>
              <w:t>OLR 负异常表示深对流增强，正异常表示对流偏弱。2026 春季对流增强更偏向西太平洋/中太平洋北侧，而不是沿赤道中东太平洋大范围增强。这与 GPCP 的“降水响应错位”判断一致。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4102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2026_era5_surface_wind_press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10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</w:pPr>
      <w:r>
        <w:rPr>
          <w:rFonts w:ascii="PingFang SC" w:hAnsi="PingFang SC" w:eastAsia="PingFang SC"/>
          <w:b w:val="0"/>
          <w:color w:val="5B5A55"/>
          <w:sz w:val="19"/>
        </w:rPr>
        <w:t>图 4. ERA5 10 m 风异常与平均海平面气压异常。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CellMar>
          <w:top w:w="120" w:type="dxa"/>
          <w:bottom w:w="120" w:type="dxa"/>
          <w:start w:w="180" w:type="dxa"/>
          <w:end w:w="18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E8EEF5"/>
          </w:tcPr>
          <w:p>
            <w:pPr>
              <w:spacing w:after="80"/>
            </w:pPr>
            <w:r/>
            <w:r>
              <w:rPr>
                <w:rFonts w:ascii="PingFang SC" w:hAnsi="PingFang SC" w:eastAsia="PingFang SC"/>
                <w:b/>
                <w:color w:val="2C7773"/>
                <w:sz w:val="23"/>
              </w:rPr>
              <w:t>图件解读</w:t>
            </w:r>
          </w:p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1C1B18"/>
                <w:sz w:val="21"/>
              </w:rPr>
              <w:t>ERA5 补齐了前一版 NCEP 只到 2 月的限制。MAM 与 Apr-May 显示赤道中西太平洋逐渐出现偏西风异常，中东太平洋气压偏低，说明风压分支在春季开始恢复到更 El Niño-like 的方向。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4102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2026_era5_precip_u850_omeg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10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</w:pPr>
      <w:r>
        <w:rPr>
          <w:rFonts w:ascii="PingFang SC" w:hAnsi="PingFang SC" w:eastAsia="PingFang SC"/>
          <w:b w:val="0"/>
          <w:color w:val="5B5A55"/>
          <w:sz w:val="19"/>
        </w:rPr>
        <w:t>图 5. ERA5 总降水、u850 和 omega850 异常。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CellMar>
          <w:top w:w="120" w:type="dxa"/>
          <w:bottom w:w="120" w:type="dxa"/>
          <w:start w:w="180" w:type="dxa"/>
          <w:end w:w="18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E8EEF5"/>
          </w:tcPr>
          <w:p>
            <w:pPr>
              <w:spacing w:after="80"/>
            </w:pPr>
            <w:r/>
            <w:r>
              <w:rPr>
                <w:rFonts w:ascii="PingFang SC" w:hAnsi="PingFang SC" w:eastAsia="PingFang SC"/>
                <w:b/>
                <w:color w:val="2C7773"/>
                <w:sz w:val="23"/>
              </w:rPr>
              <w:t>图件解读</w:t>
            </w:r>
          </w:p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1C1B18"/>
                <w:sz w:val="21"/>
              </w:rPr>
              <w:t>u850 在 MAM/Apr-May 已经转为偏西风，但降水增强中心仍偏西/偏北，中太平洋 omega850 没有表现为稳定强上升响应。这里 omega850 的负值才代表上升，正值代表下沉。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9099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2026_era5_equatorial_hovmoll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0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</w:pPr>
      <w:r>
        <w:rPr>
          <w:rFonts w:ascii="PingFang SC" w:hAnsi="PingFang SC" w:eastAsia="PingFang SC"/>
          <w:b w:val="0"/>
          <w:color w:val="5B5A55"/>
          <w:sz w:val="19"/>
        </w:rPr>
        <w:t>图 6. ERA5 赤道经度-时间 Hovmoller 图。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CellMar>
          <w:top w:w="120" w:type="dxa"/>
          <w:bottom w:w="120" w:type="dxa"/>
          <w:start w:w="180" w:type="dxa"/>
          <w:end w:w="18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E8EEF5"/>
          </w:tcPr>
          <w:p>
            <w:pPr>
              <w:spacing w:after="80"/>
            </w:pPr>
            <w:r/>
            <w:r>
              <w:rPr>
                <w:rFonts w:ascii="PingFang SC" w:hAnsi="PingFang SC" w:eastAsia="PingFang SC"/>
                <w:b/>
                <w:color w:val="2C7773"/>
                <w:sz w:val="23"/>
              </w:rPr>
              <w:t>图件解读</w:t>
            </w:r>
          </w:p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1C1B18"/>
                <w:sz w:val="21"/>
              </w:rPr>
              <w:t>1-2 月赤道中太平洋仍为偏东风异常；3-5 月中西太平洋风场逐渐转偏西。降水在 1-4 月仍有大范围偏弱，5 月才出现更多局地恢复。这是“阶段性耦合恢复”的直接证据。</w:t>
            </w:r>
          </w:p>
        </w:tc>
      </w:tr>
    </w:tbl>
    <w:p/>
    <w:p>
      <w:r>
        <w:br w:type="page"/>
      </w:r>
    </w:p>
    <w:p>
      <w:pPr>
        <w:pStyle w:val="Heading1"/>
      </w:pPr>
      <w:r>
        <w:t>五、关键数值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1200"/>
        <w:gridCol w:w="2300"/>
        <w:gridCol w:w="1600"/>
        <w:gridCol w:w="4260"/>
      </w:tblGrid>
      <w:tr>
        <w:tc>
          <w:tcPr>
            <w:tcW w:type="dxa" w:w="120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1C1B18"/>
                <w:sz w:val="20"/>
              </w:rPr>
              <w:t>时段</w:t>
            </w:r>
          </w:p>
        </w:tc>
        <w:tc>
          <w:tcPr>
            <w:tcW w:type="dxa" w:w="230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1C1B18"/>
                <w:sz w:val="20"/>
              </w:rPr>
              <w:t>指标</w:t>
            </w:r>
          </w:p>
        </w:tc>
        <w:tc>
          <w:tcPr>
            <w:tcW w:type="dxa" w:w="160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1C1B18"/>
                <w:sz w:val="20"/>
              </w:rPr>
              <w:t>异常值</w:t>
            </w:r>
          </w:p>
        </w:tc>
        <w:tc>
          <w:tcPr>
            <w:tcW w:type="dxa" w:w="426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1C1B18"/>
                <w:sz w:val="20"/>
              </w:rPr>
              <w:t>含义</w:t>
            </w:r>
          </w:p>
        </w:tc>
      </w:tr>
      <w:tr>
        <w:tc>
          <w:tcPr>
            <w:tcW w:type="dxa" w:w="12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Jan</w:t>
            </w:r>
          </w:p>
        </w:tc>
        <w:tc>
          <w:tcPr>
            <w:tcW w:type="dxa" w:w="23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中太平洋 u10</w:t>
            </w:r>
          </w:p>
        </w:tc>
        <w:tc>
          <w:tcPr>
            <w:tcW w:type="dxa" w:w="16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-1.15 m/s</w:t>
            </w:r>
          </w:p>
        </w:tc>
        <w:tc>
          <w:tcPr>
            <w:tcW w:type="dxa" w:w="426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年初仍是偏东风，不是典型 El Niño 偏西风响应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Feb</w:t>
            </w:r>
          </w:p>
        </w:tc>
        <w:tc>
          <w:tcPr>
            <w:tcW w:type="dxa" w:w="230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中太平洋 u850</w:t>
            </w:r>
          </w:p>
        </w:tc>
        <w:tc>
          <w:tcPr>
            <w:tcW w:type="dxa" w:w="160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-2.95 m/s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850 hPa 偏东风很强，低层大气尚未跟上海温</w:t>
            </w:r>
          </w:p>
        </w:tc>
      </w:tr>
      <w:tr>
        <w:tc>
          <w:tcPr>
            <w:tcW w:type="dxa" w:w="12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Feb</w:t>
            </w:r>
          </w:p>
        </w:tc>
        <w:tc>
          <w:tcPr>
            <w:tcW w:type="dxa" w:w="23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SOI-like MSLP</w:t>
            </w:r>
          </w:p>
        </w:tc>
        <w:tc>
          <w:tcPr>
            <w:tcW w:type="dxa" w:w="16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+2.63 hPa</w:t>
            </w:r>
          </w:p>
        </w:tc>
        <w:tc>
          <w:tcPr>
            <w:tcW w:type="dxa" w:w="426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气压梯度偏 La Niña-like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MAM</w:t>
            </w:r>
          </w:p>
        </w:tc>
        <w:tc>
          <w:tcPr>
            <w:tcW w:type="dxa" w:w="230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CWP u850</w:t>
            </w:r>
          </w:p>
        </w:tc>
        <w:tc>
          <w:tcPr>
            <w:tcW w:type="dxa" w:w="160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+0.98 m/s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春季中西太平洋低层风开始偏西</w:t>
            </w:r>
          </w:p>
        </w:tc>
      </w:tr>
      <w:tr>
        <w:tc>
          <w:tcPr>
            <w:tcW w:type="dxa" w:w="12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MAM</w:t>
            </w:r>
          </w:p>
        </w:tc>
        <w:tc>
          <w:tcPr>
            <w:tcW w:type="dxa" w:w="23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中太平洋降水</w:t>
            </w:r>
          </w:p>
        </w:tc>
        <w:tc>
          <w:tcPr>
            <w:tcW w:type="dxa" w:w="16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-0.87 mm/day</w:t>
            </w:r>
          </w:p>
        </w:tc>
        <w:tc>
          <w:tcPr>
            <w:tcW w:type="dxa" w:w="426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降水仍弱于气候态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Apr-May</w:t>
            </w:r>
          </w:p>
        </w:tc>
        <w:tc>
          <w:tcPr>
            <w:tcW w:type="dxa" w:w="230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CWP u850</w:t>
            </w:r>
          </w:p>
        </w:tc>
        <w:tc>
          <w:tcPr>
            <w:tcW w:type="dxa" w:w="160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+1.47 m/s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风场恢复更明显</w:t>
            </w:r>
          </w:p>
        </w:tc>
      </w:tr>
      <w:tr>
        <w:tc>
          <w:tcPr>
            <w:tcW w:type="dxa" w:w="12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Apr-May</w:t>
            </w:r>
          </w:p>
        </w:tc>
        <w:tc>
          <w:tcPr>
            <w:tcW w:type="dxa" w:w="23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SOI-like MSLP</w:t>
            </w:r>
          </w:p>
        </w:tc>
        <w:tc>
          <w:tcPr>
            <w:tcW w:type="dxa" w:w="16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-1.16 hPa</w:t>
            </w:r>
          </w:p>
        </w:tc>
        <w:tc>
          <w:tcPr>
            <w:tcW w:type="dxa" w:w="426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气压分支也转向 El Niño-like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Apr-May</w:t>
            </w:r>
          </w:p>
        </w:tc>
        <w:tc>
          <w:tcPr>
            <w:tcW w:type="dxa" w:w="230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中太平洋降水</w:t>
            </w:r>
          </w:p>
        </w:tc>
        <w:tc>
          <w:tcPr>
            <w:tcW w:type="dxa" w:w="160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-0.26 mm/day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降水接近恢复，但仍不是强正异常</w:t>
            </w:r>
          </w:p>
        </w:tc>
      </w:tr>
    </w:tbl>
    <w:p/>
    <w:p>
      <w:pPr>
        <w:pStyle w:val="Heading1"/>
      </w:pPr>
      <w:r>
        <w:t>六、阶段性解释与边界</w:t>
      </w:r>
    </w:p>
    <w:p>
      <w:pPr>
        <w:pStyle w:val="ListBullet"/>
        <w:spacing w:after="100"/>
      </w:pPr>
      <w:r>
        <w:rPr>
          <w:rFonts w:ascii="PingFang SC" w:hAnsi="PingFang SC" w:eastAsia="PingFang SC"/>
          <w:sz w:val="21"/>
        </w:rPr>
        <w:t>可以说：2026 年初存在明显海气不同步，尤其表现为海温转暖时风场和降水仍偏 La Niña-like 或弱响应。</w:t>
      </w:r>
    </w:p>
    <w:p>
      <w:pPr>
        <w:pStyle w:val="ListBullet"/>
        <w:spacing w:after="100"/>
      </w:pPr>
      <w:r>
        <w:rPr>
          <w:rFonts w:ascii="PingFang SC" w:hAnsi="PingFang SC" w:eastAsia="PingFang SC"/>
          <w:sz w:val="21"/>
        </w:rPr>
        <w:t>也可以说：ERA5 1-5 月显示春季风压分支开始恢复，因此不能再用“持续完全脱耦”概括 2026 当前事件。</w:t>
      </w:r>
    </w:p>
    <w:p>
      <w:pPr>
        <w:pStyle w:val="ListBullet"/>
        <w:spacing w:after="100"/>
      </w:pPr>
      <w:r>
        <w:rPr>
          <w:rFonts w:ascii="PingFang SC" w:hAnsi="PingFang SC" w:eastAsia="PingFang SC"/>
          <w:sz w:val="21"/>
        </w:rPr>
        <w:t>当前最值得继续追踪的是降水、OLR 与垂直运动，因为它们相对于风压更滞后，也更容易受到背景态和季节内扰动影响。</w:t>
      </w:r>
    </w:p>
    <w:p>
      <w:pPr>
        <w:pStyle w:val="ListBullet"/>
        <w:spacing w:after="100"/>
      </w:pPr>
      <w:r>
        <w:rPr>
          <w:rFonts w:ascii="PingFang SC" w:hAnsi="PingFang SC" w:eastAsia="PingFang SC"/>
          <w:sz w:val="21"/>
        </w:rPr>
        <w:t>当前还不能说：2026 已经形成强 El Niño，或已经完整复现 2023/24 的海气脱耦。完整 AMJ 和 JJA 结论需要后续月平均数据。</w:t>
      </w:r>
    </w:p>
    <w:p>
      <w:pPr>
        <w:pStyle w:val="Heading1"/>
      </w:pPr>
      <w:r>
        <w:t>七、下一步工作</w:t>
      </w:r>
    </w:p>
    <w:p>
      <w:pPr>
        <w:pStyle w:val="ListBullet"/>
        <w:spacing w:after="100"/>
      </w:pPr>
      <w:r>
        <w:rPr>
          <w:rFonts w:ascii="PingFang SC" w:hAnsi="PingFang SC" w:eastAsia="PingFang SC"/>
          <w:sz w:val="21"/>
        </w:rPr>
        <w:t>等待 2026 年 6 月 ERA5 月平均，正式构造 AMJ 2026，而不是用 MAM 或 Apr-May 近似。</w:t>
      </w:r>
    </w:p>
    <w:p>
      <w:pPr>
        <w:pStyle w:val="ListBullet"/>
        <w:spacing w:after="100"/>
      </w:pPr>
      <w:r>
        <w:rPr>
          <w:rFonts w:ascii="PingFang SC" w:hAnsi="PingFang SC" w:eastAsia="PingFang SC"/>
          <w:sz w:val="21"/>
        </w:rPr>
        <w:t>把 ERA5 风压结果接入之前 2023/24 的 response-ratio / observed-vs-expected 框架，形成 2023 与 2026 的同口径对比。</w:t>
      </w:r>
    </w:p>
    <w:p>
      <w:pPr>
        <w:pStyle w:val="ListBullet"/>
        <w:spacing w:after="100"/>
      </w:pPr>
      <w:r>
        <w:rPr>
          <w:rFonts w:ascii="PingFang SC" w:hAnsi="PingFang SC" w:eastAsia="PingFang SC"/>
          <w:sz w:val="21"/>
        </w:rPr>
        <w:t>用同一套 ERA5 变量回算 2023/24 AMJ/JJA，避免不同资料集造成的解释差异。</w:t>
      </w:r>
    </w:p>
    <w:p>
      <w:pPr>
        <w:pStyle w:val="ListBullet"/>
        <w:spacing w:after="100"/>
      </w:pPr>
      <w:r>
        <w:rPr>
          <w:rFonts w:ascii="PingFang SC" w:hAnsi="PingFang SC" w:eastAsia="PingFang SC"/>
          <w:sz w:val="21"/>
        </w:rPr>
        <w:t>下载或计算 200 hPa divergence / velocity potential，补 Walker circulation 上层分支。</w:t>
      </w:r>
    </w:p>
    <w:p>
      <w:pPr>
        <w:pStyle w:val="ListBullet"/>
        <w:spacing w:after="100"/>
      </w:pPr>
      <w:r>
        <w:rPr>
          <w:rFonts w:ascii="PingFang SC" w:hAnsi="PingFang SC" w:eastAsia="PingFang SC"/>
          <w:sz w:val="21"/>
        </w:rPr>
        <w:t>继续使用 GPCP 与 OLR 双约束，检查降水/对流中心是否从偏北/偏西转向赤道中东太平洋。</w:t>
      </w:r>
    </w:p>
    <w:p>
      <w:pPr>
        <w:pStyle w:val="Heading1"/>
      </w:pPr>
      <w:r>
        <w:t>八、数据来源与本地文件</w:t>
      </w:r>
    </w:p>
    <w:p>
      <w:pPr>
        <w:spacing w:after="60"/>
      </w:pPr>
      <w:r>
        <w:rPr>
          <w:rFonts w:ascii="PingFang SC" w:hAnsi="PingFang SC" w:eastAsia="PingFang SC"/>
          <w:b w:val="0"/>
          <w:color w:val="5B5A55"/>
          <w:sz w:val="19"/>
        </w:rPr>
        <w:t>ERA5 monthly single levels: https://cds.climate.copernicus.eu/datasets/reanalysis-era5-single-levels-monthly-means</w:t>
      </w:r>
    </w:p>
    <w:p>
      <w:pPr>
        <w:spacing w:after="60"/>
      </w:pPr>
      <w:r>
        <w:rPr>
          <w:rFonts w:ascii="PingFang SC" w:hAnsi="PingFang SC" w:eastAsia="PingFang SC"/>
          <w:b w:val="0"/>
          <w:color w:val="5B5A55"/>
          <w:sz w:val="19"/>
        </w:rPr>
        <w:t>ERA5 monthly pressure levels: https://cds.climate.copernicus.eu/datasets/reanalysis-era5-pressure-levels-monthly-means</w:t>
      </w:r>
    </w:p>
    <w:p>
      <w:pPr>
        <w:spacing w:after="60"/>
      </w:pPr>
      <w:r>
        <w:rPr>
          <w:rFonts w:ascii="PingFang SC" w:hAnsi="PingFang SC" w:eastAsia="PingFang SC"/>
          <w:b w:val="0"/>
          <w:color w:val="5B5A55"/>
          <w:sz w:val="19"/>
        </w:rPr>
        <w:t>NOAA OISST v2.1: https://www.ncei.noaa.gov/products/optimum-interpolation-sst</w:t>
      </w:r>
    </w:p>
    <w:p>
      <w:pPr>
        <w:spacing w:after="60"/>
      </w:pPr>
      <w:r>
        <w:rPr>
          <w:rFonts w:ascii="PingFang SC" w:hAnsi="PingFang SC" w:eastAsia="PingFang SC"/>
          <w:b w:val="0"/>
          <w:color w:val="5B5A55"/>
          <w:sz w:val="19"/>
        </w:rPr>
        <w:t>GPCP monthly precipitation: https://psl.noaa.gov/data/gridded/data.gpcp.html</w:t>
      </w:r>
    </w:p>
    <w:p>
      <w:pPr>
        <w:spacing w:after="60"/>
      </w:pPr>
      <w:r>
        <w:rPr>
          <w:rFonts w:ascii="PingFang SC" w:hAnsi="PingFang SC" w:eastAsia="PingFang SC"/>
          <w:b w:val="0"/>
          <w:color w:val="5B5A55"/>
          <w:sz w:val="19"/>
        </w:rPr>
        <w:t>CPC Blended OLR: https://psl.noaa.gov/data/gridded/data.cpc_blended_olr-1deg.html</w:t>
      </w:r>
    </w:p>
    <w:p>
      <w:pPr>
        <w:spacing w:after="60"/>
      </w:pPr>
      <w:r>
        <w:rPr>
          <w:rFonts w:ascii="PingFang SC" w:hAnsi="PingFang SC" w:eastAsia="PingFang SC"/>
          <w:b w:val="0"/>
          <w:color w:val="5B5A55"/>
          <w:sz w:val="19"/>
        </w:rPr>
        <w:t>本地报告：reports/2026_ERA5再分析气象图说明.md</w:t>
      </w:r>
    </w:p>
    <w:p>
      <w:pPr>
        <w:spacing w:after="60"/>
      </w:pPr>
      <w:r>
        <w:rPr>
          <w:rFonts w:ascii="PingFang SC" w:hAnsi="PingFang SC" w:eastAsia="PingFang SC"/>
          <w:b w:val="0"/>
          <w:color w:val="5B5A55"/>
          <w:sz w:val="19"/>
        </w:rPr>
        <w:t>本地表格：data/derived/research_2026/current_2026_era5_region_summary.csv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PingFang SC" w:hAnsi="PingFang SC" w:eastAsia="PingFang SC"/>
        <w:color w:val="5B5A55"/>
        <w:sz w:val="17"/>
      </w:rPr>
      <w:t>ENSO/FEP 2026 diagnostic | Yue Dai | 2026-06-22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PingFang SC" w:hAnsi="PingFang SC" w:eastAsia="PingFang SC"/>
      <w:b w:val="0"/>
      <w:color w:val="1C1B1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