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Calibri"/>
          <w:b/>
          <w:color w:val="1C1B18"/>
          <w:sz w:val="44"/>
        </w:rPr>
        <w:t>Real-Time Meteorological Diagnosis of the 2026 ENSO/FEP Event</w:t>
      </w:r>
    </w:p>
    <w:p>
      <w:pPr>
        <w:spacing w:after="240"/>
      </w:pPr>
      <w:r>
        <w:rPr>
          <w:rFonts w:ascii="Calibri" w:hAnsi="Calibri" w:eastAsia="Calibri"/>
          <w:b w:val="0"/>
          <w:color w:val="5B5A55"/>
          <w:sz w:val="24"/>
        </w:rPr>
        <w:t>A short report based on ERA5, OISST, GPCP, and CPC OLR | 22 June 2026</w:t>
      </w:r>
    </w:p>
    <w:p>
      <w:pPr>
        <w:spacing w:after="160"/>
        <w:pBdr>
          <w:bottom w:val="single" w:sz="6" w:space="1" w:color="D8D1C2"/>
        </w:pBdr>
      </w:pPr>
    </w:p>
    <w:p>
      <w:pPr>
        <w:pStyle w:val="Heading1"/>
      </w:pPr>
      <w:r>
        <w:t>1. Current Takeaway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7F1EF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2C7773"/>
                <w:sz w:val="23"/>
              </w:rPr>
              <w:t>One-sentence conclusion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1"/>
              </w:rPr>
              <w:t>The current 2026 case should not be described as “strong SST with no atmospheric response.” A more accurate reading is that SST/FEP warming leads first, wind-pressure and rainfall are clearly asynchronous in January-February, wind-pressure recovers with lag in March-May, and rainfall/convection remains the slowest and least stable branch.</w:t>
            </w:r>
          </w:p>
        </w:tc>
      </w:tr>
    </w:tbl>
    <w:p/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Ocean branch: OISST shows rapid FEP and eastern-Pacific warming after February 2026.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Wind-pressure branch: ERA5 shows central-Pacific easterlies and a La Nina-like SOI-like pressure contrast in January-February, but MAM and Apr-May shift toward a more El Nino-like wind-pressure response.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Rainfall/convection branch: GPCP and CPC OLR both show a displaced, fragmented response, with enhanced rainfall/convection located more westward or north of the equator rather than along the equatorial central-eastern Pacific.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omega850 note: omega850 is vertical pressure velocity at 850 hPa. Negative values indicate anomalous upward motion, while positive values indicate anomalous downward motion.</w:t>
      </w:r>
    </w:p>
    <w:p>
      <w:pPr>
        <w:pStyle w:val="Heading1"/>
      </w:pPr>
      <w:r>
        <w:t>2. Research Context</w:t>
      </w:r>
    </w:p>
    <w:p>
      <w:r>
        <w:rPr>
          <w:rFonts w:ascii="Calibri" w:hAnsi="Calibri" w:eastAsia="Calibri"/>
          <w:sz w:val="22"/>
        </w:rPr>
        <w:t>This work follows the 2023/24 El Nino question raised by Peng et al. (2025): the event was ocean-dynamically strong, but the atmospheric response in wind, pressure, rainfall, and teleconnections was weaker than expected. The ongoing 2026 case provides a real-time comparison: if eastern-Pacific/FEP SST warms first again, does the atmosphere respond synchronously?</w:t>
      </w:r>
    </w:p>
    <w:p>
      <w:r>
        <w:rPr>
          <w:rFonts w:ascii="Calibri" w:hAnsi="Calibri" w:eastAsia="Calibri"/>
          <w:sz w:val="22"/>
        </w:rPr>
        <w:t>At this stage, the goal is not to classify 2026 as a strong El Nino. The goal is to diagnose whether SST, wind-pressure, rainfall, and convection evolve at the same time.</w:t>
      </w:r>
    </w:p>
    <w:p>
      <w:pPr>
        <w:pStyle w:val="Heading1"/>
      </w:pPr>
      <w:r>
        <w:t>3. Data Chain and Anomaly Definition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500"/>
        <w:gridCol w:w="2500"/>
        <w:gridCol w:w="3600"/>
        <w:gridCol w:w="1760"/>
      </w:tblGrid>
      <w:tr>
        <w:tc>
          <w:tcPr>
            <w:tcW w:type="dxa" w:w="15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Variable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Dataset</w:t>
            </w:r>
          </w:p>
        </w:tc>
        <w:tc>
          <w:tcPr>
            <w:tcW w:type="dxa" w:w="36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Use in this report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Availability</w:t>
            </w:r>
          </w:p>
        </w:tc>
      </w:tr>
      <w:tr>
        <w:tc>
          <w:tcPr>
            <w:tcW w:type="dxa" w:w="1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SST</w:t>
            </w:r>
          </w:p>
        </w:tc>
        <w:tc>
          <w:tcPr>
            <w:tcW w:type="dxa" w:w="2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NOAA OISST v2.1</w:t>
            </w:r>
          </w:p>
        </w:tc>
        <w:tc>
          <w:tcPr>
            <w:tcW w:type="dxa" w:w="3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Diagnose FEP, Nino-region, and tropical-basin warming</w:t>
            </w:r>
          </w:p>
        </w:tc>
        <w:tc>
          <w:tcPr>
            <w:tcW w:type="dxa" w:w="17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Through May 2026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Rainfall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GPCP monthly precipitation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Test whether rainfall strengthens with SST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Through May 2026</w:t>
            </w:r>
          </w:p>
        </w:tc>
      </w:tr>
      <w:tr>
        <w:tc>
          <w:tcPr>
            <w:tcW w:type="dxa" w:w="1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Convection</w:t>
            </w:r>
          </w:p>
        </w:tc>
        <w:tc>
          <w:tcPr>
            <w:tcW w:type="dxa" w:w="2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CPC Blended OLR</w:t>
            </w:r>
          </w:p>
        </w:tc>
        <w:tc>
          <w:tcPr>
            <w:tcW w:type="dxa" w:w="3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Independent deep-convection constraint; negative OLR means stronger convection</w:t>
            </w:r>
          </w:p>
        </w:tc>
        <w:tc>
          <w:tcPr>
            <w:tcW w:type="dxa" w:w="17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Through 15 June 2026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Wind-pressure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ERA5 single levels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10 m wind, mean sea-level pressure, total precipitation</w:t>
            </w:r>
          </w:p>
        </w:tc>
        <w:tc>
          <w:tcPr>
            <w:tcW w:type="dxa" w:w="17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1982-2022 and Jan-May 2026</w:t>
            </w:r>
          </w:p>
        </w:tc>
      </w:tr>
      <w:tr>
        <w:tc>
          <w:tcPr>
            <w:tcW w:type="dxa" w:w="1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Low-level circulation</w:t>
            </w:r>
          </w:p>
        </w:tc>
        <w:tc>
          <w:tcPr>
            <w:tcW w:type="dxa" w:w="25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ERA5 pressure levels</w:t>
            </w:r>
          </w:p>
        </w:tc>
        <w:tc>
          <w:tcPr>
            <w:tcW w:type="dxa" w:w="3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850 hPa wind and omega850</w:t>
            </w:r>
          </w:p>
        </w:tc>
        <w:tc>
          <w:tcPr>
            <w:tcW w:type="dxa" w:w="17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1982-2022 and Jan-May 2026</w:t>
            </w:r>
          </w:p>
        </w:tc>
      </w:tr>
    </w:tbl>
    <w:p/>
    <w:p>
      <w:r>
        <w:rPr>
          <w:rFonts w:ascii="Calibri" w:hAnsi="Calibri" w:eastAsia="Calibri"/>
          <w:b w:val="0"/>
          <w:color w:val="5B5A55"/>
          <w:sz w:val="21"/>
        </w:rPr>
        <w:t>Anomaly definition: 2026 anomaly = 2026 monthly or period mean minus the 1982-2022 same-month climatology. MAM means March-May; Apr-May means April-May. Full AMJ still requires the June 2026 monthly mean.</w:t>
      </w:r>
    </w:p>
    <w:p>
      <w:pPr>
        <w:pStyle w:val="Heading1"/>
      </w:pPr>
      <w:r>
        <w:t>4. Figure-Based Evidence Chain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419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026_sst_fep_residu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41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Calibri" w:hAnsi="Calibri" w:eastAsia="Calibri"/>
          <w:b w:val="0"/>
          <w:color w:val="5B5A55"/>
          <w:sz w:val="19"/>
        </w:rPr>
        <w:t>Figure 1. OISST indices and FEP residual. Dataset: NOAA OISST v2.1 monthly SST anomaly.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2C7773"/>
                <w:sz w:val="23"/>
              </w:rPr>
              <w:t>Figure reading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1"/>
              </w:rPr>
              <w:t>The ocean branch moves first: after February 2026, FEP and Nino1+2 warming intensifies rapidly. The positive FEP residual indicates that coastal far-eastern Pacific warming is stronger than the broader tropical-Pacific background.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2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026_sst_precip_spati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2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Calibri" w:hAnsi="Calibri" w:eastAsia="Calibri"/>
          <w:b w:val="0"/>
          <w:color w:val="5B5A55"/>
          <w:sz w:val="19"/>
        </w:rPr>
        <w:t>Figure 2. OISST SST anomaly and GPCP precipitation anomaly.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2C7773"/>
                <w:sz w:val="23"/>
              </w:rPr>
              <w:t>Figure reading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1"/>
              </w:rPr>
              <w:t>MAM and Apr-May show clear FEP/eastern-Pacific warming. However, GPCP rainfall enhancement is displaced toward the western Pacific and north of the equator, and a continuous positive equatorial central-eastern Pacific rainfall band is absent.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997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2026_olr_convection_spati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9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Calibri" w:hAnsi="Calibri" w:eastAsia="Calibri"/>
          <w:b w:val="0"/>
          <w:color w:val="5B5A55"/>
          <w:sz w:val="19"/>
        </w:rPr>
        <w:t>Figure 3. CPC Blended OLR convection anomaly.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2C7773"/>
                <w:sz w:val="23"/>
              </w:rPr>
              <w:t>Figure reading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1"/>
              </w:rPr>
              <w:t>Negative OLR indicates stronger deep convection, while positive OLR indicates suppressed convection. Spring 2026 convection is enhanced more over the western/northern central Pacific than over the equatorial central-eastern Pacific, supporting the GPCP-based displaced-rainfall interpretation.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1026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2026_era5_surface_wind_press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0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Calibri" w:hAnsi="Calibri" w:eastAsia="Calibri"/>
          <w:b w:val="0"/>
          <w:color w:val="5B5A55"/>
          <w:sz w:val="19"/>
        </w:rPr>
        <w:t>Figure 4. ERA5 10 m wind anomaly and mean sea-level pressure anomaly.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2C7773"/>
                <w:sz w:val="23"/>
              </w:rPr>
              <w:t>Figure reading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1"/>
              </w:rPr>
              <w:t>ERA5 extends the wind-pressure diagnosis beyond the earlier NCEP-only January-February view. In MAM and Apr-May, central-western equatorial Pacific winds turn westerly, and pressure lowers over the central-eastern tropical Pacific, indicating a lagged recovery toward an El Nino-like state.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1026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2026_era5_precip_u850_omeg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10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Calibri" w:hAnsi="Calibri" w:eastAsia="Calibri"/>
          <w:b w:val="0"/>
          <w:color w:val="5B5A55"/>
          <w:sz w:val="19"/>
        </w:rPr>
        <w:t>Figure 5. ERA5 total precipitation, u850, and omega850 anomalies.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2C7773"/>
                <w:sz w:val="23"/>
              </w:rPr>
              <w:t>Figure reading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1"/>
              </w:rPr>
              <w:t>u850 becomes westerly in MAM/Apr-May, but rainfall remains displaced westward/northward, and central-Pacific omega850 does not show a stable strong upward-motion response. For omega850, negative values indicate upward motion and positive values indicate downward motion.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9099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2026_era5_equatorial_hovmol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0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rFonts w:ascii="Calibri" w:hAnsi="Calibri" w:eastAsia="Calibri"/>
          <w:b w:val="0"/>
          <w:color w:val="5B5A55"/>
          <w:sz w:val="19"/>
        </w:rPr>
        <w:t>Figure 6. ERA5 equatorial longitude-time Hovmoller diagnostics.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120" w:type="dxa"/>
          <w:bottom w:w="120" w:type="dxa"/>
          <w:start w:w="180" w:type="dxa"/>
          <w:end w:w="180" w:type="dxa"/>
        </w:tblCellMar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80"/>
            </w:pPr>
            <w:r/>
            <w:r>
              <w:rPr>
                <w:rFonts w:ascii="Calibri" w:hAnsi="Calibri" w:eastAsia="Calibri"/>
                <w:b/>
                <w:color w:val="2C7773"/>
                <w:sz w:val="23"/>
              </w:rPr>
              <w:t>Figure reading</w:t>
            </w:r>
          </w:p>
          <w:p>
            <w:pPr>
              <w:spacing w:after="0"/>
            </w:pPr>
            <w:r>
              <w:rPr>
                <w:rFonts w:ascii="Calibri" w:hAnsi="Calibri" w:eastAsia="Calibri"/>
                <w:b w:val="0"/>
                <w:color w:val="1C1B18"/>
                <w:sz w:val="21"/>
              </w:rPr>
              <w:t>January-February shows clear central-Pacific easterly anomalies. From March to May, central-western Pacific winds gradually turn westerly. Rainfall remains broadly weak from January to April and becomes more locally positive only in May. This is direct evidence for staged coupling recovery.</w:t>
            </w:r>
          </w:p>
        </w:tc>
      </w:tr>
    </w:tbl>
    <w:p/>
    <w:p>
      <w:r>
        <w:br w:type="page"/>
      </w:r>
    </w:p>
    <w:p>
      <w:pPr>
        <w:pStyle w:val="Heading1"/>
      </w:pPr>
      <w:r>
        <w:t>5. Key Numbers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200"/>
        <w:gridCol w:w="2300"/>
        <w:gridCol w:w="1600"/>
        <w:gridCol w:w="4260"/>
      </w:tblGrid>
      <w:tr>
        <w:tc>
          <w:tcPr>
            <w:tcW w:type="dxa" w:w="12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Period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Metric</w:t>
            </w:r>
          </w:p>
        </w:tc>
        <w:tc>
          <w:tcPr>
            <w:tcW w:type="dxa" w:w="160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Anomaly</w:t>
            </w:r>
          </w:p>
        </w:tc>
        <w:tc>
          <w:tcPr>
            <w:tcW w:type="dxa" w:w="4260"/>
            <w:vAlign w:val="center"/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/>
                <w:color w:val="1C1B18"/>
                <w:sz w:val="20"/>
              </w:rPr>
              <w:t>Interpretation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Jan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Central-Pacific u10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-1.15 m/s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Early easterlies; not the canonical El Nino westerly response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Feb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Central-Pacific u850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-2.95 m/s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Strong lower-tropospheric easterly anomaly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Feb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SOI-like MSLP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+2.63 hPa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Pressure gradient remains La Nina-like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MAM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CWP u850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+0.98 m/s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Spring low-level wind begins to recover westerly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MAM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Central-Pacific rainfall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-0.87 mm/day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Rainfall remains below climatology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Apr-May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CWP u850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+1.47 m/s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Wind recovery becomes clearer</w:t>
            </w:r>
          </w:p>
        </w:tc>
      </w:tr>
      <w:tr>
        <w:tc>
          <w:tcPr>
            <w:tcW w:type="dxa" w:w="12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Apr-May</w:t>
            </w:r>
          </w:p>
        </w:tc>
        <w:tc>
          <w:tcPr>
            <w:tcW w:type="dxa" w:w="23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SOI-like MSLP</w:t>
            </w:r>
          </w:p>
        </w:tc>
        <w:tc>
          <w:tcPr>
            <w:tcW w:type="dxa" w:w="160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-1.16 hPa</w:t>
            </w:r>
          </w:p>
        </w:tc>
        <w:tc>
          <w:tcPr>
            <w:tcW w:type="dxa" w:w="4260"/>
            <w:vAlign w:val="center"/>
            <w:shd w:fill="F8F6F0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Pressure branch shifts toward El Nino-like</w:t>
            </w:r>
          </w:p>
        </w:tc>
      </w:tr>
      <w:tr>
        <w:tc>
          <w:tcPr>
            <w:tcW w:type="dxa" w:w="12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Apr-May</w:t>
            </w:r>
          </w:p>
        </w:tc>
        <w:tc>
          <w:tcPr>
            <w:tcW w:type="dxa" w:w="23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Central-Pacific rainfall</w:t>
            </w:r>
          </w:p>
        </w:tc>
        <w:tc>
          <w:tcPr>
            <w:tcW w:type="dxa" w:w="160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-0.26 mm/day</w:t>
            </w:r>
          </w:p>
        </w:tc>
        <w:tc>
          <w:tcPr>
            <w:tcW w:type="dxa" w:w="4260"/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Calibri"/>
                <w:b w:val="0"/>
                <w:color w:val="1C1B18"/>
                <w:sz w:val="20"/>
              </w:rPr>
              <w:t>Rainfall approaches recovery but is not strongly positive</w:t>
            </w:r>
          </w:p>
        </w:tc>
      </w:tr>
    </w:tbl>
    <w:p/>
    <w:p>
      <w:pPr>
        <w:pStyle w:val="Heading1"/>
      </w:pPr>
      <w:r>
        <w:t>6. Interpretation and Boundaries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It is reasonable to state that early 2026 shows clear air-sea asynchrony, especially when SST warms while wind and rainfall remain La Nina-like or weak.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ERA5 through May shows spring recovery of the wind-pressure branch, so the current case should not be summarized as persistent full decoupling.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Rainfall, OLR, and vertical motion remain the most important branches to track because they lag behind wind-pressure recovery and are more sensitive to background state and intraseasonal variability.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It is not yet justified to claim that 2026 has become a strong El Nino or that it fully reproduces the 2023/24 decoupling. Full AMJ and JJA diagnostics require later monthly means.</w:t>
      </w:r>
    </w:p>
    <w:p>
      <w:pPr>
        <w:pStyle w:val="Heading1"/>
      </w:pPr>
      <w:r>
        <w:t>7. Next Steps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Wait for the June 2026 ERA5 monthly mean and construct formal AMJ 2026 diagnostics.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Insert ERA5 wind-pressure diagnostics into the previous 2023/24 response-ratio / observed-versus-expected framework for same-metric comparison.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Recalculate 2023/24 AMJ/JJA using the same ERA5 variables to avoid dataset-dependent interpretation.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Add 200 hPa divergence or velocity potential to diagnose the upper branch of the Walker circulation.</w:t>
      </w:r>
    </w:p>
    <w:p>
      <w:pPr>
        <w:pStyle w:val="ListBullet"/>
        <w:spacing w:after="100"/>
      </w:pPr>
      <w:r>
        <w:rPr>
          <w:rFonts w:ascii="Calibri" w:hAnsi="Calibri" w:eastAsia="Calibri"/>
          <w:sz w:val="21"/>
        </w:rPr>
        <w:t>Keep both GPCP and OLR constraints to test whether rainfall/convection shifts from west/north displacement toward the equatorial central-eastern Pacific.</w:t>
      </w:r>
    </w:p>
    <w:p>
      <w:pPr>
        <w:pStyle w:val="Heading1"/>
      </w:pPr>
      <w:r>
        <w:t>8. Data Sources and Local Files</w:t>
      </w:r>
    </w:p>
    <w:p>
      <w:pPr>
        <w:spacing w:after="60"/>
      </w:pPr>
      <w:r>
        <w:rPr>
          <w:rFonts w:ascii="Calibri" w:hAnsi="Calibri" w:eastAsia="Calibri"/>
          <w:b w:val="0"/>
          <w:color w:val="5B5A55"/>
          <w:sz w:val="19"/>
        </w:rPr>
        <w:t>ERA5 monthly single levels: https://cds.climate.copernicus.eu/datasets/reanalysis-era5-single-levels-monthly-means</w:t>
      </w:r>
    </w:p>
    <w:p>
      <w:pPr>
        <w:spacing w:after="60"/>
      </w:pPr>
      <w:r>
        <w:rPr>
          <w:rFonts w:ascii="Calibri" w:hAnsi="Calibri" w:eastAsia="Calibri"/>
          <w:b w:val="0"/>
          <w:color w:val="5B5A55"/>
          <w:sz w:val="19"/>
        </w:rPr>
        <w:t>ERA5 monthly pressure levels: https://cds.climate.copernicus.eu/datasets/reanalysis-era5-pressure-levels-monthly-means</w:t>
      </w:r>
    </w:p>
    <w:p>
      <w:pPr>
        <w:spacing w:after="60"/>
      </w:pPr>
      <w:r>
        <w:rPr>
          <w:rFonts w:ascii="Calibri" w:hAnsi="Calibri" w:eastAsia="Calibri"/>
          <w:b w:val="0"/>
          <w:color w:val="5B5A55"/>
          <w:sz w:val="19"/>
        </w:rPr>
        <w:t>NOAA OISST v2.1: https://www.ncei.noaa.gov/products/optimum-interpolation-sst</w:t>
      </w:r>
    </w:p>
    <w:p>
      <w:pPr>
        <w:spacing w:after="60"/>
      </w:pPr>
      <w:r>
        <w:rPr>
          <w:rFonts w:ascii="Calibri" w:hAnsi="Calibri" w:eastAsia="Calibri"/>
          <w:b w:val="0"/>
          <w:color w:val="5B5A55"/>
          <w:sz w:val="19"/>
        </w:rPr>
        <w:t>GPCP monthly precipitation: https://psl.noaa.gov/data/gridded/data.gpcp.html</w:t>
      </w:r>
    </w:p>
    <w:p>
      <w:pPr>
        <w:spacing w:after="60"/>
      </w:pPr>
      <w:r>
        <w:rPr>
          <w:rFonts w:ascii="Calibri" w:hAnsi="Calibri" w:eastAsia="Calibri"/>
          <w:b w:val="0"/>
          <w:color w:val="5B5A55"/>
          <w:sz w:val="19"/>
        </w:rPr>
        <w:t>CPC Blended OLR: https://psl.noaa.gov/data/gridded/data.cpc_blended_olr-1deg.html</w:t>
      </w:r>
    </w:p>
    <w:p>
      <w:pPr>
        <w:spacing w:after="60"/>
      </w:pPr>
      <w:r>
        <w:rPr>
          <w:rFonts w:ascii="Calibri" w:hAnsi="Calibri" w:eastAsia="Calibri"/>
          <w:b w:val="0"/>
          <w:color w:val="5B5A55"/>
          <w:sz w:val="19"/>
        </w:rPr>
        <w:t>Local report: reports/2026_ERA5再分析气象图说明.md</w:t>
      </w:r>
    </w:p>
    <w:p>
      <w:pPr>
        <w:spacing w:after="60"/>
      </w:pPr>
      <w:r>
        <w:rPr>
          <w:rFonts w:ascii="Calibri" w:hAnsi="Calibri" w:eastAsia="Calibri"/>
          <w:b w:val="0"/>
          <w:color w:val="5B5A55"/>
          <w:sz w:val="19"/>
        </w:rPr>
        <w:t>Local table: data/derived/research_2026/current_2026_era5_region_summary.csv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B5A55"/>
        <w:sz w:val="17"/>
      </w:rPr>
      <w:t>ENSO/FEP 2026 diagnostic | Yue Dai | 2026-06-22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b w:val="0"/>
      <w:color w:val="1C1B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