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cs="Times New Roman"/>
          <w:b/>
          <w:i w:val="0"/>
          <w:color w:val="000000"/>
          <w:sz w:val="41"/>
        </w:rPr>
        <w:t>Comparison of the 2015/16, 2023/24, and 2026 ENSO Development Phases</w:t>
      </w:r>
    </w:p>
    <w:p>
      <w:pPr>
        <w:spacing w:after="200"/>
        <w:jc w:val="center"/>
      </w:pPr>
      <w:r>
        <w:rPr>
          <w:rFonts w:ascii="Times New Roman" w:hAnsi="Times New Roman" w:eastAsia="Times New Roman" w:cs="Times New Roman"/>
          <w:b w:val="0"/>
          <w:i w:val="0"/>
          <w:color w:val="000000"/>
          <w:sz w:val="22"/>
        </w:rPr>
        <w:t>Early-formation January-May SST-wind, precipitation-wind, D20-wind, PMM, and group-separated historical diagnostics</w:t>
      </w:r>
    </w:p>
    <w:p>
      <w:pPr>
        <w:pStyle w:val="Heading1"/>
        <w:keepNext/>
      </w:pPr>
      <w:r>
        <w:rPr>
          <w:rFonts w:ascii="Times New Roman" w:hAnsi="Times New Roman" w:eastAsia="Times New Roman" w:cs="Times New Roman"/>
          <w:b/>
          <w:i w:val="0"/>
          <w:color w:val="000000"/>
          <w:sz w:val="32"/>
        </w:rPr>
        <w:t>Data and Methods</w:t>
      </w:r>
    </w:p>
    <w:p>
      <w:pPr>
        <w:spacing w:after="100" w:line="259" w:lineRule="auto"/>
      </w:pPr>
      <w:r>
        <w:rPr>
          <w:rFonts w:ascii="Times New Roman" w:hAnsi="Times New Roman" w:eastAsia="Times New Roman" w:cs="Times New Roman"/>
          <w:b w:val="0"/>
          <w:i w:val="0"/>
          <w:color w:val="000000"/>
          <w:sz w:val="22"/>
        </w:rPr>
        <w:t>The analysis compares January-May diagnostics for the early formation stage of three ENSO target events and two separately defined historical groups. SST is from NOAA OISST, 850 hPa winds and precipitation are from ERA5, and D20 is from ORAS5. For SST, winds, precipitation, and D20, anomalies are calculated relative to the same-calendar-month climatology and then linearly detrended. The common baseline is 1980-2014 for ERA5/ORAS5 and 1982-2014 for OISST, reflecting OISST data availability.</w:t>
      </w:r>
    </w:p>
    <w:p>
      <w:pPr>
        <w:spacing w:after="100" w:line="259" w:lineRule="auto"/>
      </w:pPr>
      <w:r>
        <w:rPr>
          <w:rFonts w:ascii="Times New Roman" w:hAnsi="Times New Roman" w:eastAsia="Times New Roman" w:cs="Times New Roman"/>
          <w:b w:val="0"/>
          <w:i w:val="0"/>
          <w:color w:val="000000"/>
          <w:sz w:val="22"/>
        </w:rPr>
        <w:t>The main classic strong reference group is limited to 1982/83, 1997/98. The 2015/16 event is retained only as a target event and is excluded from the reference, preventing the same event from appearing on both sides of the comparison. The extended sensitivity group (2002/03, 2009/10) is plotted separately and is not mixed into the primary reference.</w:t>
      </w:r>
    </w:p>
    <w:p>
      <w:pPr>
        <w:spacing w:after="100" w:line="259" w:lineRule="auto"/>
      </w:pPr>
      <w:r>
        <w:rPr>
          <w:rFonts w:ascii="Times New Roman" w:hAnsi="Times New Roman" w:eastAsia="Times New Roman" w:cs="Times New Roman"/>
          <w:b w:val="0"/>
          <w:i w:val="0"/>
          <w:color w:val="000000"/>
          <w:sz w:val="22"/>
        </w:rPr>
        <w:t>Event labels follow the developing year: 1982/83 maps use January-May 1982, 1997/98 maps use January-May 1997, 2002/03 maps use January-May 2002, 2009/10 maps use January-May 2009, and the target maps use January-May 2015, 2023, and 2026. This calendar alignment isolates early formation rather than the following mature or decay phase.</w:t>
      </w:r>
    </w:p>
    <w:p>
      <w:pPr>
        <w:spacing w:after="100" w:line="259" w:lineRule="auto"/>
      </w:pPr>
      <w:r>
        <w:rPr>
          <w:rFonts w:ascii="Times New Roman" w:hAnsi="Times New Roman" w:eastAsia="Times New Roman" w:cs="Times New Roman"/>
          <w:b w:val="0"/>
          <w:i w:val="0"/>
          <w:color w:val="000000"/>
          <w:sz w:val="22"/>
        </w:rPr>
        <w:t>The PMM-like diagnostic is constructed independently using an EOF trained over 1982-2025; January-May 2026 is projected onto this fixed EOF mode and is not used in the EOF training. The revised map figures use a single-row strip layout for the three target events and separate multi-row layouts for the classic and sensitivity groups. Precipitation-wind panels use bright magenta wind vectors with a thicker white underlay to improve visibility over the precipitation shading.</w:t>
      </w:r>
    </w:p>
    <w:p>
      <w:pPr>
        <w:pStyle w:val="Heading2"/>
        <w:keepNext/>
      </w:pPr>
      <w:r>
        <w:rPr>
          <w:rFonts w:ascii="Times New Roman" w:hAnsi="Times New Roman" w:eastAsia="Times New Roman" w:cs="Times New Roman"/>
          <w:b/>
          <w:i w:val="0"/>
          <w:color w:val="000000"/>
          <w:sz w:val="27"/>
        </w:rPr>
        <w:t>Event Groups and Development-Phase Alignment</w:t>
      </w:r>
    </w:p>
    <w:p>
      <w:pPr>
        <w:spacing w:after="100" w:line="259" w:lineRule="auto"/>
      </w:pPr>
      <w:r>
        <w:rPr>
          <w:rFonts w:ascii="Times New Roman" w:hAnsi="Times New Roman" w:eastAsia="Times New Roman" w:cs="Times New Roman"/>
          <w:b w:val="0"/>
          <w:i w:val="0"/>
          <w:color w:val="000000"/>
          <w:sz w:val="22"/>
        </w:rPr>
        <w:t>Every comparison is aligned to January-May of the developing calendar year, representing the early formation stage of each El Niño event. The following-year January-May period and the source paper's June-to-following-January event mean are not used in these development-phase maps.</w:t>
      </w:r>
    </w:p>
    <w:tbl>
      <w:tblPr>
        <w:tblStyle w:val="TableGrid"/>
        <w:tblW w:type="auto" w:w="0"/>
        <w:tblLayout w:type="fixed"/>
        <w:tblLook w:firstColumn="1" w:firstRow="1" w:lastColumn="0" w:lastRow="0" w:noHBand="0" w:noVBand="1" w:val="04A0"/>
      </w:tblPr>
      <w:tblGrid>
        <w:gridCol w:w="2642"/>
        <w:gridCol w:w="2642"/>
        <w:gridCol w:w="2642"/>
        <w:gridCol w:w="2642"/>
      </w:tblGrid>
      <w:tr>
        <w:tc>
          <w:tcPr>
            <w:tcW w:type="dxa" w:w="2232"/>
            <w:vAlign w:val="center"/>
            <w:tcMar>
              <w:top w:w="100" w:type="dxa"/>
              <w:start w:w="110" w:type="dxa"/>
              <w:bottom w:w="100" w:type="dxa"/>
              <w:end w:w="110" w:type="dxa"/>
            </w:tcMar>
            <w:shd w:fill="F2F2F2"/>
          </w:tcPr>
          <w:p>
            <w:pPr>
              <w:spacing w:after="0" w:line="240" w:lineRule="auto"/>
              <w:jc w:val="left"/>
            </w:pPr>
            <w:r>
              <w:rPr>
                <w:rFonts w:ascii="Times New Roman" w:hAnsi="Times New Roman" w:eastAsia="Times New Roman" w:cs="Times New Roman"/>
                <w:b/>
                <w:i w:val="0"/>
                <w:color w:val="000000"/>
                <w:sz w:val="16"/>
              </w:rPr>
              <w:t>Group</w:t>
            </w:r>
          </w:p>
        </w:tc>
        <w:tc>
          <w:tcPr>
            <w:tcW w:type="dxa" w:w="1872"/>
            <w:vAlign w:val="center"/>
            <w:tcMar>
              <w:top w:w="100" w:type="dxa"/>
              <w:start w:w="110" w:type="dxa"/>
              <w:bottom w:w="100" w:type="dxa"/>
              <w:end w:w="110" w:type="dxa"/>
            </w:tcMar>
            <w:shd w:fill="F2F2F2"/>
          </w:tcPr>
          <w:p>
            <w:pPr>
              <w:spacing w:after="0" w:line="240" w:lineRule="auto"/>
              <w:jc w:val="center"/>
            </w:pPr>
            <w:r>
              <w:rPr>
                <w:rFonts w:ascii="Times New Roman" w:hAnsi="Times New Roman" w:eastAsia="Times New Roman" w:cs="Times New Roman"/>
                <w:b/>
                <w:i w:val="0"/>
                <w:color w:val="000000"/>
                <w:sz w:val="16"/>
              </w:rPr>
              <w:t>Events</w:t>
            </w:r>
          </w:p>
        </w:tc>
        <w:tc>
          <w:tcPr>
            <w:tcW w:type="dxa" w:w="2520"/>
            <w:vAlign w:val="center"/>
            <w:tcMar>
              <w:top w:w="100" w:type="dxa"/>
              <w:start w:w="110" w:type="dxa"/>
              <w:bottom w:w="100" w:type="dxa"/>
              <w:end w:w="110" w:type="dxa"/>
            </w:tcMar>
            <w:shd w:fill="F2F2F2"/>
          </w:tcPr>
          <w:p>
            <w:pPr>
              <w:spacing w:after="0" w:line="240" w:lineRule="auto"/>
              <w:jc w:val="center"/>
            </w:pPr>
            <w:r>
              <w:rPr>
                <w:rFonts w:ascii="Times New Roman" w:hAnsi="Times New Roman" w:eastAsia="Times New Roman" w:cs="Times New Roman"/>
                <w:b/>
                <w:i w:val="0"/>
                <w:color w:val="000000"/>
                <w:sz w:val="16"/>
              </w:rPr>
              <w:t>Aligned window</w:t>
            </w:r>
          </w:p>
        </w:tc>
        <w:tc>
          <w:tcPr>
            <w:tcW w:type="dxa" w:w="3456"/>
            <w:vAlign w:val="center"/>
            <w:tcMar>
              <w:top w:w="100" w:type="dxa"/>
              <w:start w:w="110" w:type="dxa"/>
              <w:bottom w:w="100" w:type="dxa"/>
              <w:end w:w="110" w:type="dxa"/>
            </w:tcMar>
            <w:shd w:fill="F2F2F2"/>
          </w:tcPr>
          <w:p>
            <w:pPr>
              <w:spacing w:after="0" w:line="240" w:lineRule="auto"/>
              <w:jc w:val="left"/>
            </w:pPr>
            <w:r>
              <w:rPr>
                <w:rFonts w:ascii="Times New Roman" w:hAnsi="Times New Roman" w:eastAsia="Times New Roman" w:cs="Times New Roman"/>
                <w:b/>
                <w:i w:val="0"/>
                <w:color w:val="000000"/>
                <w:sz w:val="16"/>
              </w:rPr>
              <w:t>Role in this report</w:t>
            </w:r>
          </w:p>
        </w:tc>
      </w:tr>
      <w:tr>
        <w:tc>
          <w:tcPr>
            <w:tcW w:type="dxa" w:w="2232"/>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Main classic strong reference</w:t>
            </w:r>
          </w:p>
        </w:tc>
        <w:tc>
          <w:tcPr>
            <w:tcW w:type="dxa" w:w="1872"/>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1982/83, 1997/98</w:t>
            </w:r>
          </w:p>
        </w:tc>
        <w:tc>
          <w:tcPr>
            <w:tcW w:type="dxa" w:w="2520"/>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Jan-May 1982 and Jan-May 1997</w:t>
            </w:r>
          </w:p>
        </w:tc>
        <w:tc>
          <w:tcPr>
            <w:tcW w:type="dxa" w:w="3456"/>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Primary historical reference for all three target events; 2015/16 is excluded from the reference.</w:t>
            </w:r>
          </w:p>
        </w:tc>
      </w:tr>
      <w:tr>
        <w:tc>
          <w:tcPr>
            <w:tcW w:type="dxa" w:w="2232"/>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Extended sensitivity</w:t>
            </w:r>
          </w:p>
        </w:tc>
        <w:tc>
          <w:tcPr>
            <w:tcW w:type="dxa" w:w="1872"/>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2002/03, 2009/10</w:t>
            </w:r>
          </w:p>
        </w:tc>
        <w:tc>
          <w:tcPr>
            <w:tcW w:type="dxa" w:w="2520"/>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Jan-May 2002 and Jan-May 2009</w:t>
            </w:r>
          </w:p>
        </w:tc>
        <w:tc>
          <w:tcPr>
            <w:tcW w:type="dxa" w:w="3456"/>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Robustness check only; not mixed into the main classic reference.</w:t>
            </w:r>
          </w:p>
        </w:tc>
      </w:tr>
      <w:tr>
        <w:tc>
          <w:tcPr>
            <w:tcW w:type="dxa" w:w="2232"/>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Target events</w:t>
            </w:r>
          </w:p>
        </w:tc>
        <w:tc>
          <w:tcPr>
            <w:tcW w:type="dxa" w:w="1872"/>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2015/16, 2023/24, 2026</w:t>
            </w:r>
          </w:p>
        </w:tc>
        <w:tc>
          <w:tcPr>
            <w:tcW w:type="dxa" w:w="2520"/>
            <w:vAlign w:val="center"/>
            <w:tcMar>
              <w:top w:w="100" w:type="dxa"/>
              <w:start w:w="110" w:type="dxa"/>
              <w:bottom w:w="100" w:type="dxa"/>
              <w:end w:w="110" w:type="dxa"/>
            </w:tcMar>
            <w:shd w:fill="FFFFFF"/>
          </w:tcPr>
          <w:p>
            <w:pPr>
              <w:spacing w:after="0" w:line="240" w:lineRule="auto"/>
              <w:jc w:val="center"/>
            </w:pPr>
            <w:r>
              <w:rPr>
                <w:rFonts w:ascii="Times New Roman" w:hAnsi="Times New Roman" w:eastAsia="Times New Roman" w:cs="Times New Roman"/>
                <w:b w:val="0"/>
                <w:i w:val="0"/>
                <w:color w:val="000000"/>
                <w:sz w:val="16"/>
              </w:rPr>
              <w:t>Jan-May 2015, 2023, and 2026</w:t>
            </w:r>
          </w:p>
        </w:tc>
        <w:tc>
          <w:tcPr>
            <w:tcW w:type="dxa" w:w="3456"/>
            <w:vAlign w:val="center"/>
            <w:tcMar>
              <w:top w:w="100" w:type="dxa"/>
              <w:start w:w="110" w:type="dxa"/>
              <w:bottom w:w="100" w:type="dxa"/>
              <w:end w:w="110" w:type="dxa"/>
            </w:tcMar>
            <w:shd w:fill="FFFFFF"/>
          </w:tcPr>
          <w:p>
            <w:pPr>
              <w:spacing w:after="0" w:line="240" w:lineRule="auto"/>
              <w:jc w:val="left"/>
            </w:pPr>
            <w:r>
              <w:rPr>
                <w:rFonts w:ascii="Times New Roman" w:hAnsi="Times New Roman" w:eastAsia="Times New Roman" w:cs="Times New Roman"/>
                <w:b w:val="0"/>
                <w:i w:val="0"/>
                <w:color w:val="000000"/>
                <w:sz w:val="16"/>
              </w:rPr>
              <w:t>Events being compared; their ENSO status is not re-audited here.</w:t>
            </w:r>
          </w:p>
        </w:tc>
      </w:tr>
    </w:tbl>
    <w:p>
      <w:r>
        <w:br w:type="page"/>
      </w:r>
    </w:p>
    <w:p>
      <w:pPr>
        <w:pStyle w:val="Heading2"/>
        <w:keepNext/>
      </w:pPr>
      <w:r>
        <w:rPr>
          <w:rFonts w:ascii="Times New Roman" w:hAnsi="Times New Roman" w:eastAsia="Times New Roman" w:cs="Times New Roman"/>
          <w:b/>
          <w:i w:val="0"/>
          <w:color w:val="000000"/>
          <w:sz w:val="27"/>
        </w:rPr>
        <w:t>Regional Mean Diagnostics under the Unified Climatology</w:t>
      </w:r>
    </w:p>
    <w:p>
      <w:pPr>
        <w:spacing w:after="100" w:line="259" w:lineRule="auto"/>
      </w:pPr>
      <w:r>
        <w:rPr>
          <w:rFonts w:ascii="Times New Roman" w:hAnsi="Times New Roman" w:eastAsia="Times New Roman" w:cs="Times New Roman"/>
          <w:b w:val="0"/>
          <w:i w:val="0"/>
          <w:color w:val="000000"/>
          <w:sz w:val="22"/>
        </w:rPr>
        <w:t>The table reports January-May means. SST is in deg C, u850 is in m/s, precipitation is in mm/day, and D20 is in m. Positive u850 denotes westerly anomalies. The main classic reference and extended sensitivity events are shown in separate figures rather than merged into a single table column.</w:t>
      </w:r>
    </w:p>
    <w:tbl>
      <w:tblPr>
        <w:tblStyle w:val="TableGrid"/>
        <w:tblW w:type="auto" w:w="0"/>
        <w:tblLayout w:type="fixed"/>
        <w:tblLook w:firstColumn="1" w:firstRow="1" w:lastColumn="0" w:lastRow="0" w:noHBand="0" w:noVBand="1" w:val="04A0"/>
      </w:tblPr>
      <w:tblGrid>
        <w:gridCol w:w="2642"/>
        <w:gridCol w:w="2642"/>
        <w:gridCol w:w="2642"/>
        <w:gridCol w:w="2642"/>
      </w:tblGrid>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Metric</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2015/16</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2023/24</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2026</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Niño-3.4 SST</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0.97</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0.29</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0.54</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CP SST (180E-140W)</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1.11</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0.13</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0.51</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EP SST (140W-100W)</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0.82</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0.54</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0.63</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FEP SST (90W-80W)</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0.60</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1.14</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0.95</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CWP u850</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4.29</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0.52</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2.26</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CP precipitation</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0.76</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-0.62</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-1.29</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D20 west / central / east</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-13.7 / 16.5 / 24.2</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7.6 / 15.1 / 28.4</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-7.2 / 19.3 / 29.9</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PMM joint index</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1.75</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-0.11</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1.31</w:t>
            </w:r>
          </w:p>
        </w:tc>
      </w:tr>
      <w:tr>
        <w:tc>
          <w:tcPr>
            <w:tcW w:type="dxa" w:w="3384"/>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PMM SST-only index</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1.49</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-1.15</w:t>
            </w:r>
          </w:p>
        </w:tc>
        <w:tc>
          <w:tcPr>
            <w:tcW w:type="dxa" w:w="2232"/>
            <w:vAlign w:val="center"/>
            <w:tcMar>
              <w:top w:w="90" w:type="dxa"/>
              <w:start w:w="110" w:type="dxa"/>
              <w:bottom w:w="90" w:type="dxa"/>
              <w:end w:w="110" w:type="dxa"/>
            </w:tcMar>
            <w:shd w:fill="FFFFFF"/>
          </w:tcPr>
          <w:p>
            <w:pPr>
              <w:spacing w:after="0" w:line="240" w:lineRule="auto"/>
            </w:pPr>
            <w:r>
              <w:rPr>
                <w:rFonts w:ascii="Times New Roman" w:hAnsi="Times New Roman" w:eastAsia="Times New Roman" w:cs="Times New Roman"/>
                <w:b w:val="0"/>
                <w:i w:val="0"/>
                <w:color w:val="000000"/>
                <w:sz w:val="17"/>
              </w:rPr>
              <w:t>0.35</w:t>
            </w:r>
          </w:p>
        </w:tc>
      </w:tr>
    </w:tbl>
    <w:p>
      <w:pPr>
        <w:pStyle w:val="Heading1"/>
        <w:keepNext/>
      </w:pPr>
      <w:r>
        <w:rPr>
          <w:rFonts w:ascii="Times New Roman" w:hAnsi="Times New Roman" w:eastAsia="Times New Roman" w:cs="Times New Roman"/>
          <w:b/>
          <w:i w:val="0"/>
          <w:color w:val="000000"/>
          <w:sz w:val="32"/>
        </w:rPr>
        <w:t>Results Overview</w:t>
      </w:r>
    </w:p>
    <w:p>
      <w:pPr>
        <w:spacing w:after="100" w:line="259" w:lineRule="auto"/>
      </w:pPr>
      <w:r>
        <w:rPr>
          <w:rFonts w:ascii="Times New Roman" w:hAnsi="Times New Roman" w:eastAsia="Times New Roman" w:cs="Times New Roman"/>
          <w:b w:val="0"/>
          <w:i w:val="0"/>
          <w:color w:val="000000"/>
          <w:sz w:val="22"/>
        </w:rPr>
        <w:t>Under the unified climatology, the 2026 case shows more than a weak eastern-Pacific surface warming signal. Its Niño-3.4, CP, and EP SST anomalies are stronger than in the earlier non-unified comparison, and its CWP/CP lower-tropospheric westerlies and eastern Pacific D20 are also enhanced. In dynamical terms, 2026 is closer to 2015 than to 2023, although the convective response remains weaker than the 2015-like ocean and wind signals.</w:t>
      </w:r>
    </w:p>
    <w:p>
      <w:pPr>
        <w:spacing w:after="100" w:line="259" w:lineRule="auto"/>
      </w:pPr>
      <w:r>
        <w:rPr>
          <w:rFonts w:ascii="Times New Roman" w:hAnsi="Times New Roman" w:eastAsia="Times New Roman" w:cs="Times New Roman"/>
          <w:b w:val="0"/>
          <w:i w:val="0"/>
          <w:color w:val="000000"/>
          <w:sz w:val="22"/>
        </w:rPr>
        <w:t>The main classic reference isolates the two strongest historical eastern-Pacific development cases, 1982/83 and 1997/98. The 2002/03 and 2009/10 cases remain useful for testing whether a conclusion depends on choosing only very strong events, but they are treated as an extended sensitivity group. The 2015/16 event is discussed only alongside 2023/24 and 2026 as a target event.</w:t>
      </w:r>
    </w:p>
    <w:p>
      <w:pPr>
        <w:pStyle w:val="Heading1"/>
        <w:keepNext/>
      </w:pPr>
      <w:r>
        <w:rPr>
          <w:rFonts w:ascii="Times New Roman" w:hAnsi="Times New Roman" w:eastAsia="Times New Roman" w:cs="Times New Roman"/>
          <w:b/>
          <w:i w:val="0"/>
          <w:color w:val="000000"/>
          <w:sz w:val="32"/>
        </w:rPr>
        <w:t>SST Anomalies and 850 hPa Winds</w:t>
      </w:r>
    </w:p>
    <w:p>
      <w:pPr>
        <w:spacing w:after="100" w:line="259" w:lineRule="auto"/>
      </w:pPr>
      <w:r>
        <w:rPr>
          <w:rFonts w:ascii="Times New Roman" w:hAnsi="Times New Roman" w:eastAsia="Times New Roman" w:cs="Times New Roman"/>
          <w:b w:val="0"/>
          <w:i w:val="0"/>
          <w:color w:val="000000"/>
          <w:sz w:val="22"/>
        </w:rPr>
        <w:t>The revised SST-wind panels emphasize the longitudinal evolution of the warm center during the early formation stage. Compared with the main classic historical cases, 2015 develops a strong central to central-eastern Pacific warming pattern with persistent westerly anomalies. The 2023 event remains more displaced toward the far eastern Pacific. By April-May 2026, central Pacific SST and westerly anomalies begin to connect with the eastern Pacific warming signal.</w:t>
      </w:r>
    </w:p>
    <w:p>
      <w:pPr>
        <w:keepNext w:val="0"/>
        <w:spacing w:after="20"/>
        <w:jc w:val="center"/>
      </w:pPr>
      <w:r>
        <w:drawing>
          <wp:inline xmlns:a="http://schemas.openxmlformats.org/drawingml/2006/main" xmlns:pic="http://schemas.openxmlformats.org/drawingml/2006/picture">
            <wp:extent cx="6675120" cy="1458771"/>
            <wp:docPr id="1" name="Picture 1"/>
            <wp:cNvGraphicFramePr>
              <a:graphicFrameLocks noChangeAspect="1"/>
            </wp:cNvGraphicFramePr>
            <a:graphic>
              <a:graphicData uri="http://schemas.openxmlformats.org/drawingml/2006/picture">
                <pic:pic>
                  <pic:nvPicPr>
                    <pic:cNvPr id="0" name="fig_2015_revised_ssta_u850_detrended_1980_2014.png"/>
                    <pic:cNvPicPr/>
                  </pic:nvPicPr>
                  <pic:blipFill>
                    <a:blip r:embed="rId9"/>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 January-May 2015 early formation: OISST SSTA with ERA5 850 hPa wind anomalies.</w:t>
      </w:r>
    </w:p>
    <w:p>
      <w:pPr>
        <w:keepNext w:val="0"/>
        <w:spacing w:after="20"/>
        <w:jc w:val="center"/>
      </w:pPr>
      <w:r>
        <w:drawing>
          <wp:inline xmlns:a="http://schemas.openxmlformats.org/drawingml/2006/main" xmlns:pic="http://schemas.openxmlformats.org/drawingml/2006/picture">
            <wp:extent cx="6675120" cy="1458771"/>
            <wp:docPr id="2" name="Picture 2"/>
            <wp:cNvGraphicFramePr>
              <a:graphicFrameLocks noChangeAspect="1"/>
            </wp:cNvGraphicFramePr>
            <a:graphic>
              <a:graphicData uri="http://schemas.openxmlformats.org/drawingml/2006/picture">
                <pic:pic>
                  <pic:nvPicPr>
                    <pic:cNvPr id="0" name="fig_2023_revised_ssta_u850_detrended_1980_2014.png"/>
                    <pic:cNvPicPr/>
                  </pic:nvPicPr>
                  <pic:blipFill>
                    <a:blip r:embed="rId10"/>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2. January-May 2023 early formation: OISST SSTA with ERA5 850 hPa wind anomalies.</w:t>
      </w:r>
    </w:p>
    <w:p>
      <w:pPr>
        <w:keepNext w:val="0"/>
        <w:spacing w:after="20"/>
        <w:jc w:val="center"/>
      </w:pPr>
      <w:r>
        <w:drawing>
          <wp:inline xmlns:a="http://schemas.openxmlformats.org/drawingml/2006/main" xmlns:pic="http://schemas.openxmlformats.org/drawingml/2006/picture">
            <wp:extent cx="6675120" cy="1458771"/>
            <wp:docPr id="3" name="Picture 3"/>
            <wp:cNvGraphicFramePr>
              <a:graphicFrameLocks noChangeAspect="1"/>
            </wp:cNvGraphicFramePr>
            <a:graphic>
              <a:graphicData uri="http://schemas.openxmlformats.org/drawingml/2006/picture">
                <pic:pic>
                  <pic:nvPicPr>
                    <pic:cNvPr id="0" name="fig_2026_revised_ssta_u850_detrended_1980_2014.png"/>
                    <pic:cNvPicPr/>
                  </pic:nvPicPr>
                  <pic:blipFill>
                    <a:blip r:embed="rId11"/>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3. January-May 2026 early formation: OISST SSTA with ERA5 850 hPa wind anomalies.</w:t>
      </w:r>
    </w:p>
    <w:p>
      <w:pPr>
        <w:keepNext w:val="0"/>
        <w:spacing w:after="20"/>
        <w:jc w:val="center"/>
      </w:pPr>
      <w:r>
        <w:drawing>
          <wp:inline xmlns:a="http://schemas.openxmlformats.org/drawingml/2006/main" xmlns:pic="http://schemas.openxmlformats.org/drawingml/2006/picture">
            <wp:extent cx="6675120" cy="2313084"/>
            <wp:docPr id="4" name="Picture 4"/>
            <wp:cNvGraphicFramePr>
              <a:graphicFrameLocks noChangeAspect="1"/>
            </wp:cNvGraphicFramePr>
            <a:graphic>
              <a:graphicData uri="http://schemas.openxmlformats.org/drawingml/2006/picture">
                <pic:pic>
                  <pic:nvPicPr>
                    <pic:cNvPr id="0" name="fig_classic_strong_events_revised_ssta_u850_detrended_1980_2014.png"/>
                    <pic:cNvPicPr/>
                  </pic:nvPicPr>
                  <pic:blipFill>
                    <a:blip r:embed="rId12"/>
                    <a:stretch>
                      <a:fillRect/>
                    </a:stretch>
                  </pic:blipFill>
                  <pic:spPr>
                    <a:xfrm>
                      <a:off x="0" y="0"/>
                      <a:ext cx="6675120" cy="2313084"/>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4. Main classic strong reference (1982/83, 1997/98), development-year January-May, plotted individually: OISST SSTA with ERA5 850 hPa wind anomalies.</w:t>
      </w:r>
    </w:p>
    <w:p>
      <w:pPr>
        <w:keepNext w:val="0"/>
        <w:spacing w:after="20"/>
        <w:jc w:val="center"/>
      </w:pPr>
      <w:r>
        <w:drawing>
          <wp:inline xmlns:a="http://schemas.openxmlformats.org/drawingml/2006/main" xmlns:pic="http://schemas.openxmlformats.org/drawingml/2006/picture">
            <wp:extent cx="6675120" cy="2313084"/>
            <wp:docPr id="5" name="Picture 5"/>
            <wp:cNvGraphicFramePr>
              <a:graphicFrameLocks noChangeAspect="1"/>
            </wp:cNvGraphicFramePr>
            <a:graphic>
              <a:graphicData uri="http://schemas.openxmlformats.org/drawingml/2006/picture">
                <pic:pic>
                  <pic:nvPicPr>
                    <pic:cNvPr id="0" name="fig_extended_sensitivity_events_revised_ssta_u850_detrended_1980_2014.png"/>
                    <pic:cNvPicPr/>
                  </pic:nvPicPr>
                  <pic:blipFill>
                    <a:blip r:embed="rId13"/>
                    <a:stretch>
                      <a:fillRect/>
                    </a:stretch>
                  </pic:blipFill>
                  <pic:spPr>
                    <a:xfrm>
                      <a:off x="0" y="0"/>
                      <a:ext cx="6675120" cy="2313084"/>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5. Extended sensitivity group (2002/03, 2009/10), development-year January-May, plotted separately: OISST SSTA with ERA5 850 hPa wind anomalies.</w:t>
      </w:r>
    </w:p>
    <w:p>
      <w:pPr>
        <w:pStyle w:val="Heading1"/>
        <w:keepNext/>
      </w:pPr>
      <w:r>
        <w:rPr>
          <w:rFonts w:ascii="Times New Roman" w:hAnsi="Times New Roman" w:eastAsia="Times New Roman" w:cs="Times New Roman"/>
          <w:b/>
          <w:i w:val="0"/>
          <w:color w:val="000000"/>
          <w:sz w:val="32"/>
        </w:rPr>
        <w:t>Precipitation and 850 hPa Winds</w:t>
      </w:r>
    </w:p>
    <w:p>
      <w:pPr>
        <w:spacing w:after="100" w:line="259" w:lineRule="auto"/>
      </w:pPr>
      <w:r>
        <w:rPr>
          <w:rFonts w:ascii="Times New Roman" w:hAnsi="Times New Roman" w:eastAsia="Times New Roman" w:cs="Times New Roman"/>
          <w:b w:val="0"/>
          <w:i w:val="0"/>
          <w:color w:val="000000"/>
          <w:sz w:val="22"/>
        </w:rPr>
        <w:t>The precipitation-wind panels show the maturity of atmospheric coupling. In 2015, the central Pacific convective response is early and coherent. In 2023, central Pacific precipitation remains weaker during the far-eastern Pacific warming phase. In 2026, the westerly anomalies already resemble 2015, but central Pacific precipitation remains suppressed from January to April and only recovers locally in May. The classic and sensitivity groups are shown separately so that this lag is not obscured by averaging events with different strengths.</w:t>
      </w:r>
    </w:p>
    <w:p>
      <w:pPr>
        <w:keepNext w:val="0"/>
        <w:spacing w:after="20"/>
        <w:jc w:val="center"/>
      </w:pPr>
      <w:r>
        <w:drawing>
          <wp:inline xmlns:a="http://schemas.openxmlformats.org/drawingml/2006/main" xmlns:pic="http://schemas.openxmlformats.org/drawingml/2006/picture">
            <wp:extent cx="6675120" cy="1458771"/>
            <wp:docPr id="6" name="Picture 6"/>
            <wp:cNvGraphicFramePr>
              <a:graphicFrameLocks noChangeAspect="1"/>
            </wp:cNvGraphicFramePr>
            <a:graphic>
              <a:graphicData uri="http://schemas.openxmlformats.org/drawingml/2006/picture">
                <pic:pic>
                  <pic:nvPicPr>
                    <pic:cNvPr id="0" name="fig_2015_revised_era5_precip_u850_detrended_1980_2014.png"/>
                    <pic:cNvPicPr/>
                  </pic:nvPicPr>
                  <pic:blipFill>
                    <a:blip r:embed="rId14"/>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6. January-May 2015 early formation: ERA5 precipitation with ERA5 850 hPa wind anomalies.</w:t>
      </w:r>
    </w:p>
    <w:p>
      <w:pPr>
        <w:keepNext w:val="0"/>
        <w:spacing w:after="20"/>
        <w:jc w:val="center"/>
      </w:pPr>
      <w:r>
        <w:drawing>
          <wp:inline xmlns:a="http://schemas.openxmlformats.org/drawingml/2006/main" xmlns:pic="http://schemas.openxmlformats.org/drawingml/2006/picture">
            <wp:extent cx="6675120" cy="1458771"/>
            <wp:docPr id="7" name="Picture 7"/>
            <wp:cNvGraphicFramePr>
              <a:graphicFrameLocks noChangeAspect="1"/>
            </wp:cNvGraphicFramePr>
            <a:graphic>
              <a:graphicData uri="http://schemas.openxmlformats.org/drawingml/2006/picture">
                <pic:pic>
                  <pic:nvPicPr>
                    <pic:cNvPr id="0" name="fig_2023_revised_era5_precip_u850_detrended_1980_2014.png"/>
                    <pic:cNvPicPr/>
                  </pic:nvPicPr>
                  <pic:blipFill>
                    <a:blip r:embed="rId15"/>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7. January-May 2023 early formation: ERA5 precipitation with ERA5 850 hPa wind anomalies.</w:t>
      </w:r>
    </w:p>
    <w:p>
      <w:pPr>
        <w:keepNext w:val="0"/>
        <w:spacing w:after="20"/>
        <w:jc w:val="center"/>
      </w:pPr>
      <w:r>
        <w:drawing>
          <wp:inline xmlns:a="http://schemas.openxmlformats.org/drawingml/2006/main" xmlns:pic="http://schemas.openxmlformats.org/drawingml/2006/picture">
            <wp:extent cx="6675120" cy="1458771"/>
            <wp:docPr id="8" name="Picture 8"/>
            <wp:cNvGraphicFramePr>
              <a:graphicFrameLocks noChangeAspect="1"/>
            </wp:cNvGraphicFramePr>
            <a:graphic>
              <a:graphicData uri="http://schemas.openxmlformats.org/drawingml/2006/picture">
                <pic:pic>
                  <pic:nvPicPr>
                    <pic:cNvPr id="0" name="fig_2026_revised_era5_precip_u850_detrended_1980_2014.png"/>
                    <pic:cNvPicPr/>
                  </pic:nvPicPr>
                  <pic:blipFill>
                    <a:blip r:embed="rId16"/>
                    <a:stretch>
                      <a:fillRect/>
                    </a:stretch>
                  </pic:blipFill>
                  <pic:spPr>
                    <a:xfrm>
                      <a:off x="0" y="0"/>
                      <a:ext cx="6675120" cy="1458771"/>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8. January-May 2026 early formation: ERA5 precipitation with ERA5 850 hPa wind anomalies.</w:t>
      </w:r>
    </w:p>
    <w:p>
      <w:pPr>
        <w:keepNext w:val="0"/>
        <w:spacing w:after="20"/>
        <w:jc w:val="center"/>
      </w:pPr>
      <w:r>
        <w:drawing>
          <wp:inline xmlns:a="http://schemas.openxmlformats.org/drawingml/2006/main" xmlns:pic="http://schemas.openxmlformats.org/drawingml/2006/picture">
            <wp:extent cx="6126480" cy="2122967"/>
            <wp:docPr id="9" name="Picture 9"/>
            <wp:cNvGraphicFramePr>
              <a:graphicFrameLocks noChangeAspect="1"/>
            </wp:cNvGraphicFramePr>
            <a:graphic>
              <a:graphicData uri="http://schemas.openxmlformats.org/drawingml/2006/picture">
                <pic:pic>
                  <pic:nvPicPr>
                    <pic:cNvPr id="0" name="fig_classic_strong_events_revised_era5_precip_u850_detrended_1980_2014.png"/>
                    <pic:cNvPicPr/>
                  </pic:nvPicPr>
                  <pic:blipFill>
                    <a:blip r:embed="rId17"/>
                    <a:stretch>
                      <a:fillRect/>
                    </a:stretch>
                  </pic:blipFill>
                  <pic:spPr>
                    <a:xfrm>
                      <a:off x="0" y="0"/>
                      <a:ext cx="6126480" cy="2122967"/>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9. Main classic strong reference (1982/83, 1997/98), development-year January-May, plotted individually: ERA5 precipitation with ERA5 850 hPa wind anomalies.</w:t>
      </w:r>
    </w:p>
    <w:p>
      <w:pPr>
        <w:keepNext w:val="0"/>
        <w:spacing w:after="20"/>
        <w:jc w:val="center"/>
      </w:pPr>
      <w:r>
        <w:drawing>
          <wp:inline xmlns:a="http://schemas.openxmlformats.org/drawingml/2006/main" xmlns:pic="http://schemas.openxmlformats.org/drawingml/2006/picture">
            <wp:extent cx="6675120" cy="2287332"/>
            <wp:docPr id="10" name="Picture 10"/>
            <wp:cNvGraphicFramePr>
              <a:graphicFrameLocks noChangeAspect="1"/>
            </wp:cNvGraphicFramePr>
            <a:graphic>
              <a:graphicData uri="http://schemas.openxmlformats.org/drawingml/2006/picture">
                <pic:pic>
                  <pic:nvPicPr>
                    <pic:cNvPr id="0" name="fig_extended_sensitivity_events_revised_era5_precip_u850_detrended_1980_2014.png"/>
                    <pic:cNvPicPr/>
                  </pic:nvPicPr>
                  <pic:blipFill>
                    <a:blip r:embed="rId18"/>
                    <a:stretch>
                      <a:fillRect/>
                    </a:stretch>
                  </pic:blipFill>
                  <pic:spPr>
                    <a:xfrm>
                      <a:off x="0" y="0"/>
                      <a:ext cx="6675120" cy="2287332"/>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10. Extended sensitivity group (2002/03, 2009/10), development-year January-May, plotted separately: ERA5 precipitation with ERA5 850 hPa wind anomalies.</w:t>
      </w:r>
    </w:p>
    <w:p>
      <w:pPr>
        <w:pStyle w:val="Heading1"/>
        <w:keepNext/>
      </w:pPr>
      <w:r>
        <w:rPr>
          <w:rFonts w:ascii="Times New Roman" w:hAnsi="Times New Roman" w:eastAsia="Times New Roman" w:cs="Times New Roman"/>
          <w:b/>
          <w:i w:val="0"/>
          <w:color w:val="000000"/>
          <w:sz w:val="32"/>
        </w:rPr>
        <w:t>D20 and Equatorial u850</w:t>
      </w:r>
    </w:p>
    <w:p>
      <w:pPr>
        <w:spacing w:after="100" w:line="259" w:lineRule="auto"/>
      </w:pPr>
      <w:r>
        <w:rPr>
          <w:rFonts w:ascii="Times New Roman" w:hAnsi="Times New Roman" w:eastAsia="Times New Roman" w:cs="Times New Roman"/>
          <w:b w:val="0"/>
          <w:i w:val="0"/>
          <w:color w:val="000000"/>
          <w:sz w:val="22"/>
        </w:rPr>
        <w:t>D20 remains the clearest evidence for the similarity between 2015 and 2026. Both events show relative shoaling in the western Pacific and deepening in the central-eastern Pacific, consistent with a tilt or transport of warm water toward the central-eastern Pacific. The separately plotted classic and sensitivity groups show that this west-shallow/east-deep structure is not uniform across early El Niño development cases. The 2023 event has strong eastern Pacific D20 deepening but lacks the same clear western Pacific shoaling, making its subsurface structure less similar to 2015/2026.</w:t>
      </w:r>
    </w:p>
    <w:p>
      <w:pPr>
        <w:keepNext w:val="0"/>
        <w:spacing w:after="20"/>
        <w:jc w:val="center"/>
      </w:pPr>
      <w:r>
        <w:drawing>
          <wp:inline xmlns:a="http://schemas.openxmlformats.org/drawingml/2006/main" xmlns:pic="http://schemas.openxmlformats.org/drawingml/2006/picture">
            <wp:extent cx="6675120" cy="2863570"/>
            <wp:docPr id="11" name="Picture 11"/>
            <wp:cNvGraphicFramePr>
              <a:graphicFrameLocks noChangeAspect="1"/>
            </wp:cNvGraphicFramePr>
            <a:graphic>
              <a:graphicData uri="http://schemas.openxmlformats.org/drawingml/2006/picture">
                <pic:pic>
                  <pic:nvPicPr>
                    <pic:cNvPr id="0" name="fig_2015_revised_d20_u850_detrended_1980_2014.png"/>
                    <pic:cNvPicPr/>
                  </pic:nvPicPr>
                  <pic:blipFill>
                    <a:blip r:embed="rId19"/>
                    <a:stretch>
                      <a:fillRect/>
                    </a:stretch>
                  </pic:blipFill>
                  <pic:spPr>
                    <a:xfrm>
                      <a:off x="0" y="0"/>
                      <a:ext cx="6675120" cy="286357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11. January-May 2015 early formation: ORAS5 equatorial D20 anomalies with ERA5 equatorial u850.</w:t>
      </w:r>
    </w:p>
    <w:p>
      <w:pPr>
        <w:keepNext w:val="0"/>
        <w:spacing w:after="20"/>
        <w:jc w:val="center"/>
      </w:pPr>
      <w:r>
        <w:drawing>
          <wp:inline xmlns:a="http://schemas.openxmlformats.org/drawingml/2006/main" xmlns:pic="http://schemas.openxmlformats.org/drawingml/2006/picture">
            <wp:extent cx="6675120" cy="2863570"/>
            <wp:docPr id="12" name="Picture 12"/>
            <wp:cNvGraphicFramePr>
              <a:graphicFrameLocks noChangeAspect="1"/>
            </wp:cNvGraphicFramePr>
            <a:graphic>
              <a:graphicData uri="http://schemas.openxmlformats.org/drawingml/2006/picture">
                <pic:pic>
                  <pic:nvPicPr>
                    <pic:cNvPr id="0" name="fig_2023_revised_d20_u850_detrended_1980_2014.png"/>
                    <pic:cNvPicPr/>
                  </pic:nvPicPr>
                  <pic:blipFill>
                    <a:blip r:embed="rId20"/>
                    <a:stretch>
                      <a:fillRect/>
                    </a:stretch>
                  </pic:blipFill>
                  <pic:spPr>
                    <a:xfrm>
                      <a:off x="0" y="0"/>
                      <a:ext cx="6675120" cy="286357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12. January-May 2023 early formation: ORAS5 equatorial D20 anomalies with ERA5 equatorial u850.</w:t>
      </w:r>
    </w:p>
    <w:p>
      <w:pPr>
        <w:keepNext w:val="0"/>
        <w:spacing w:after="20"/>
        <w:jc w:val="center"/>
      </w:pPr>
      <w:r>
        <w:drawing>
          <wp:inline xmlns:a="http://schemas.openxmlformats.org/drawingml/2006/main" xmlns:pic="http://schemas.openxmlformats.org/drawingml/2006/picture">
            <wp:extent cx="6675120" cy="2863570"/>
            <wp:docPr id="13" name="Picture 13"/>
            <wp:cNvGraphicFramePr>
              <a:graphicFrameLocks noChangeAspect="1"/>
            </wp:cNvGraphicFramePr>
            <a:graphic>
              <a:graphicData uri="http://schemas.openxmlformats.org/drawingml/2006/picture">
                <pic:pic>
                  <pic:nvPicPr>
                    <pic:cNvPr id="0" name="fig_2026_revised_d20_u850_detrended_1980_2014.png"/>
                    <pic:cNvPicPr/>
                  </pic:nvPicPr>
                  <pic:blipFill>
                    <a:blip r:embed="rId21"/>
                    <a:stretch>
                      <a:fillRect/>
                    </a:stretch>
                  </pic:blipFill>
                  <pic:spPr>
                    <a:xfrm>
                      <a:off x="0" y="0"/>
                      <a:ext cx="6675120" cy="286357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13. January-May 2026 early formation: ORAS5 equatorial D20 anomalies with ERA5 equatorial u850.</w:t>
      </w:r>
    </w:p>
    <w:p>
      <w:pPr>
        <w:keepNext w:val="0"/>
        <w:spacing w:after="20"/>
        <w:jc w:val="center"/>
      </w:pPr>
      <w:r>
        <w:drawing>
          <wp:inline xmlns:a="http://schemas.openxmlformats.org/drawingml/2006/main" xmlns:pic="http://schemas.openxmlformats.org/drawingml/2006/picture">
            <wp:extent cx="6675120" cy="1821937"/>
            <wp:docPr id="14" name="Picture 14"/>
            <wp:cNvGraphicFramePr>
              <a:graphicFrameLocks noChangeAspect="1"/>
            </wp:cNvGraphicFramePr>
            <a:graphic>
              <a:graphicData uri="http://schemas.openxmlformats.org/drawingml/2006/picture">
                <pic:pic>
                  <pic:nvPicPr>
                    <pic:cNvPr id="0" name="fig_classic_strong_events_revised_d20_u850_detrended_1980_2014.png"/>
                    <pic:cNvPicPr/>
                  </pic:nvPicPr>
                  <pic:blipFill>
                    <a:blip r:embed="rId22"/>
                    <a:stretch>
                      <a:fillRect/>
                    </a:stretch>
                  </pic:blipFill>
                  <pic:spPr>
                    <a:xfrm>
                      <a:off x="0" y="0"/>
                      <a:ext cx="6675120" cy="1821937"/>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14. Main classic strong reference (1982/83, 1997/98), development-year January-May, plotted individually: ORAS5 equatorial D20 anomalies with ERA5 equatorial u850.</w:t>
      </w:r>
    </w:p>
    <w:p>
      <w:pPr>
        <w:keepNext w:val="0"/>
        <w:spacing w:after="20"/>
        <w:jc w:val="center"/>
      </w:pPr>
      <w:r>
        <w:drawing>
          <wp:inline xmlns:a="http://schemas.openxmlformats.org/drawingml/2006/main" xmlns:pic="http://schemas.openxmlformats.org/drawingml/2006/picture">
            <wp:extent cx="6675120" cy="1785800"/>
            <wp:docPr id="15" name="Picture 15"/>
            <wp:cNvGraphicFramePr>
              <a:graphicFrameLocks noChangeAspect="1"/>
            </wp:cNvGraphicFramePr>
            <a:graphic>
              <a:graphicData uri="http://schemas.openxmlformats.org/drawingml/2006/picture">
                <pic:pic>
                  <pic:nvPicPr>
                    <pic:cNvPr id="0" name="fig_extended_sensitivity_events_revised_d20_u850_detrended_1980_2014.png"/>
                    <pic:cNvPicPr/>
                  </pic:nvPicPr>
                  <pic:blipFill>
                    <a:blip r:embed="rId23"/>
                    <a:stretch>
                      <a:fillRect/>
                    </a:stretch>
                  </pic:blipFill>
                  <pic:spPr>
                    <a:xfrm>
                      <a:off x="0" y="0"/>
                      <a:ext cx="6675120" cy="1785800"/>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15. Extended sensitivity group (2002/03, 2009/10), development-year January-May, plotted separately: ORAS5 equatorial D20 anomalies with ERA5 equatorial u850.</w:t>
      </w:r>
    </w:p>
    <w:p>
      <w:pPr>
        <w:pStyle w:val="Heading1"/>
        <w:keepNext/>
      </w:pPr>
      <w:r>
        <w:rPr>
          <w:rFonts w:ascii="Times New Roman" w:hAnsi="Times New Roman" w:eastAsia="Times New Roman" w:cs="Times New Roman"/>
          <w:b/>
          <w:i w:val="0"/>
          <w:color w:val="000000"/>
          <w:sz w:val="32"/>
        </w:rPr>
        <w:t>PMM: North Pacific Subtropical Background</w:t>
      </w:r>
    </w:p>
    <w:p>
      <w:pPr>
        <w:spacing w:after="100" w:line="259" w:lineRule="auto"/>
      </w:pPr>
      <w:r>
        <w:rPr>
          <w:rFonts w:ascii="Times New Roman" w:hAnsi="Times New Roman" w:eastAsia="Times New Roman" w:cs="Times New Roman"/>
          <w:b w:val="0"/>
          <w:i w:val="0"/>
          <w:color w:val="000000"/>
          <w:sz w:val="22"/>
        </w:rPr>
        <w:t>The PMM-like EOF represents the leading coupled mode of North Pacific subtropical SST and near-surface winds after the linear influence of Niño-3.4 is removed. Its positive phase corresponds to warm northeastern Pacific SST, weakened trade winds, and reduced evaporative cooling. The joint SST+wind PMM index is positive during January-May in both 2015 and 2026, whereas it is weak or negative in 2023. This indicates that the subtropical coupled state in 2026 is closer to 2015 than to 2023.</w:t>
      </w:r>
    </w:p>
    <w:p>
      <w:pPr>
        <w:keepNext w:val="0"/>
        <w:spacing w:after="20"/>
        <w:jc w:val="center"/>
      </w:pPr>
      <w:r>
        <w:drawing>
          <wp:inline xmlns:a="http://schemas.openxmlformats.org/drawingml/2006/main" xmlns:pic="http://schemas.openxmlformats.org/drawingml/2006/picture">
            <wp:extent cx="6675120" cy="3640734"/>
            <wp:docPr id="16" name="Picture 16"/>
            <wp:cNvGraphicFramePr>
              <a:graphicFrameLocks noChangeAspect="1"/>
            </wp:cNvGraphicFramePr>
            <a:graphic>
              <a:graphicData uri="http://schemas.openxmlformats.org/drawingml/2006/picture">
                <pic:pic>
                  <pic:nvPicPr>
                    <pic:cNvPr id="0" name="fig_pmm_like_eof_patterns_and_index.png"/>
                    <pic:cNvPicPr/>
                  </pic:nvPicPr>
                  <pic:blipFill>
                    <a:blip r:embed="rId24"/>
                    <a:stretch>
                      <a:fillRect/>
                    </a:stretch>
                  </pic:blipFill>
                  <pic:spPr>
                    <a:xfrm>
                      <a:off x="0" y="0"/>
                      <a:ext cx="6675120" cy="3640734"/>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16. PMM-like EOF diagnostics from OISST SST and ERA5 10 m wind. EOF training period: 1982-2025.</w:t>
      </w:r>
    </w:p>
    <w:p>
      <w:pPr>
        <w:keepNext w:val="0"/>
        <w:spacing w:after="20"/>
        <w:jc w:val="center"/>
      </w:pPr>
      <w:r>
        <w:drawing>
          <wp:inline xmlns:a="http://schemas.openxmlformats.org/drawingml/2006/main" xmlns:pic="http://schemas.openxmlformats.org/drawingml/2006/picture">
            <wp:extent cx="6675120" cy="3537075"/>
            <wp:docPr id="17" name="Picture 17"/>
            <wp:cNvGraphicFramePr>
              <a:graphicFrameLocks noChangeAspect="1"/>
            </wp:cNvGraphicFramePr>
            <a:graphic>
              <a:graphicData uri="http://schemas.openxmlformats.org/drawingml/2006/picture">
                <pic:pic>
                  <pic:nvPicPr>
                    <pic:cNvPr id="0" name="fig_pmm_like_index_2026_jan_may.png"/>
                    <pic:cNvPicPr/>
                  </pic:nvPicPr>
                  <pic:blipFill>
                    <a:blip r:embed="rId25"/>
                    <a:stretch>
                      <a:fillRect/>
                    </a:stretch>
                  </pic:blipFill>
                  <pic:spPr>
                    <a:xfrm>
                      <a:off x="0" y="0"/>
                      <a:ext cx="6675120" cy="3537075"/>
                    </a:xfrm>
                    <a:prstGeom prst="rect"/>
                  </pic:spPr>
                </pic:pic>
              </a:graphicData>
            </a:graphic>
          </wp:inline>
        </w:drawing>
      </w:r>
    </w:p>
    <w:p>
      <w:pPr>
        <w:pStyle w:val="Caption"/>
        <w:spacing w:before="20" w:after="140"/>
        <w:jc w:val="center"/>
      </w:pPr>
      <w:r>
        <w:rPr>
          <w:rFonts w:ascii="Times New Roman" w:hAnsi="Times New Roman" w:eastAsia="Times New Roman" w:cs="Times New Roman"/>
          <w:b w:val="0"/>
          <w:i/>
          <w:color w:val="000000"/>
          <w:sz w:val="18"/>
        </w:rPr>
        <w:t>Figure 17. 2026 January-May PMM-like joint SST+wind and SST-only indices.</w:t>
      </w:r>
    </w:p>
    <w:p>
      <w:pPr>
        <w:pStyle w:val="Heading1"/>
        <w:keepNext/>
      </w:pPr>
      <w:r>
        <w:rPr>
          <w:rFonts w:ascii="Times New Roman" w:hAnsi="Times New Roman" w:eastAsia="Times New Roman" w:cs="Times New Roman"/>
          <w:b/>
          <w:i w:val="0"/>
          <w:color w:val="000000"/>
          <w:sz w:val="32"/>
        </w:rPr>
        <w:t>Summary</w:t>
      </w:r>
    </w:p>
    <w:p>
      <w:pPr>
        <w:spacing w:after="100" w:line="259" w:lineRule="auto"/>
      </w:pPr>
      <w:r>
        <w:rPr>
          <w:rFonts w:ascii="Times New Roman" w:hAnsi="Times New Roman" w:eastAsia="Times New Roman" w:cs="Times New Roman"/>
          <w:b w:val="0"/>
          <w:i w:val="0"/>
          <w:color w:val="000000"/>
          <w:sz w:val="22"/>
        </w:rPr>
        <w:t>The three individual events differ mainly in the maturity and spatial organization of air-sea coupling. The 2015/16 event is the most strongly coupled case, with central-eastern Pacific SST warming, strong westerlies, positive central Pacific precipitation, and a clear west-shallow/east-deep D20 structure. The 2023/24 development phase is more strongly led by far-eastern Pacific warming and has weaker central Pacific and PMM support.</w:t>
      </w:r>
    </w:p>
    <w:p>
      <w:pPr>
        <w:spacing w:after="100" w:line="259" w:lineRule="auto"/>
      </w:pPr>
      <w:r>
        <w:rPr>
          <w:rFonts w:ascii="Times New Roman" w:hAnsi="Times New Roman" w:eastAsia="Times New Roman" w:cs="Times New Roman"/>
          <w:b w:val="0"/>
          <w:i w:val="0"/>
          <w:color w:val="000000"/>
          <w:sz w:val="22"/>
        </w:rPr>
        <w:t>The 2026 event retains some 2023-like east-Pacific-led surface warming characteristics, but its D20, u850, and PMM signals are more similar to 2015. Relative to the two-event main classic reference, 2026 already shows a strong dynamical preconditioning signal, while the precipitation and deep-convective response still lags. Its subsequent evolution will depend on whether central Pacific precipitation and the Walker circulation continue to respond after summer.</w:t>
      </w:r>
    </w:p>
    <w:p>
      <w:pPr>
        <w:spacing w:after="100" w:line="259" w:lineRule="auto"/>
      </w:pPr>
      <w:r>
        <w:rPr>
          <w:rFonts w:ascii="Times New Roman" w:hAnsi="Times New Roman" w:eastAsia="Times New Roman" w:cs="Times New Roman"/>
          <w:b w:val="0"/>
          <w:i w:val="0"/>
          <w:color w:val="000000"/>
          <w:sz w:val="22"/>
        </w:rPr>
        <w:t>The extended 2002/03 and 2009/10 sensitivity cases should be used only to test robustness across weaker or differently organized early development pathways. They are not members of the main classic strong reference and do not change the target-only status of 2015/16.</w:t>
      </w:r>
    </w:p>
    <w:sectPr w:rsidR="00FC693F" w:rsidRPr="0006063C" w:rsidSect="00034616">
      <w:pgSz w:w="12240" w:h="15840"/>
      <w:pgMar w:top="893" w:right="835" w:bottom="893"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9" w:lineRule="auto"/>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line="259" w:lineRule="auto"/>
      <w:outlineLvl w:val="0"/>
    </w:pPr>
    <w:rPr>
      <w:rFonts w:asciiTheme="majorHAnsi" w:eastAsiaTheme="majorEastAsia" w:hAnsiTheme="majorHAnsi"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line="259" w:lineRule="auto"/>
      <w:outlineLvl w:val="1"/>
    </w:pPr>
    <w:rPr>
      <w:rFonts w:asciiTheme="majorHAnsi" w:eastAsiaTheme="majorEastAsia" w:hAnsiTheme="majorHAnsi" w:cstheme="majorBidi" w:ascii="Times New Roman" w:hAnsi="Times New Roman" w:eastAsia="Times New Roman" w:cs="Times New Roman"/>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40" w:after="80" w:line="259" w:lineRule="auto"/>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before="20" w:after="120"/>
    </w:pPr>
    <w:rPr>
      <w:rFonts w:ascii="Times New Roman" w:hAnsi="Times New Roman" w:eastAsia="Times New Roman" w:cs="Times New Roman"/>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