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320"/>
        <w:jc w:val="center"/>
      </w:pPr>
      <w:r>
        <w:rPr>
          <w:rFonts w:ascii="PingFang SC" w:hAnsi="PingFang SC" w:eastAsia="PingFang SC" w:cs="PingFang SC"/>
          <w:b/>
          <w:color w:val="2E74B5"/>
          <w:sz w:val="20"/>
        </w:rPr>
        <w:t>RESEARCH REPORT | 2025-2026 NATURE-SERIES METHODS</w:t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b/>
          <w:color w:val="203748"/>
          <w:sz w:val="54"/>
        </w:rPr>
        <w:t>2023/24 厄尔尼诺</w:t>
        <w:br/>
        <w:t>海气耦合最小闭环</w:t>
      </w:r>
    </w:p>
    <w:p>
      <w:pPr>
        <w:spacing w:after="560"/>
        <w:jc w:val="center"/>
      </w:pPr>
      <w:r>
        <w:rPr>
          <w:rFonts w:ascii="PingFang SC" w:hAnsi="PingFang SC" w:eastAsia="PingFang SC" w:cs="PingFang SC"/>
          <w:color w:val="1F4D78"/>
          <w:sz w:val="28"/>
        </w:rPr>
        <w:t>逐环反馈实现率、海洋记忆与同期风应力贡献</w:t>
      </w:r>
    </w:p>
    <w:p>
      <w:pPr>
        <w:spacing w:after="1040"/>
        <w:jc w:val="center"/>
      </w:pPr>
      <w:r>
        <w:rPr>
          <w:rFonts w:ascii="PingFang SC" w:hAnsi="PingFang SC" w:eastAsia="PingFang SC" w:cs="PingFang SC"/>
          <w:b/>
          <w:color w:val="5B6573"/>
          <w:sz w:val="21"/>
        </w:rPr>
        <w:t>基准期 1982-2022 | 目标事件 2023年4月-2024年2月 | 2026年7月</w:t>
      </w:r>
    </w:p>
    <w:p>
      <w:pPr>
        <w:spacing w:after="240"/>
        <w:jc w:val="center"/>
      </w:pPr>
      <w:r>
        <w:rPr>
          <w:rFonts w:ascii="PingFang SC" w:hAnsi="PingFang SC" w:eastAsia="PingFang SC" w:cs="PingFang SC"/>
          <w:b/>
          <w:color w:val="2E74B5"/>
          <w:sz w:val="20"/>
        </w:rPr>
        <w:t>核心问题</w:t>
      </w:r>
    </w:p>
    <w:p>
      <w:pPr>
        <w:spacing w:line="300" w:lineRule="auto"/>
        <w:jc w:val="center"/>
      </w:pPr>
      <w:r>
        <w:rPr>
          <w:rFonts w:ascii="PingFang SC" w:hAnsi="PingFang SC" w:eastAsia="PingFang SC" w:cs="PingFang SC"/>
          <w:i/>
          <w:color w:val="203748"/>
          <w:sz w:val="26"/>
        </w:rPr>
        <w:t>2023/24 厄尔尼诺的海气正反馈在哪一环弱于历史预期？</w:t>
        <w:br/>
        <w:t>较强的海洋初始记忆是否补偿了这一不足？</w:t>
      </w:r>
    </w:p>
    <w:p>
      <w:r>
        <w:br w:type="page"/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摘要</w:t>
      </w:r>
    </w:p>
    <w:p>
      <w:r>
        <w:rPr>
          <w:rFonts w:ascii="PingFang SC" w:hAnsi="PingFang SC" w:eastAsia="PingFang SC" w:cs="PingFang SC"/>
          <w:color w:val="000000"/>
          <w:sz w:val="22"/>
        </w:rPr>
        <w:t>本研究把海气耦合压缩为四条月尺度反馈链：Niño3海温到中西太平洋纬向风应力、风应力到赤道温跃层倾斜、东部温跃层到Niño3海温增长，以及海温到净表面热通量阻尼。每条链均使用1982-2022年逐日历月模型，滞后链显式控制前月状态，从而把海洋记忆与同期反馈分开。事件实现率 eta 衡量目标事件实际创新相对于历史预期反馈的投影强度。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160" w:type="dxa"/>
              <w:bottom w:w="160" w:type="dxa"/>
              <w:start w:w="180" w:type="dxa"/>
              <w:end w:w="180" w:type="dxa"/>
            </w:tcMar>
            <w:shd w:fill="F4F6F9"/>
          </w:tcPr>
          <w:p>
            <w:pPr>
              <w:spacing w:after="40"/>
            </w:pPr>
            <w:r>
              <w:rPr>
                <w:rFonts w:ascii="PingFang SC" w:hAnsi="PingFang SC" w:eastAsia="PingFang SC" w:cs="PingFang SC"/>
                <w:b/>
                <w:color w:val="1F4D78"/>
                <w:sz w:val="21"/>
              </w:rPr>
              <w:t xml:space="preserve">主要结论  </w:t>
            </w:r>
            <w:r>
              <w:rPr>
                <w:rFonts w:ascii="PingFang SC" w:hAnsi="PingFang SC" w:eastAsia="PingFang SC" w:cs="PingFang SC"/>
                <w:color w:val="000000"/>
                <w:sz w:val="21"/>
              </w:rPr>
              <w:t>四条链中，Niño3 SST → 净表面热通量阻尼 的历史相对位置最低（第 25.0 百分位）；Niño3 SST → 净表面热通量阻尼 的实现率最低（eta=0.59）。但没有链条同时满足“低于历史第5百分位”和“bootstrap 95%置信区间上限低于1”两个条件。因此核心结论应表述为异常排序，而不是宣称统计显著的反馈崩塌。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 w:cs="PingFang SC"/>
          <w:color w:val="000000"/>
          <w:sz w:val="22"/>
        </w:rPr>
        <w:t>对温跃层倾斜方程，2023/24事件窗口内前月D20持续项的绝对贡献占记忆与风应力两项之和的 51%；在11个一步预测中，其月平均有符号贡献为 17.2 m，历史风应力反馈为 16.1 m。该分解直接检验了海洋记忆是否补偿同期大气耦合不足。</w:t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1. 研究动机与剃刀边界</w:t>
      </w:r>
    </w:p>
    <w:p>
      <w:r>
        <w:rPr>
          <w:rFonts w:ascii="PingFang SC" w:hAnsi="PingFang SC" w:eastAsia="PingFang SC" w:cs="PingFang SC"/>
          <w:color w:val="000000"/>
          <w:sz w:val="22"/>
        </w:rPr>
        <w:t>2025年的事件研究分别强调2023/24事件中的海洋动力维持、持续东风约束和前期北太平洋条件。当前分析不再平行扩展这些机制，而是提出一个更窄、可证伪的问题：给定上游异常，下游响应是否达到历史关系所预期的强度。</w:t>
      </w:r>
    </w:p>
    <w:p>
      <w:r>
        <w:rPr>
          <w:rFonts w:ascii="PingFang SC" w:hAnsi="PingFang SC" w:eastAsia="PingFang SC" w:cs="PingFang SC"/>
          <w:color w:val="000000"/>
          <w:sz w:val="22"/>
        </w:rPr>
        <w:t>因此核心分析仅保留逐环反馈、热通量阻尼和前月持续项。完整BJ-index、混合层热收支、日尺度MJO/WWB、PMM因果分支、Argo湍混合、层结模态、AGCM试验及外海盆归因均不进入主模型。它们仍是可能解释残差的后续方向，但只有在最小闭环出现稳定未解释残差后才有必要加入。</w:t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2. 数据与方法</w:t>
      </w:r>
    </w:p>
    <w:p>
      <w:pPr>
        <w:pStyle w:val="Heading2"/>
        <w:keepNext/>
      </w:pPr>
      <w:r>
        <w:rPr>
          <w:rFonts w:ascii="PingFang SC" w:hAnsi="PingFang SC" w:eastAsia="PingFang SC" w:cs="PingFang SC"/>
          <w:b/>
          <w:color w:val="2E74B5"/>
          <w:sz w:val="26"/>
        </w:rPr>
        <w:t>2.1 数据、区域与符号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400"/>
        <w:gridCol w:w="3360"/>
      </w:tblGrid>
      <w:tr>
        <w:trPr>
          <w:tblHeader/>
          <w:cantSplit/>
        </w:trPr>
        <w:tc>
          <w:tcPr>
            <w:tcW w:type="dxa" w:w="1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资料</w:t>
            </w:r>
          </w:p>
        </w:tc>
        <w:tc>
          <w:tcPr>
            <w:tcW w:type="dxa" w:w="4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变量与区域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分析角色</w:t>
            </w:r>
          </w:p>
        </w:tc>
      </w:tr>
      <w:tr>
        <w:trPr>
          <w:cantSplit/>
        </w:trPr>
        <w:tc>
          <w:tcPr>
            <w:tcW w:type="dxa" w:w="1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OISST</w:t>
            </w:r>
          </w:p>
        </w:tc>
        <w:tc>
          <w:tcPr>
            <w:tcW w:type="dxa" w:w="4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 SST；5°S-5°N, 150°W-90°W</w:t>
            </w:r>
          </w:p>
        </w:tc>
        <w:tc>
          <w:tcPr>
            <w:tcW w:type="dxa" w:w="33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主海温指标</w:t>
            </w:r>
          </w:p>
        </w:tc>
      </w:tr>
      <w:tr>
        <w:trPr>
          <w:cantSplit/>
        </w:trPr>
        <w:tc>
          <w:tcPr>
            <w:tcW w:type="dxa" w:w="1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ERA5</w:t>
            </w:r>
          </w:p>
        </w:tc>
        <w:tc>
          <w:tcPr>
            <w:tcW w:type="dxa" w:w="4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纬向风应力；5°S-5°N, 160°E-140°W</w:t>
            </w:r>
          </w:p>
        </w:tc>
        <w:tc>
          <w:tcPr>
            <w:tcW w:type="dxa" w:w="33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大气耦合主指标</w:t>
            </w:r>
          </w:p>
        </w:tc>
      </w:tr>
      <w:tr>
        <w:trPr>
          <w:cantSplit/>
        </w:trPr>
        <w:tc>
          <w:tcPr>
            <w:tcW w:type="dxa" w:w="1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ORAS5</w:t>
            </w:r>
          </w:p>
        </w:tc>
        <w:tc>
          <w:tcPr>
            <w:tcW w:type="dxa" w:w="4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赤道D20；东部150°W-100°W，西部140°E-170°W</w:t>
            </w:r>
          </w:p>
        </w:tc>
        <w:tc>
          <w:tcPr>
            <w:tcW w:type="dxa" w:w="33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温跃层倾斜与记忆</w:t>
            </w:r>
          </w:p>
        </w:tc>
      </w:tr>
      <w:tr>
        <w:trPr>
          <w:cantSplit/>
        </w:trPr>
        <w:tc>
          <w:tcPr>
            <w:tcW w:type="dxa" w:w="1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ERA5</w:t>
            </w:r>
          </w:p>
        </w:tc>
        <w:tc>
          <w:tcPr>
            <w:tcW w:type="dxa" w:w="4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Niño3净短波+净长波+潜热+感热</w:t>
            </w:r>
          </w:p>
        </w:tc>
        <w:tc>
          <w:tcPr>
            <w:tcW w:type="dxa" w:w="33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向下为正的热通量阻尼</w:t>
            </w:r>
          </w:p>
        </w:tc>
      </w:tr>
      <w:tr>
        <w:trPr>
          <w:cantSplit/>
        </w:trPr>
        <w:tc>
          <w:tcPr>
            <w:tcW w:type="dxa" w:w="1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GPCP/CPC OLR</w:t>
            </w:r>
          </w:p>
        </w:tc>
        <w:tc>
          <w:tcPr>
            <w:tcW w:type="dxa" w:w="4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中西/中太平洋对流</w:t>
            </w:r>
          </w:p>
        </w:tc>
        <w:tc>
          <w:tcPr>
            <w:tcW w:type="dxa" w:w="33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独立支持性验证</w:t>
            </w:r>
          </w:p>
        </w:tc>
      </w:tr>
      <w:tr>
        <w:trPr>
          <w:cantSplit/>
        </w:trPr>
        <w:tc>
          <w:tcPr>
            <w:tcW w:type="dxa" w:w="1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ERSST/ORAS5</w:t>
            </w:r>
          </w:p>
        </w:tc>
        <w:tc>
          <w:tcPr>
            <w:tcW w:type="dxa" w:w="4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 SST/赤道风应力</w:t>
            </w:r>
          </w:p>
        </w:tc>
        <w:tc>
          <w:tcPr>
            <w:tcW w:type="dxa" w:w="33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产品敏感性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 w:cs="PingFang SC"/>
          <w:color w:val="000000"/>
          <w:sz w:val="22"/>
        </w:rPr>
        <w:t>全部主变量重新使用1982-2022年逐日历月气候态计算异常，并在每个日历月内去除基准期线性趋势。经纬度场的区域平均采用cos(纬度)权重；ORAS5赤道点列按经度等权平均。D20倾斜定义为东部减西部，正值表示东部温跃层相对更深。ERA5净热通量遵循向下为正，因此暖海温对应负斜率时代表向上的热损失增强。</w:t>
      </w:r>
    </w:p>
    <w:p>
      <w:pPr>
        <w:pStyle w:val="Heading2"/>
        <w:keepNext/>
      </w:pPr>
      <w:r>
        <w:rPr>
          <w:rFonts w:ascii="PingFang SC" w:hAnsi="PingFang SC" w:eastAsia="PingFang SC" w:cs="PingFang SC"/>
          <w:b/>
          <w:color w:val="2E74B5"/>
          <w:sz w:val="26"/>
        </w:rPr>
        <w:t>2.2 四条逐月模型</w:t>
      </w:r>
    </w:p>
    <w:p>
      <w:r>
        <w:rPr>
          <w:rFonts w:ascii="PingFang SC" w:hAnsi="PingFang SC" w:eastAsia="PingFang SC" w:cs="PingFang SC"/>
          <w:color w:val="000000"/>
          <w:sz w:val="22"/>
        </w:rPr>
        <w:t>大气链使用同月 Niño3 SST 预测中西太平洋纬向风应力；海洋调整链使用当月D20倾斜持续项和纬向风应力预测下一月D20倾斜；温跃层反馈链使用当月Niño3持续项和东部D20预测下一月Niño3；热阻尼链使用同月Niño3预测净表面热通量。各日历月分别估计截距、持续系数和反馈系数。</w:t>
      </w:r>
    </w:p>
    <w:p>
      <w:r>
        <w:rPr>
          <w:rFonts w:ascii="PingFang SC" w:hAnsi="PingFang SC" w:eastAsia="PingFang SC" w:cs="PingFang SC"/>
          <w:color w:val="000000"/>
          <w:sz w:val="22"/>
        </w:rPr>
        <w:t>事件实现率定义为 eta = Σ(y* × yhat_feedback) / Σ(yhat_feedback²)，其中y*已经扣除日历月截距和前月持续项。eta约等于1表示历史反馈充分实现，接近0表示响应缺失，负值表示反向。1997/98和2015/16的模型在拟合时剔除本事件窗口；2023/24及2026使用冻结的1982-2022模型。</w:t>
      </w:r>
    </w:p>
    <w:p>
      <w:pPr>
        <w:pStyle w:val="Heading2"/>
        <w:keepNext/>
      </w:pPr>
      <w:r>
        <w:rPr>
          <w:rFonts w:ascii="PingFang SC" w:hAnsi="PingFang SC" w:eastAsia="PingFang SC" w:cs="PingFang SC"/>
          <w:b/>
          <w:color w:val="2E74B5"/>
          <w:sz w:val="26"/>
        </w:rPr>
        <w:t>2.3 推断规则</w:t>
      </w:r>
    </w:p>
    <w:p>
      <w:r>
        <w:rPr>
          <w:rFonts w:ascii="PingFang SC" w:hAnsi="PingFang SC" w:eastAsia="PingFang SC" w:cs="PingFang SC"/>
          <w:color w:val="000000"/>
          <w:sz w:val="22"/>
        </w:rPr>
        <w:t>历史参照由1982-2021每个April-February窗口的留一法伪事件eta组成。置信区间使用10,000次、24个月块长的移动块自助法。只有当目标eta低于历史第5百分位，且bootstrap 95%置信区间上限低于1时，才称该链显著减弱。该双重标准限制了小样本事件窗口中的过度归因。</w:t>
      </w:r>
    </w:p>
    <w:p>
      <w:pPr>
        <w:pStyle w:val="Heading2"/>
        <w:keepNext/>
      </w:pPr>
      <w:r>
        <w:rPr>
          <w:rFonts w:ascii="PingFang SC" w:hAnsi="PingFang SC" w:eastAsia="PingFang SC" w:cs="PingFang SC"/>
          <w:b/>
          <w:color w:val="2E74B5"/>
          <w:sz w:val="26"/>
        </w:rPr>
        <w:t>2.4 自动质控与样本隔离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600"/>
        <w:gridCol w:w="1500"/>
        <w:gridCol w:w="2260"/>
      </w:tblGrid>
      <w:tr>
        <w:trPr>
          <w:tblHeader/>
          <w:cantSplit/>
        </w:trPr>
        <w:tc>
          <w:tcPr>
            <w:tcW w:type="dxa" w:w="3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检查窗口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起止月份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完整月份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30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历史拟合基准期</w:t>
            </w:r>
          </w:p>
        </w:tc>
        <w:tc>
          <w:tcPr>
            <w:tcW w:type="dxa" w:w="2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1982-01 至 2022-12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492</w:t>
            </w:r>
          </w:p>
        </w:tc>
        <w:tc>
          <w:tcPr>
            <w:tcW w:type="dxa" w:w="22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必需变量无缺测</w:t>
            </w:r>
          </w:p>
        </w:tc>
      </w:tr>
      <w:tr>
        <w:trPr>
          <w:cantSplit/>
        </w:trPr>
        <w:tc>
          <w:tcPr>
            <w:tcW w:type="dxa" w:w="30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2023/24事件及滞后目标月</w:t>
            </w:r>
          </w:p>
        </w:tc>
        <w:tc>
          <w:tcPr>
            <w:tcW w:type="dxa" w:w="2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2023-04 至 2024-03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22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必需变量无缺测</w:t>
            </w:r>
          </w:p>
        </w:tc>
      </w:tr>
      <w:tr>
        <w:trPr>
          <w:cantSplit/>
        </w:trPr>
        <w:tc>
          <w:tcPr>
            <w:tcW w:type="dxa" w:w="30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2026冻结模型验证期</w:t>
            </w:r>
          </w:p>
        </w:tc>
        <w:tc>
          <w:tcPr>
            <w:tcW w:type="dxa" w:w="26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2026-01 至 2026-05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22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必需变量无缺测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 w:cs="PingFang SC"/>
          <w:color w:val="000000"/>
          <w:sz w:val="22"/>
        </w:rPr>
        <w:t>下载与诊断入口同时检查纬度方向、经度0-360转换、月份连续性、变量短名、单位和物理数量级。ERA5应力必须声明为N m-2，四项表面热通量必须声明为W m-2；跨日期变更线的两片资料在180°处去重后再作区域平均。历史模型只使用1982-2022，2023/24与2026均未进入系数拟合。</w:t>
      </w:r>
    </w:p>
    <w:p>
      <w:r>
        <w:br w:type="page"/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3. 四条反馈链的事件实现率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18772"/>
            <wp:docPr id="1" name="Picture 1" descr="图1  四条海气耦合链在1997/98、2015/16与2023/24事件中的实现率。灰点为历史伪事件；误差棒为24个月块自助法95%置信区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vent_link_real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18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PingFang SC" w:hAnsi="PingFang SC" w:eastAsia="PingFang SC" w:cs="PingFang SC"/>
          <w:i/>
          <w:color w:val="5B6573"/>
          <w:sz w:val="18"/>
        </w:rPr>
        <w:t>图1  四条海气耦合链在1997/98、2015/16与2023/24事件中的实现率。灰点为历史伪事件；误差棒为24个月块自助法95%置信区间。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200"/>
        <w:gridCol w:w="1800"/>
        <w:gridCol w:w="1560"/>
        <w:gridCol w:w="1500"/>
      </w:tblGrid>
      <w:tr>
        <w:trPr>
          <w:tblHeader/>
          <w:cantSplit/>
        </w:trPr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反馈链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eta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95% CI</w:t>
            </w:r>
          </w:p>
        </w:tc>
        <w:tc>
          <w:tcPr>
            <w:tcW w:type="dxa" w:w="1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历史百分位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显著减弱</w:t>
            </w:r>
          </w:p>
        </w:tc>
      </w:tr>
      <w:tr>
        <w:trPr>
          <w:cantSplit/>
        </w:trPr>
        <w:tc>
          <w:tcPr>
            <w:tcW w:type="dxa" w:w="3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 SST → 净表面热通量阻尼</w:t>
            </w:r>
          </w:p>
        </w:tc>
        <w:tc>
          <w:tcPr>
            <w:tcW w:type="dxa" w:w="12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0.59</w:t>
            </w:r>
          </w:p>
        </w:tc>
        <w:tc>
          <w:tcPr>
            <w:tcW w:type="dxa" w:w="18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[0.49, 0.70]</w:t>
            </w:r>
          </w:p>
        </w:tc>
        <w:tc>
          <w:tcPr>
            <w:tcW w:type="dxa" w:w="15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25.0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 SST → 中西太平洋纬向风应力</w:t>
            </w:r>
          </w:p>
        </w:tc>
        <w:tc>
          <w:tcPr>
            <w:tcW w:type="dxa" w:w="12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0.71</w:t>
            </w:r>
          </w:p>
        </w:tc>
        <w:tc>
          <w:tcPr>
            <w:tcW w:type="dxa" w:w="18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[0.58, 0.81]</w:t>
            </w:r>
          </w:p>
        </w:tc>
        <w:tc>
          <w:tcPr>
            <w:tcW w:type="dxa" w:w="15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27.5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纬向风应力 → D20 倾斜</w:t>
            </w:r>
          </w:p>
        </w:tc>
        <w:tc>
          <w:tcPr>
            <w:tcW w:type="dxa" w:w="12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0.94</w:t>
            </w:r>
          </w:p>
        </w:tc>
        <w:tc>
          <w:tcPr>
            <w:tcW w:type="dxa" w:w="18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[0.83, 1.03]</w:t>
            </w:r>
          </w:p>
        </w:tc>
        <w:tc>
          <w:tcPr>
            <w:tcW w:type="dxa" w:w="15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42.5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东部 D20 → Niño3 SST 增长</w:t>
            </w:r>
          </w:p>
        </w:tc>
        <w:tc>
          <w:tcPr>
            <w:tcW w:type="dxa" w:w="12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1.26</w:t>
            </w:r>
          </w:p>
        </w:tc>
        <w:tc>
          <w:tcPr>
            <w:tcW w:type="dxa" w:w="18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[1.13, 1.45]</w:t>
            </w:r>
          </w:p>
        </w:tc>
        <w:tc>
          <w:tcPr>
            <w:tcW w:type="dxa" w:w="15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82.5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否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4. 2023/24的逐月实际响应与历史预期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26780"/>
            <wp:docPr id="2" name="Picture 2" descr="图2  2023年4月至2024年2月四条反馈链的实际创新、历史预期反馈和残差。创新项已扣除季节截距及适用链条中的前月持续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023_monthly_observed_expec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2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PingFang SC" w:hAnsi="PingFang SC" w:eastAsia="PingFang SC" w:cs="PingFang SC"/>
          <w:i/>
          <w:color w:val="5B6573"/>
          <w:sz w:val="18"/>
        </w:rPr>
        <w:t>图2  2023年4月至2024年2月四条反馈链的实际创新、历史预期反馈和残差。创新项已扣除季节截距及适用链条中的前月持续项。</w:t>
      </w:r>
    </w:p>
    <w:p>
      <w:r>
        <w:rPr>
          <w:rFonts w:ascii="PingFang SC" w:hAnsi="PingFang SC" w:eastAsia="PingFang SC" w:cs="PingFang SC"/>
          <w:color w:val="000000"/>
          <w:sz w:val="22"/>
        </w:rPr>
        <w:t>逐月图用于定位异常发生的时段，而不是从11个样本重新估计事件专属回归系数。若某月残差很大但事件eta和历史百分位并不异常，该月只应解释为短时偏离；只有跨月投影一致并通过预设判据，才支持反馈强度发生事件级变化。</w:t>
      </w:r>
    </w:p>
    <w:p>
      <w:r>
        <w:br w:type="page"/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5. 海洋记忆能否补偿同期风应力？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48899"/>
            <wp:docPr id="3" name="Picture 3" descr="图3  2023/24温跃层倾斜的一月预测分解。蓝色为前月D20持续项，橙色为历史风应力反馈，灰色为日历月截距；下图给出前两项的累计有符号贡献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023_ocean_memory_vs_wi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48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PingFang SC" w:hAnsi="PingFang SC" w:eastAsia="PingFang SC" w:cs="PingFang SC"/>
          <w:i/>
          <w:color w:val="5B6573"/>
          <w:sz w:val="18"/>
        </w:rPr>
        <w:t>图3  2023/24温跃层倾斜的一月预测分解。蓝色为前月D20持续项，橙色为历史风应力反馈，灰色为日历月截距；下图给出前两项的累计有符号贡献。</w:t>
      </w:r>
    </w:p>
    <w:p>
      <w:r>
        <w:rPr>
          <w:rFonts w:ascii="PingFang SC" w:hAnsi="PingFang SC" w:eastAsia="PingFang SC" w:cs="PingFang SC"/>
          <w:color w:val="000000"/>
          <w:sz w:val="22"/>
        </w:rPr>
        <w:t>在绝对贡献口径下，前月D20持续项占记忆与风应力两项之和的 51%。在月平均有符号口径下，记忆项为 17.2 m，风应力反馈项为 16.1 m。两项在该窗口内总体同号，说明初始海洋状态不仅占比较高，而且确实协助维持了向东加深的温跃层倾斜；图中的逐月累积和只用于展示相对权重，不解释为额外的独立物理倾向。</w:t>
      </w:r>
    </w:p>
    <w:p>
      <w:r>
        <w:br w:type="page"/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6. 产品稳健性与对流验证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160" w:type="dxa"/>
              <w:bottom w:w="160" w:type="dxa"/>
              <w:start w:w="180" w:type="dxa"/>
              <w:end w:w="180" w:type="dxa"/>
            </w:tcMar>
            <w:shd w:fill="F4F6F9"/>
          </w:tcPr>
          <w:p>
            <w:pPr>
              <w:spacing w:after="40"/>
            </w:pPr>
            <w:r>
              <w:rPr>
                <w:rFonts w:ascii="PingFang SC" w:hAnsi="PingFang SC" w:eastAsia="PingFang SC" w:cs="PingFang SC"/>
                <w:b/>
                <w:color w:val="1F4D78"/>
                <w:sz w:val="21"/>
              </w:rPr>
              <w:t xml:space="preserve">稳健性结论  </w:t>
            </w:r>
            <w:r>
              <w:rPr>
                <w:rFonts w:ascii="PingFang SC" w:hAnsi="PingFang SC" w:eastAsia="PingFang SC" w:cs="PingFang SC"/>
                <w:color w:val="000000"/>
                <w:sz w:val="21"/>
              </w:rPr>
              <w:t>三套产品组合给出的最低 eta 环节一致，主结论的方向对 SST/风应力产品选择稳定。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00"/>
        <w:gridCol w:w="1400"/>
        <w:gridCol w:w="2760"/>
      </w:tblGrid>
      <w:tr>
        <w:trPr>
          <w:tblHeader/>
          <w:cantSplit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产品组合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最低eta环节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最低eta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7"/>
              </w:rPr>
              <w:t>最高eta环节</w:t>
            </w:r>
          </w:p>
        </w:tc>
      </w:tr>
      <w:tr>
        <w:trPr>
          <w:cantSplit/>
        </w:trPr>
        <w:tc>
          <w:tcPr>
            <w:tcW w:type="dxa" w:w="19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OISST+ERA5</w:t>
            </w:r>
          </w:p>
        </w:tc>
        <w:tc>
          <w:tcPr>
            <w:tcW w:type="dxa" w:w="3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 SST → 净表面热通量阻尼</w:t>
            </w:r>
          </w:p>
        </w:tc>
        <w:tc>
          <w:tcPr>
            <w:tcW w:type="dxa" w:w="1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0.59</w:t>
            </w:r>
          </w:p>
        </w:tc>
        <w:tc>
          <w:tcPr>
            <w:tcW w:type="dxa" w:w="27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东部 D20 → Niño3 SST 增长 (1.26)</w:t>
            </w:r>
          </w:p>
        </w:tc>
      </w:tr>
      <w:tr>
        <w:trPr>
          <w:cantSplit/>
        </w:trPr>
        <w:tc>
          <w:tcPr>
            <w:tcW w:type="dxa" w:w="19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ERSST+ERA5</w:t>
            </w:r>
          </w:p>
        </w:tc>
        <w:tc>
          <w:tcPr>
            <w:tcW w:type="dxa" w:w="3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 SST → 净表面热通量阻尼</w:t>
            </w:r>
          </w:p>
        </w:tc>
        <w:tc>
          <w:tcPr>
            <w:tcW w:type="dxa" w:w="1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0.57</w:t>
            </w:r>
          </w:p>
        </w:tc>
        <w:tc>
          <w:tcPr>
            <w:tcW w:type="dxa" w:w="27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东部 D20 → Niño3 SST 增长 (1.26)</w:t>
            </w:r>
          </w:p>
        </w:tc>
      </w:tr>
      <w:tr>
        <w:trPr>
          <w:cantSplit/>
        </w:trPr>
        <w:tc>
          <w:tcPr>
            <w:tcW w:type="dxa" w:w="19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OISST+ORAS5</w:t>
            </w:r>
          </w:p>
        </w:tc>
        <w:tc>
          <w:tcPr>
            <w:tcW w:type="dxa" w:w="3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Niño3 SST → 净表面热通量阻尼</w:t>
            </w:r>
          </w:p>
        </w:tc>
        <w:tc>
          <w:tcPr>
            <w:tcW w:type="dxa" w:w="14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0.59</w:t>
            </w:r>
          </w:p>
        </w:tc>
        <w:tc>
          <w:tcPr>
            <w:tcW w:type="dxa" w:w="27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7"/>
              </w:rPr>
              <w:t>东部 D20 → Niño3 SST 增长 (1.26)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 w:cs="PingFang SC"/>
          <w:color w:val="000000"/>
          <w:sz w:val="22"/>
        </w:rPr>
        <w:t>CWP GPCP precipitation 与ERA5中西太平洋纬向风应力在可用历史月份中的相关为 r=0.74（n=492）。2023/24窗口平均响应异常为 2.41。该结果只用于核验风应力异常是否伴随一致的对流信号，不作为第五条反馈链。</w:t>
      </w:r>
    </w:p>
    <w:p>
      <w:r>
        <w:rPr>
          <w:rFonts w:ascii="PingFang SC" w:hAnsi="PingFang SC" w:eastAsia="PingFang SC" w:cs="PingFang SC"/>
          <w:color w:val="000000"/>
          <w:sz w:val="22"/>
        </w:rPr>
        <w:t>CP CPC OLR 与ERA5中西太平洋纬向风应力在可用历史月份中的相关为 r=-0.74（n=312）。2023/24窗口平均响应异常为 -13.02。该结果只用于核验风应力异常是否伴随一致的对流信号，不作为第五条反馈链。</w:t>
      </w:r>
    </w:p>
    <w:p>
      <w:r>
        <w:br w:type="page"/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7. 2026样本外验证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500"/>
        <w:gridCol w:w="1300"/>
        <w:gridCol w:w="3060"/>
      </w:tblGrid>
      <w:tr>
        <w:trPr>
          <w:tblHeader/>
          <w:cantSplit/>
        </w:trPr>
        <w:tc>
          <w:tcPr>
            <w:tcW w:type="dxa" w:w="3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/>
                <w:color w:val="000000"/>
                <w:sz w:val="16"/>
              </w:rPr>
              <w:t>反馈链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6"/>
              </w:rPr>
              <w:t>部分窗口eta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6"/>
              </w:rPr>
              <w:t>可用月份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6"/>
              </w:rPr>
              <w:t>解释限制</w:t>
            </w:r>
          </w:p>
        </w:tc>
      </w:tr>
      <w:tr>
        <w:trPr>
          <w:cantSplit/>
        </w:trPr>
        <w:tc>
          <w:tcPr>
            <w:tcW w:type="dxa" w:w="3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Niño3 SST → 中西太平洋纬向风应力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1.58</w:t>
            </w:r>
          </w:p>
        </w:tc>
        <w:tc>
          <w:tcPr>
            <w:tcW w:type="dxa" w:w="1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0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不作事件显著性判断</w:t>
            </w:r>
          </w:p>
        </w:tc>
      </w:tr>
      <w:tr>
        <w:trPr>
          <w:cantSplit/>
        </w:trPr>
        <w:tc>
          <w:tcPr>
            <w:tcW w:type="dxa" w:w="3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纬向风应力 → D20 倾斜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1.55</w:t>
            </w:r>
          </w:p>
        </w:tc>
        <w:tc>
          <w:tcPr>
            <w:tcW w:type="dxa" w:w="1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0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不作事件显著性判断</w:t>
            </w:r>
          </w:p>
        </w:tc>
      </w:tr>
      <w:tr>
        <w:trPr>
          <w:cantSplit/>
        </w:trPr>
        <w:tc>
          <w:tcPr>
            <w:tcW w:type="dxa" w:w="3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东部 D20 → Niño3 SST 增长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1.56</w:t>
            </w:r>
          </w:p>
        </w:tc>
        <w:tc>
          <w:tcPr>
            <w:tcW w:type="dxa" w:w="1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0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不作事件显著性判断</w:t>
            </w:r>
          </w:p>
        </w:tc>
      </w:tr>
      <w:tr>
        <w:trPr>
          <w:cantSplit/>
        </w:trPr>
        <w:tc>
          <w:tcPr>
            <w:tcW w:type="dxa" w:w="3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Niño3 SST → 净表面热通量阻尼</w:t>
            </w:r>
          </w:p>
        </w:tc>
        <w:tc>
          <w:tcPr>
            <w:tcW w:type="dxa" w:w="15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0.06</w:t>
            </w:r>
          </w:p>
        </w:tc>
        <w:tc>
          <w:tcPr>
            <w:tcW w:type="dxa" w:w="130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060"/>
            <w:shd w:fill="FFFFFF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PingFang SC" w:hAnsi="PingFang SC" w:eastAsia="PingFang SC" w:cs="PingFang SC"/>
                <w:b w:val="0"/>
                <w:color w:val="000000"/>
                <w:sz w:val="16"/>
              </w:rPr>
              <w:t>不作事件显著性判断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 w:cs="PingFang SC"/>
          <w:color w:val="000000"/>
          <w:sz w:val="22"/>
        </w:rPr>
        <w:t>2026年只作为冻结模型的样本外运行检查。由于现有OISST、ORAS5 D20和风应力资料仅覆盖1-5月，且两个滞后模型最多只能使用到4月源时刻，这些eta不能与完整April-February事件窗口直接比较，也不用于判断2026是否将发展成某类ENSO事件。</w:t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8. 结论与下一步触发条件</w:t>
      </w:r>
    </w:p>
    <w:p>
      <w:r>
        <w:rPr>
          <w:rFonts w:ascii="PingFang SC" w:hAnsi="PingFang SC" w:eastAsia="PingFang SC" w:cs="PingFang SC"/>
          <w:color w:val="000000"/>
          <w:sz w:val="22"/>
        </w:rPr>
        <w:t>四条链中，Niño3 SST → 净表面热通量阻尼 的历史相对位置最低（第 25.0 百分位）；Niño3 SST → 净表面热通量阻尼 的实现率最低（eta=0.59）。但没有链条同时满足“低于历史第5百分位”和“bootstrap 95%置信区间上限低于1”两个条件。因此核心结论应表述为异常排序，而不是宣称统计显著的反馈崩塌。</w:t>
      </w:r>
    </w:p>
    <w:p>
      <w:r>
        <w:rPr>
          <w:rFonts w:ascii="PingFang SC" w:hAnsi="PingFang SC" w:eastAsia="PingFang SC" w:cs="PingFang SC"/>
          <w:color w:val="000000"/>
          <w:sz w:val="22"/>
        </w:rPr>
        <w:t>剃刀原则在此不是永久排除复杂机制，而是建立添加复杂度的门槛。只有当某条链在OISST/ERSST和ERA5/ORAS5之间保持相同异常排序，并出现连续、物理一致且超出置信范围的残差时，才进入下一层机制分析。若大气链残差最稳定，下一步优先检验日尺度WWB/MJO；若温跃层链残差最稳定，再进入混合层热收支；若产品间排序不稳定，则先解决资料误差而不是增加机制。</w:t>
      </w:r>
    </w:p>
    <w:p>
      <w:pPr>
        <w:pStyle w:val="Heading1"/>
        <w:keepNext/>
      </w:pPr>
      <w:r>
        <w:rPr>
          <w:rFonts w:ascii="PingFang SC" w:hAnsi="PingFang SC" w:eastAsia="PingFang SC" w:cs="PingFang SC"/>
          <w:b/>
          <w:color w:val="2E74B5"/>
          <w:sz w:val="32"/>
        </w:rPr>
        <w:t>参考文献（仅2025-2026）</w:t>
      </w:r>
    </w:p>
    <w:p>
      <w:pPr>
        <w:spacing w:after="100"/>
        <w:ind w:left="317" w:hanging="317"/>
        <w:jc w:val="left"/>
      </w:pPr>
      <w:r>
        <w:rPr>
          <w:rFonts w:ascii="PingFang SC" w:hAnsi="PingFang SC" w:eastAsia="PingFang SC" w:cs="PingFang SC"/>
          <w:color w:val="000000"/>
          <w:sz w:val="19"/>
        </w:rPr>
        <w:t xml:space="preserve">1. Strong 2023-2024 El Nino generated by ocean dynamics. Nature Geoscience (2025). </w:t>
      </w:r>
      <w:hyperlink r:id="rId14">
        <w:r>
          <w:rPr>
            <w:color w:val="2E74B5"/>
            <w:u w:val="single"/>
          </w:rPr>
          <w:t>www.nature.com/articles/s41561-025-01700-9</w:t>
        </w:r>
      </w:hyperlink>
    </w:p>
    <w:p>
      <w:pPr>
        <w:spacing w:after="100"/>
        <w:ind w:left="317" w:hanging="317"/>
        <w:jc w:val="left"/>
      </w:pPr>
      <w:r>
        <w:rPr>
          <w:rFonts w:ascii="PingFang SC" w:hAnsi="PingFang SC" w:eastAsia="PingFang SC" w:cs="PingFang SC"/>
          <w:color w:val="000000"/>
          <w:sz w:val="19"/>
        </w:rPr>
        <w:t xml:space="preserve">2. Unusual and persistent easterlies restrained the 2023/24 El Nino development after a triple-dip La Nina. npj Climate and Atmospheric Science (2025). </w:t>
      </w:r>
      <w:hyperlink r:id="rId15">
        <w:r>
          <w:rPr>
            <w:color w:val="2E74B5"/>
            <w:u w:val="single"/>
          </w:rPr>
          <w:t>www.nature.com/articles/s41612-024-00890-0</w:t>
        </w:r>
      </w:hyperlink>
    </w:p>
    <w:p>
      <w:pPr>
        <w:spacing w:after="100"/>
        <w:ind w:left="317" w:hanging="317"/>
        <w:jc w:val="left"/>
      </w:pPr>
      <w:r>
        <w:rPr>
          <w:rFonts w:ascii="PingFang SC" w:hAnsi="PingFang SC" w:eastAsia="PingFang SC" w:cs="PingFang SC"/>
          <w:color w:val="000000"/>
          <w:sz w:val="19"/>
        </w:rPr>
        <w:t xml:space="preserve">3. Diverse NPMM conditions deviate the 2023/24 El Nino from the 1997/1998 and 2015/2016 extreme El Nino events. npj Climate and Atmospheric Science (2025). </w:t>
      </w:r>
      <w:hyperlink r:id="rId16">
        <w:r>
          <w:rPr>
            <w:color w:val="2E74B5"/>
            <w:u w:val="single"/>
          </w:rPr>
          <w:t>www.nature.com/articles/s41612-025-01013-z</w:t>
        </w:r>
      </w:hyperlink>
    </w:p>
    <w:p>
      <w:pPr>
        <w:spacing w:after="100"/>
        <w:ind w:left="317" w:hanging="317"/>
        <w:jc w:val="left"/>
      </w:pPr>
      <w:r>
        <w:rPr>
          <w:rFonts w:ascii="PingFang SC" w:hAnsi="PingFang SC" w:eastAsia="PingFang SC" w:cs="PingFang SC"/>
          <w:color w:val="000000"/>
          <w:sz w:val="19"/>
        </w:rPr>
        <w:t xml:space="preserve">4. The 2023/24 El Nino event exhibited unusually weak extratropical teleconnections. Communications Earth &amp; Environment (2025). </w:t>
      </w:r>
      <w:hyperlink r:id="rId17">
        <w:r>
          <w:rPr>
            <w:color w:val="2E74B5"/>
            <w:u w:val="single"/>
          </w:rPr>
          <w:t>www.nature.com/articles/s43247-025-02584-8</w:t>
        </w:r>
      </w:hyperlink>
    </w:p>
    <w:p>
      <w:pPr>
        <w:spacing w:after="100"/>
        <w:ind w:left="317" w:hanging="317"/>
        <w:jc w:val="left"/>
      </w:pPr>
      <w:r>
        <w:rPr>
          <w:rFonts w:ascii="PingFang SC" w:hAnsi="PingFang SC" w:eastAsia="PingFang SC" w:cs="PingFang SC"/>
          <w:color w:val="000000"/>
          <w:sz w:val="19"/>
        </w:rPr>
        <w:t xml:space="preserve">5. Stronger and prolonged ENSO in Early Eocene warmth. Nature Communications (2025). </w:t>
      </w:r>
      <w:hyperlink r:id="rId18">
        <w:r>
          <w:rPr>
            <w:color w:val="2E74B5"/>
            <w:u w:val="single"/>
          </w:rPr>
          <w:t>www.nature.com/articles/s41467-025-59263-7</w:t>
        </w:r>
      </w:hyperlink>
    </w:p>
    <w:p>
      <w:pPr>
        <w:spacing w:after="100"/>
        <w:ind w:left="317" w:hanging="317"/>
        <w:jc w:val="left"/>
      </w:pPr>
      <w:r>
        <w:rPr>
          <w:rFonts w:ascii="PingFang SC" w:hAnsi="PingFang SC" w:eastAsia="PingFang SC" w:cs="PingFang SC"/>
          <w:color w:val="000000"/>
          <w:sz w:val="19"/>
        </w:rPr>
        <w:t xml:space="preserve">6. Global climate mode resonance due to rapidly intensifying ENSO. Nature Communications (2025). </w:t>
      </w:r>
      <w:hyperlink r:id="rId19">
        <w:r>
          <w:rPr>
            <w:color w:val="2E74B5"/>
            <w:u w:val="single"/>
          </w:rPr>
          <w:t>www.nature.com/articles/s41467-025-64619-0</w:t>
        </w:r>
      </w:hyperlink>
    </w:p>
    <w:p>
      <w:pPr>
        <w:spacing w:after="100"/>
        <w:ind w:left="317" w:hanging="317"/>
        <w:jc w:val="left"/>
      </w:pPr>
      <w:r>
        <w:rPr>
          <w:rFonts w:ascii="PingFang SC" w:hAnsi="PingFang SC" w:eastAsia="PingFang SC" w:cs="PingFang SC"/>
          <w:color w:val="000000"/>
          <w:sz w:val="19"/>
        </w:rPr>
        <w:t xml:space="preserve">7. Upper-ocean stratification changes control ENSO amplitude shift under sustained global warming. Nature Communications (2026). </w:t>
      </w:r>
      <w:hyperlink r:id="rId20">
        <w:r>
          <w:rPr>
            <w:color w:val="2E74B5"/>
            <w:u w:val="single"/>
          </w:rPr>
          <w:t>www.nature.com/articles/s41467-026-69931-x</w:t>
        </w:r>
      </w:hyperlink>
    </w:p>
    <w:p>
      <w:pPr>
        <w:pStyle w:val="Heading2"/>
        <w:keepNext/>
      </w:pPr>
      <w:r>
        <w:rPr>
          <w:rFonts w:ascii="PingFang SC" w:hAnsi="PingFang SC" w:eastAsia="PingFang SC" w:cs="PingFang SC"/>
          <w:b/>
          <w:color w:val="2E74B5"/>
          <w:sz w:val="26"/>
        </w:rPr>
        <w:t>复现说明</w:t>
      </w:r>
    </w:p>
    <w:p>
      <w:r>
        <w:rPr>
          <w:rFonts w:ascii="PingFang SC" w:hAnsi="PingFang SC" w:eastAsia="PingFang SC" w:cs="PingFang SC"/>
          <w:color w:val="000000"/>
          <w:sz w:val="22"/>
        </w:rPr>
        <w:t>下载、处理、回归、块自助法、绘图和报告生成均由仓库脚本驱动。原始CDS文件、bootstrap样本和中间NetCDF/NPZ不纳入Git；最终CSV、图件和本报告纳入版本控制。运行元数据记录基准期、区域、符号约定、随机种子和推断规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PingFang SC" w:hAnsi="PingFang SC" w:eastAsia="PingFang SC" w:cs="PingFang SC"/>
        <w:color w:val="5B6573"/>
        <w:sz w:val="17"/>
      </w:rPr>
      <w:t xml:space="preserve">Page </w:t>
    </w:r>
    <w:r>
      <w:rPr>
        <w:rFonts w:ascii="PingFang SC" w:hAnsi="PingFang SC" w:eastAsia="PingFang SC" w:cs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PingFang SC" w:hAnsi="PingFang SC" w:eastAsia="PingFang SC" w:cs="PingFang SC"/>
        <w:b/>
        <w:color w:val="5B6573"/>
        <w:sz w:val="17"/>
      </w:rPr>
      <w:t>2023/24 ENSO AIR-SEA COUPLING | MINIMAL CLOSURE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PingFang SC" w:hAnsi="PingFang SC" w:eastAsia="PingFang SC" w:cs="PingFang S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PingFang SC" w:hAnsi="PingFang SC" w:eastAsia="PingFang SC" w:cs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PingFang SC" w:hAnsi="PingFang SC" w:eastAsia="PingFang SC" w:cs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PingFang SC" w:hAnsi="PingFang SC" w:eastAsia="PingFang SC" w:cs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rFonts w:ascii="PingFang SC" w:hAnsi="PingFang SC" w:eastAsia="PingFang SC" w:cs="PingFang SC"/>
      <w:b w:val="0"/>
      <w:bCs/>
      <w:i/>
      <w:color w:val="5B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nature.com/articles/s41561-025-01700-9" TargetMode="External"/><Relationship Id="rId15" Type="http://schemas.openxmlformats.org/officeDocument/2006/relationships/hyperlink" Target="https://www.nature.com/articles/s41612-024-00890-0" TargetMode="External"/><Relationship Id="rId16" Type="http://schemas.openxmlformats.org/officeDocument/2006/relationships/hyperlink" Target="https://www.nature.com/articles/s41612-025-01013-z" TargetMode="External"/><Relationship Id="rId17" Type="http://schemas.openxmlformats.org/officeDocument/2006/relationships/hyperlink" Target="https://www.nature.com/articles/s43247-025-02584-8" TargetMode="External"/><Relationship Id="rId18" Type="http://schemas.openxmlformats.org/officeDocument/2006/relationships/hyperlink" Target="https://www.nature.com/articles/s41467-025-59263-7" TargetMode="External"/><Relationship Id="rId19" Type="http://schemas.openxmlformats.org/officeDocument/2006/relationships/hyperlink" Target="https://www.nature.com/articles/s41467-025-64619-0" TargetMode="External"/><Relationship Id="rId20" Type="http://schemas.openxmlformats.org/officeDocument/2006/relationships/hyperlink" Target="https://www.nature.com/articles/s41467-026-69931-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2023/24 厄尔尼诺海气耦合最小闭环</dc:title>
  <dc:subject>1982-2022基准下的逐环反馈实现率与海洋记忆分解</dc:subject>
  <dc:creator>ENSO Research Workflow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