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cs="Times New Roman"/>
          <w:b/>
          <w:i w:val="0"/>
          <w:sz w:val="40"/>
        </w:rPr>
        <w:t>Comparison of the 2015/16, 2023/24, and 2026 ENSO Development Phases</w:t>
      </w:r>
    </w:p>
    <w:p>
      <w:pPr>
        <w:spacing w:after="200"/>
        <w:jc w:val="center"/>
      </w:pPr>
      <w:r>
        <w:rPr>
          <w:rFonts w:ascii="Times New Roman" w:hAnsi="Times New Roman" w:eastAsia="Times New Roman" w:cs="Times New Roman"/>
          <w:b w:val="0"/>
          <w:i w:val="0"/>
          <w:sz w:val="21"/>
        </w:rPr>
        <w:t>January-June SST-Wind, Precipitation-Wind, and D20-Wind Diagnostics under a Unified Climatology and Detrending Framework</w:t>
      </w:r>
    </w:p>
    <w:p>
      <w:pPr>
        <w:pStyle w:val="Heading1"/>
        <w:keepNext/>
      </w:pPr>
      <w:r>
        <w:rPr>
          <w:rFonts w:ascii="Times New Roman" w:hAnsi="Times New Roman" w:eastAsia="Times New Roman" w:cs="Times New Roman"/>
          <w:b/>
          <w:i w:val="0"/>
          <w:sz w:val="30"/>
        </w:rPr>
        <w:t>Analytical Framework</w:t>
      </w:r>
    </w:p>
    <w:p>
      <w:pPr>
        <w:spacing w:after="100" w:line="264" w:lineRule="auto"/>
      </w:pPr>
      <w:r>
        <w:rPr>
          <w:rFonts w:ascii="Times New Roman" w:hAnsi="Times New Roman" w:eastAsia="Times New Roman" w:cs="Times New Roman"/>
          <w:b w:val="0"/>
          <w:i w:val="0"/>
          <w:sz w:val="21"/>
        </w:rPr>
        <w:t>This report examines the newly redrawn January-June panels for three developing ENSO events. SST is from NOAA OISST, 850 hPa winds and precipitation are from ERA5, and D20 is from ORAS5. Monthly anomalies are calculated relative to the corresponding calendar-month climatology and linearly detrended. ERA5 and ORAS5 use a common 1980-2014 baseline, whereas OISST uses 1982-2014 because the record begins in late 1981. The PMM-like EOF is trained independently over 1982-2025. The 2026 PMM values still use January-May data only, are projected onto the fixed EOF pattern, and are not used to diagnose the June atmospheric feedback.</w:t>
      </w:r>
    </w:p>
    <w:p>
      <w:pPr>
        <w:spacing w:after="100" w:line="264" w:lineRule="auto"/>
      </w:pPr>
      <w:r>
        <w:rPr>
          <w:rFonts w:ascii="Times New Roman" w:hAnsi="Times New Roman" w:eastAsia="Times New Roman" w:cs="Times New Roman"/>
          <w:b w:val="0"/>
          <w:i w:val="0"/>
          <w:sz w:val="21"/>
        </w:rPr>
        <w:t>The spatial comparison emphasizes central-Pacific, eastern-Pacific, and far-eastern-Pacific SST anomalies. The temporal comparison asks whether the warming center, low-level winds, precipitation, and D20 evolve together from January through June. Air-sea coupling is therefore assessed from the co-evolution of SST, u850, precipitation, and D20 in similar regions and months rather than from any single variable.</w:t>
      </w:r>
    </w:p>
    <w:p>
      <w:pPr>
        <w:pStyle w:val="Heading2"/>
        <w:keepNext/>
      </w:pPr>
      <w:r>
        <w:rPr>
          <w:rFonts w:ascii="Times New Roman" w:hAnsi="Times New Roman" w:eastAsia="Times New Roman" w:cs="Times New Roman"/>
          <w:b/>
          <w:i w:val="0"/>
          <w:sz w:val="26"/>
        </w:rPr>
        <w:t>Key Regional Metrics under the Unified Climatology</w:t>
      </w:r>
    </w:p>
    <w:p>
      <w:pPr>
        <w:spacing w:after="100" w:line="264" w:lineRule="auto"/>
      </w:pPr>
      <w:r>
        <w:rPr>
          <w:rFonts w:ascii="Times New Roman" w:hAnsi="Times New Roman" w:eastAsia="Times New Roman" w:cs="Times New Roman"/>
          <w:b w:val="0"/>
          <w:i w:val="0"/>
          <w:sz w:val="21"/>
        </w:rPr>
        <w:t>The table reports January-June means. SST is in deg C, u850 is in m/s, precipitation is in mm/day, and D20 is in m. Positive u850 denotes a westerly anomaly and negative u850 an easterly anomaly. Because the 10 m wind input has not been extended through June, the PMM values remain January-May means and are labeled separately.</w:t>
      </w:r>
    </w:p>
    <w:tbl>
      <w:tblPr>
        <w:tblStyle w:val="TableGrid"/>
        <w:tblW w:type="auto" w:w="0"/>
        <w:tblLayout w:type="fixed"/>
        <w:tblLook w:firstColumn="1" w:firstRow="1" w:lastColumn="0" w:lastRow="0" w:noHBand="0" w:noVBand="1" w:val="04A0"/>
      </w:tblPr>
      <w:tblGrid>
        <w:gridCol w:w="2469"/>
        <w:gridCol w:w="2469"/>
        <w:gridCol w:w="2469"/>
        <w:gridCol w:w="2469"/>
      </w:tblGrid>
      <w:tr>
        <w:trPr>
          <w:tblHeader w:val="true"/>
        </w:trP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Metric</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2015/16</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2023/24</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2026</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Niño3.4 SST</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0.99</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0.40</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0.71</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CP SST (180E-140W)</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1.12</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0.25</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0.70</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EP SST (140W-100W)</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0.89</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0.64</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0.80</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FEP SST (90W-80W)</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0.80</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1.33</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1.18</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CWP u850</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4.09</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0.63</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2.95</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CP precipitation</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1.34</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-0.28</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-0.68</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D20 west / central / east</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-14.9 / 14.6 / 26.4</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5.8 / 15.5 / 30.2</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-8.0 / 18.0 / 32.7</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PMM joint index (Jan-May)</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1.75</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-0.11</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1.31</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PMM SST-only index (Jan-May)</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1.49</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-1.15</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0.35</w:t>
            </w:r>
          </w:p>
        </w:tc>
      </w:tr>
    </w:tbl>
    <w:p>
      <w:pPr>
        <w:pStyle w:val="Heading2"/>
        <w:keepNext/>
      </w:pPr>
      <w:r>
        <w:rPr>
          <w:rFonts w:ascii="Times New Roman" w:hAnsi="Times New Roman" w:eastAsia="Times New Roman" w:cs="Times New Roman"/>
          <w:b/>
          <w:i w:val="0"/>
          <w:sz w:val="26"/>
        </w:rPr>
        <w:t>New Evidence from June 2026</w:t>
      </w:r>
    </w:p>
    <w:p>
      <w:pPr>
        <w:spacing w:after="100" w:line="264" w:lineRule="auto"/>
      </w:pPr>
      <w:r>
        <w:rPr>
          <w:rFonts w:ascii="Times New Roman" w:hAnsi="Times New Roman" w:eastAsia="Times New Roman" w:cs="Times New Roman"/>
          <w:b w:val="0"/>
          <w:i w:val="0"/>
          <w:sz w:val="21"/>
        </w:rPr>
        <w:t>June is the critical addition in this update because it tests whether the previously observed sequence of ocean warming, wind recovery, and delayed precipitation persisted. Under the same detrending and climatology framework, June 2026 exhibits strong central-eastern Pacific warming, pronounced equatorial westerlies, positive central-Pacific precipitation anomalies, and a clear shallow-west/deep-east thermocline structure.</w:t>
      </w:r>
    </w:p>
    <w:tbl>
      <w:tblPr>
        <w:tblStyle w:val="TableGrid"/>
        <w:tblW w:type="auto" w:w="0"/>
        <w:tblLayout w:type="fixed"/>
        <w:tblLook w:firstColumn="1" w:firstRow="1" w:lastColumn="0" w:lastRow="0" w:noHBand="0" w:noVBand="1" w:val="04A0"/>
      </w:tblPr>
      <w:tblGrid>
        <w:gridCol w:w="2469"/>
        <w:gridCol w:w="2469"/>
        <w:gridCol w:w="2469"/>
        <w:gridCol w:w="2469"/>
      </w:tblGrid>
      <w:tr>
        <w:trPr>
          <w:tblHeader w:val="true"/>
        </w:trP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June metric</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2015</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2023</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2026</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Niño3.4 SST</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1.07</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0.92</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1.54</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CP SST (180E-140W)</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1.21</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0.85</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1.63</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EP SST (140W-100W)</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1.20</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1.15</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1.62</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FEP SST (90W-80W)</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1.84</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2.29</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2.34</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CWP u850</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3.11</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1.19</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6.37</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CP precipitation</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4.24</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1.42</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2.40</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D20 west / central / east</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-21.2 / 4.7 / 37.0</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-2.7 / 17.5 / 39.1</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-12.1 / 11.5 / 46.6</w:t>
            </w:r>
          </w:p>
        </w:tc>
      </w:tr>
    </w:tbl>
    <w:p>
      <w:pPr>
        <w:pStyle w:val="Heading1"/>
        <w:keepNext/>
      </w:pPr>
      <w:r>
        <w:rPr>
          <w:rFonts w:ascii="Times New Roman" w:hAnsi="Times New Roman" w:eastAsia="Times New Roman" w:cs="Times New Roman"/>
          <w:b/>
          <w:i w:val="0"/>
          <w:sz w:val="30"/>
        </w:rPr>
        <w:t>Integrated Assessment</w:t>
      </w:r>
    </w:p>
    <w:p>
      <w:pPr>
        <w:spacing w:after="100" w:line="264" w:lineRule="auto"/>
      </w:pPr>
      <w:r>
        <w:rPr>
          <w:rFonts w:ascii="Times New Roman" w:hAnsi="Times New Roman" w:eastAsia="Times New Roman" w:cs="Times New Roman"/>
          <w:b w:val="0"/>
          <w:i w:val="0"/>
          <w:sz w:val="21"/>
        </w:rPr>
        <w:t>Under the unified climatology, 2026 is not merely a surface warming event confined to the eastern Pacific. In June, Niño3.4, CP, and EP SST anomalies reach approximately 1.54, 1.63, and 1.62 deg C, respectively; CWP u850 reaches about 6.37 m/s, and eastern-Pacific D20 deepens by about 46.6 m. SST, low-level westerlies, and thermocline adjustment therefore show a clear, mutually reinforcing evolution.</w:t>
      </w:r>
    </w:p>
    <w:p>
      <w:pPr>
        <w:spacing w:after="100" w:line="264" w:lineRule="auto"/>
      </w:pPr>
      <w:r>
        <w:rPr>
          <w:rFonts w:ascii="Times New Roman" w:hAnsi="Times New Roman" w:eastAsia="Times New Roman" w:cs="Times New Roman"/>
          <w:b w:val="0"/>
          <w:i w:val="0"/>
          <w:sz w:val="21"/>
        </w:rPr>
        <w:t>The primary difference among the three events remains the timing at which coupling becomes established. In 2015, westerlies, D20, SST, and central-Pacific precipitation strengthened together relatively early. The 2023 event began with pronounced far-eastern-Pacific warming and a weaker atmospheric response. The 2026 event instead underwent a staged transition: convection remained weak during January-April, began to recover in May, and central-Pacific precipitation reached about +2.40 mm/day in June. Thus, 2026 can no longer be described as persistently decoupled; it transitioned rapidly from early asynchrony to strong coupling.</w:t>
      </w:r>
    </w:p>
    <w:p>
      <w:pPr>
        <w:pStyle w:val="Heading1"/>
        <w:keepNext/>
      </w:pPr>
      <w:r>
        <w:rPr>
          <w:rFonts w:ascii="Times New Roman" w:hAnsi="Times New Roman" w:eastAsia="Times New Roman" w:cs="Times New Roman"/>
          <w:b/>
          <w:i w:val="0"/>
          <w:sz w:val="30"/>
        </w:rPr>
        <w:t>SST Anomalies and 850 hPa Winds: Spatial Evolution of Warming and Zonal Winds</w:t>
      </w:r>
    </w:p>
    <w:p>
      <w:pPr>
        <w:spacing w:after="100" w:line="264" w:lineRule="auto"/>
      </w:pPr>
      <w:r>
        <w:rPr>
          <w:rFonts w:ascii="Times New Roman" w:hAnsi="Times New Roman" w:eastAsia="Times New Roman" w:cs="Times New Roman"/>
          <w:b w:val="0"/>
          <w:i w:val="0"/>
          <w:sz w:val="21"/>
        </w:rPr>
        <w:t>The early-2015 signal was concentrated from the central to central-eastern Pacific and was accompanied by persistent westerly anomalies. In 2023, the warming center was initially displaced toward the far eastern Pacific and subsequently expanded westward. The 2026 event also showed early eastern-Pacific warming, but central-Pacific SST and westerlies became increasingly involved during April-May. By June, the warm anomaly extended across the central-eastern Pacific together with the strongest CWP/CP westerly anomalies, indicating that the Bjerknes positive feedback had become well established.</w:t>
      </w:r>
    </w:p>
    <w:p>
      <w:pPr>
        <w:keepNext/>
        <w:spacing w:after="40"/>
        <w:jc w:val="center"/>
      </w:pPr>
      <w:r>
        <w:drawing>
          <wp:inline xmlns:a="http://schemas.openxmlformats.org/drawingml/2006/main" xmlns:pic="http://schemas.openxmlformats.org/drawingml/2006/picture">
            <wp:extent cx="5806440" cy="2753282"/>
            <wp:docPr id="1" name="Picture 1"/>
            <wp:cNvGraphicFramePr>
              <a:graphicFrameLocks noChangeAspect="1"/>
            </wp:cNvGraphicFramePr>
            <a:graphic>
              <a:graphicData uri="http://schemas.openxmlformats.org/drawingml/2006/picture">
                <pic:pic>
                  <pic:nvPicPr>
                    <pic:cNvPr id="0" name="fig_2015_revised_ssta_u850_detrended_1980_2014.png"/>
                    <pic:cNvPicPr/>
                  </pic:nvPicPr>
                  <pic:blipFill>
                    <a:blip r:embed="rId9"/>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 2015/16 development year: monthly OISST SSTA with ERA5 850 hPa wind anomalies.</w:t>
      </w:r>
    </w:p>
    <w:p>
      <w:pPr>
        <w:keepNext/>
        <w:spacing w:after="40"/>
        <w:jc w:val="center"/>
      </w:pPr>
      <w:r>
        <w:drawing>
          <wp:inline xmlns:a="http://schemas.openxmlformats.org/drawingml/2006/main" xmlns:pic="http://schemas.openxmlformats.org/drawingml/2006/picture">
            <wp:extent cx="5806440" cy="2753282"/>
            <wp:docPr id="2" name="Picture 2"/>
            <wp:cNvGraphicFramePr>
              <a:graphicFrameLocks noChangeAspect="1"/>
            </wp:cNvGraphicFramePr>
            <a:graphic>
              <a:graphicData uri="http://schemas.openxmlformats.org/drawingml/2006/picture">
                <pic:pic>
                  <pic:nvPicPr>
                    <pic:cNvPr id="0" name="fig_2023_revised_ssta_u850_detrended_1980_2014.png"/>
                    <pic:cNvPicPr/>
                  </pic:nvPicPr>
                  <pic:blipFill>
                    <a:blip r:embed="rId10"/>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2. 2023/24 development year: monthly OISST SSTA with ERA5 850 hPa wind anomalies.</w:t>
      </w:r>
    </w:p>
    <w:p>
      <w:pPr>
        <w:keepNext/>
        <w:spacing w:after="40"/>
        <w:jc w:val="center"/>
      </w:pPr>
      <w:r>
        <w:drawing>
          <wp:inline xmlns:a="http://schemas.openxmlformats.org/drawingml/2006/main" xmlns:pic="http://schemas.openxmlformats.org/drawingml/2006/picture">
            <wp:extent cx="5806440" cy="2753282"/>
            <wp:docPr id="3" name="Picture 3"/>
            <wp:cNvGraphicFramePr>
              <a:graphicFrameLocks noChangeAspect="1"/>
            </wp:cNvGraphicFramePr>
            <a:graphic>
              <a:graphicData uri="http://schemas.openxmlformats.org/drawingml/2006/picture">
                <pic:pic>
                  <pic:nvPicPr>
                    <pic:cNvPr id="0" name="fig_2026_revised_ssta_u850_detrended_1980_2014.png"/>
                    <pic:cNvPicPr/>
                  </pic:nvPicPr>
                  <pic:blipFill>
                    <a:blip r:embed="rId11"/>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3. January-June 2026: monthly OISST SSTA with ERA5 850 hPa wind anomalies.</w:t>
      </w:r>
    </w:p>
    <w:p>
      <w:pPr>
        <w:pStyle w:val="Heading1"/>
        <w:keepNext/>
      </w:pPr>
      <w:r>
        <w:rPr>
          <w:rFonts w:ascii="Times New Roman" w:hAnsi="Times New Roman" w:eastAsia="Times New Roman" w:cs="Times New Roman"/>
          <w:b/>
          <w:i w:val="0"/>
          <w:sz w:val="30"/>
        </w:rPr>
        <w:t>Precipitation and 850 hPa Winds: Did the Atmospheric Response Catch Up?</w:t>
      </w:r>
    </w:p>
    <w:p>
      <w:pPr>
        <w:spacing w:after="100" w:line="264" w:lineRule="auto"/>
      </w:pPr>
      <w:r>
        <w:rPr>
          <w:rFonts w:ascii="Times New Roman" w:hAnsi="Times New Roman" w:eastAsia="Times New Roman" w:cs="Times New Roman"/>
          <w:b w:val="0"/>
          <w:i w:val="0"/>
          <w:sz w:val="21"/>
        </w:rPr>
        <w:t>The precipitation panels show that the central-Pacific convective response was earliest and most coherent in 2015. During the far-eastern-Pacific warming of 2023, central-Pacific precipitation remained comparatively weak, indicating delayed atmospheric coupling. In 2026, central-Pacific precipitation was still suppressed during January-April, recovered locally in May, and became clearly positive in June in the same region as strong westerlies and warm SST. Deep-convective feedback had therefore caught up by June rather than remaining in its springtime lagged state.</w:t>
      </w:r>
    </w:p>
    <w:p>
      <w:pPr>
        <w:keepNext/>
        <w:spacing w:after="40"/>
        <w:jc w:val="center"/>
      </w:pPr>
      <w:r>
        <w:drawing>
          <wp:inline xmlns:a="http://schemas.openxmlformats.org/drawingml/2006/main" xmlns:pic="http://schemas.openxmlformats.org/drawingml/2006/picture">
            <wp:extent cx="5806440" cy="2753282"/>
            <wp:docPr id="4" name="Picture 4"/>
            <wp:cNvGraphicFramePr>
              <a:graphicFrameLocks noChangeAspect="1"/>
            </wp:cNvGraphicFramePr>
            <a:graphic>
              <a:graphicData uri="http://schemas.openxmlformats.org/drawingml/2006/picture">
                <pic:pic>
                  <pic:nvPicPr>
                    <pic:cNvPr id="0" name="fig_2015_paperstyle_era5_precip_u850_strip_detrended_1980_2014.png"/>
                    <pic:cNvPicPr/>
                  </pic:nvPicPr>
                  <pic:blipFill>
                    <a:blip r:embed="rId12"/>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4. 2015/16 development year: ERA5 precipitation with ERA5 850 hPa wind anomalies.</w:t>
      </w:r>
    </w:p>
    <w:p>
      <w:pPr>
        <w:keepNext/>
        <w:spacing w:after="40"/>
        <w:jc w:val="center"/>
      </w:pPr>
      <w:r>
        <w:drawing>
          <wp:inline xmlns:a="http://schemas.openxmlformats.org/drawingml/2006/main" xmlns:pic="http://schemas.openxmlformats.org/drawingml/2006/picture">
            <wp:extent cx="5806440" cy="2753282"/>
            <wp:docPr id="5" name="Picture 5"/>
            <wp:cNvGraphicFramePr>
              <a:graphicFrameLocks noChangeAspect="1"/>
            </wp:cNvGraphicFramePr>
            <a:graphic>
              <a:graphicData uri="http://schemas.openxmlformats.org/drawingml/2006/picture">
                <pic:pic>
                  <pic:nvPicPr>
                    <pic:cNvPr id="0" name="fig_2023_paperstyle_era5_precip_u850_strip_detrended_1980_2014.png"/>
                    <pic:cNvPicPr/>
                  </pic:nvPicPr>
                  <pic:blipFill>
                    <a:blip r:embed="rId13"/>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5. 2023/24 development year: ERA5 precipitation with ERA5 850 hPa wind anomalies.</w:t>
      </w:r>
    </w:p>
    <w:p>
      <w:pPr>
        <w:keepNext/>
        <w:spacing w:after="40"/>
        <w:jc w:val="center"/>
      </w:pPr>
      <w:r>
        <w:drawing>
          <wp:inline xmlns:a="http://schemas.openxmlformats.org/drawingml/2006/main" xmlns:pic="http://schemas.openxmlformats.org/drawingml/2006/picture">
            <wp:extent cx="5806440" cy="2753282"/>
            <wp:docPr id="6" name="Picture 6"/>
            <wp:cNvGraphicFramePr>
              <a:graphicFrameLocks noChangeAspect="1"/>
            </wp:cNvGraphicFramePr>
            <a:graphic>
              <a:graphicData uri="http://schemas.openxmlformats.org/drawingml/2006/picture">
                <pic:pic>
                  <pic:nvPicPr>
                    <pic:cNvPr id="0" name="fig_2026_paperstyle_era5_precip_u850_strip_detrended_1980_2014.png"/>
                    <pic:cNvPicPr/>
                  </pic:nvPicPr>
                  <pic:blipFill>
                    <a:blip r:embed="rId14"/>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6. January-June 2026: ERA5 precipitation with ERA5 850 hPa wind anomalies.</w:t>
      </w:r>
    </w:p>
    <w:p>
      <w:pPr>
        <w:pStyle w:val="Heading1"/>
        <w:keepNext/>
      </w:pPr>
      <w:r>
        <w:rPr>
          <w:rFonts w:ascii="Times New Roman" w:hAnsi="Times New Roman" w:eastAsia="Times New Roman" w:cs="Times New Roman"/>
          <w:b/>
          <w:i w:val="0"/>
          <w:sz w:val="30"/>
        </w:rPr>
        <w:t>D20 and Equatorial u850: Subsurface Dynamical Structure</w:t>
      </w:r>
    </w:p>
    <w:p>
      <w:pPr>
        <w:spacing w:after="100" w:line="264" w:lineRule="auto"/>
      </w:pPr>
      <w:r>
        <w:rPr>
          <w:rFonts w:ascii="Times New Roman" w:hAnsi="Times New Roman" w:eastAsia="Times New Roman" w:cs="Times New Roman"/>
          <w:b w:val="0"/>
          <w:i w:val="0"/>
          <w:sz w:val="21"/>
        </w:rPr>
        <w:t>D20 provides the clearest evidence for the dynamical similarity between 2015 and 2026. In June, both events exhibited a shallower thermocline in the western Pacific and pronounced deepening in the central-eastern Pacific, consistent with an eastward displacement of warm water and an enhanced thermocline tilt. In June 2026, western D20 was about -12.1 m and eastern D20 about +46.6 m; western D20 in June 2023 was only about -2.7 m. The basin-scale dynamical adjustment in 2026 was therefore substantially closer to that of 2015.</w:t>
      </w:r>
    </w:p>
    <w:p>
      <w:pPr>
        <w:keepNext/>
        <w:spacing w:after="40"/>
        <w:jc w:val="center"/>
      </w:pPr>
      <w:r>
        <w:drawing>
          <wp:inline xmlns:a="http://schemas.openxmlformats.org/drawingml/2006/main" xmlns:pic="http://schemas.openxmlformats.org/drawingml/2006/picture">
            <wp:extent cx="5806440" cy="2686938"/>
            <wp:docPr id="7" name="Picture 7"/>
            <wp:cNvGraphicFramePr>
              <a:graphicFrameLocks noChangeAspect="1"/>
            </wp:cNvGraphicFramePr>
            <a:graphic>
              <a:graphicData uri="http://schemas.openxmlformats.org/drawingml/2006/picture">
                <pic:pic>
                  <pic:nvPicPr>
                    <pic:cNvPr id="0" name="fig_2015_revised_d20_u850_detrended_1980_2014.png"/>
                    <pic:cNvPicPr/>
                  </pic:nvPicPr>
                  <pic:blipFill>
                    <a:blip r:embed="rId15"/>
                    <a:stretch>
                      <a:fillRect/>
                    </a:stretch>
                  </pic:blipFill>
                  <pic:spPr>
                    <a:xfrm>
                      <a:off x="0" y="0"/>
                      <a:ext cx="5806440" cy="2686938"/>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7. 2015/16 development year: ORAS5 equatorial D20 anomalies with ERA5 equatorial u850.</w:t>
      </w:r>
    </w:p>
    <w:p>
      <w:pPr>
        <w:keepNext/>
        <w:spacing w:after="40"/>
        <w:jc w:val="center"/>
      </w:pPr>
      <w:r>
        <w:drawing>
          <wp:inline xmlns:a="http://schemas.openxmlformats.org/drawingml/2006/main" xmlns:pic="http://schemas.openxmlformats.org/drawingml/2006/picture">
            <wp:extent cx="5806440" cy="2686938"/>
            <wp:docPr id="8" name="Picture 8"/>
            <wp:cNvGraphicFramePr>
              <a:graphicFrameLocks noChangeAspect="1"/>
            </wp:cNvGraphicFramePr>
            <a:graphic>
              <a:graphicData uri="http://schemas.openxmlformats.org/drawingml/2006/picture">
                <pic:pic>
                  <pic:nvPicPr>
                    <pic:cNvPr id="0" name="fig_2023_revised_d20_u850_detrended_1980_2014.png"/>
                    <pic:cNvPicPr/>
                  </pic:nvPicPr>
                  <pic:blipFill>
                    <a:blip r:embed="rId16"/>
                    <a:stretch>
                      <a:fillRect/>
                    </a:stretch>
                  </pic:blipFill>
                  <pic:spPr>
                    <a:xfrm>
                      <a:off x="0" y="0"/>
                      <a:ext cx="5806440" cy="2686938"/>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8. 2023/24 development year: ORAS5 equatorial D20 anomalies with ERA5 equatorial u850.</w:t>
      </w:r>
    </w:p>
    <w:p>
      <w:pPr>
        <w:keepNext/>
        <w:spacing w:after="40"/>
        <w:jc w:val="center"/>
      </w:pPr>
      <w:r>
        <w:drawing>
          <wp:inline xmlns:a="http://schemas.openxmlformats.org/drawingml/2006/main" xmlns:pic="http://schemas.openxmlformats.org/drawingml/2006/picture">
            <wp:extent cx="5806440" cy="2686938"/>
            <wp:docPr id="9" name="Picture 9"/>
            <wp:cNvGraphicFramePr>
              <a:graphicFrameLocks noChangeAspect="1"/>
            </wp:cNvGraphicFramePr>
            <a:graphic>
              <a:graphicData uri="http://schemas.openxmlformats.org/drawingml/2006/picture">
                <pic:pic>
                  <pic:nvPicPr>
                    <pic:cNvPr id="0" name="fig_2026_revised_d20_u850_detrended_1980_2014.png"/>
                    <pic:cNvPicPr/>
                  </pic:nvPicPr>
                  <pic:blipFill>
                    <a:blip r:embed="rId17"/>
                    <a:stretch>
                      <a:fillRect/>
                    </a:stretch>
                  </pic:blipFill>
                  <pic:spPr>
                    <a:xfrm>
                      <a:off x="0" y="0"/>
                      <a:ext cx="5806440" cy="2686938"/>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9. January-June 2026: ORAS5 equatorial D20 anomalies with ERA5 equatorial u850.</w:t>
      </w:r>
    </w:p>
    <w:p>
      <w:pPr>
        <w:pStyle w:val="Heading1"/>
        <w:keepNext/>
      </w:pPr>
      <w:r>
        <w:rPr>
          <w:rFonts w:ascii="Times New Roman" w:hAnsi="Times New Roman" w:eastAsia="Times New Roman" w:cs="Times New Roman"/>
          <w:b/>
          <w:i w:val="0"/>
          <w:sz w:val="30"/>
        </w:rPr>
        <w:t>PMM: Did the Subtropical North Pacific Background Contribute?</w:t>
      </w:r>
    </w:p>
    <w:p>
      <w:pPr>
        <w:spacing w:after="100" w:line="264" w:lineRule="auto"/>
      </w:pPr>
      <w:r>
        <w:rPr>
          <w:rFonts w:ascii="Times New Roman" w:hAnsi="Times New Roman" w:eastAsia="Times New Roman" w:cs="Times New Roman"/>
          <w:b w:val="0"/>
          <w:i w:val="0"/>
          <w:sz w:val="21"/>
        </w:rPr>
        <w:t>The PMM-like EOF represents the leading coupled mode of subtropical North Pacific SST and near-surface winds after removing the linear influence of Niño3.4. Its positive phase corresponds to northeastern-Pacific warming, weakened trade winds, and reduced evaporative cooling. The joint SST-plus-wind PMM index was clearly positive during January-May in both 2015 and 2026, but weak or negative in 2023, suggesting that the subtropical background in 2026 more closely resembled 2015. Because the 10 m wind input has not been extended through June, this section is treated only as preconditioning context and is not used to determine whether the June feedback loop closed.</w:t>
      </w:r>
    </w:p>
    <w:p>
      <w:pPr>
        <w:keepNext/>
        <w:spacing w:after="40"/>
        <w:jc w:val="center"/>
      </w:pPr>
      <w:r>
        <w:drawing>
          <wp:inline xmlns:a="http://schemas.openxmlformats.org/drawingml/2006/main" xmlns:pic="http://schemas.openxmlformats.org/drawingml/2006/picture">
            <wp:extent cx="5806440" cy="2182521"/>
            <wp:docPr id="10" name="Picture 10"/>
            <wp:cNvGraphicFramePr>
              <a:graphicFrameLocks noChangeAspect="1"/>
            </wp:cNvGraphicFramePr>
            <a:graphic>
              <a:graphicData uri="http://schemas.openxmlformats.org/drawingml/2006/picture">
                <pic:pic>
                  <pic:nvPicPr>
                    <pic:cNvPr id="0" name="fig_pmm_like_eof_patterns_and_index.png"/>
                    <pic:cNvPicPr/>
                  </pic:nvPicPr>
                  <pic:blipFill>
                    <a:blip r:embed="rId18"/>
                    <a:stretch>
                      <a:fillRect/>
                    </a:stretch>
                  </pic:blipFill>
                  <pic:spPr>
                    <a:xfrm>
                      <a:off x="0" y="0"/>
                      <a:ext cx="5806440" cy="2182521"/>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10. PMM-like EOF diagnostics from OISST SST and ERA5 10 m wind. EOF training period: 1982-2025.</w:t>
      </w:r>
    </w:p>
    <w:p>
      <w:pPr>
        <w:keepNext/>
        <w:spacing w:after="40"/>
        <w:jc w:val="center"/>
      </w:pPr>
      <w:r>
        <w:drawing>
          <wp:inline xmlns:a="http://schemas.openxmlformats.org/drawingml/2006/main" xmlns:pic="http://schemas.openxmlformats.org/drawingml/2006/picture">
            <wp:extent cx="5806440" cy="2599741"/>
            <wp:docPr id="11" name="Picture 11"/>
            <wp:cNvGraphicFramePr>
              <a:graphicFrameLocks noChangeAspect="1"/>
            </wp:cNvGraphicFramePr>
            <a:graphic>
              <a:graphicData uri="http://schemas.openxmlformats.org/drawingml/2006/picture">
                <pic:pic>
                  <pic:nvPicPr>
                    <pic:cNvPr id="0" name="fig_pmm_like_index_2026_jan_may.png"/>
                    <pic:cNvPicPr/>
                  </pic:nvPicPr>
                  <pic:blipFill>
                    <a:blip r:embed="rId19"/>
                    <a:stretch>
                      <a:fillRect/>
                    </a:stretch>
                  </pic:blipFill>
                  <pic:spPr>
                    <a:xfrm>
                      <a:off x="0" y="0"/>
                      <a:ext cx="5806440" cy="2599741"/>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11. 2026 January-May PMM-like joint SST+wind and SST-only indices.</w:t>
      </w:r>
    </w:p>
    <w:p>
      <w:pPr>
        <w:pStyle w:val="Heading1"/>
        <w:keepNext/>
      </w:pPr>
      <w:r>
        <w:rPr>
          <w:rFonts w:ascii="Times New Roman" w:hAnsi="Times New Roman" w:eastAsia="Times New Roman" w:cs="Times New Roman"/>
          <w:b/>
          <w:i w:val="0"/>
          <w:sz w:val="30"/>
        </w:rPr>
        <w:t>Ordinary El Niño Benchmark: Was 2023/24 Weak Even for Its SST Forcing?</w:t>
      </w:r>
    </w:p>
    <w:p>
      <w:pPr>
        <w:spacing w:after="100" w:line="264" w:lineRule="auto"/>
      </w:pPr>
      <w:r>
        <w:rPr>
          <w:rFonts w:ascii="Times New Roman" w:hAnsi="Times New Roman" w:eastAsia="Times New Roman" w:cs="Times New Roman"/>
          <w:b w:val="0"/>
          <w:i w:val="0"/>
          <w:sz w:val="21"/>
        </w:rPr>
        <w:t>The ordinary-El Niño comparison serves two distinct purposes. First, the equal-event composite provides the spatial background of non-extreme events at the same calendar stage. Second, a Peng et al. (2025)-style historical regression controls SST amplitude by comparing the observed atmosphere with the calendar-month response expected from Niño3 SST. The former asks where ordinary events usually progress by a given month; only the latter directly tests whether the atmosphere under-responded to the SST forcing. They are deliberately not collapsed into a new index.</w:t>
      </w:r>
    </w:p>
    <w:p>
      <w:pPr>
        <w:pStyle w:val="Heading2"/>
        <w:keepNext/>
      </w:pPr>
      <w:r>
        <w:rPr>
          <w:rFonts w:ascii="Times New Roman" w:hAnsi="Times New Roman" w:eastAsia="Times New Roman" w:cs="Times New Roman"/>
          <w:b/>
          <w:i w:val="0"/>
          <w:sz w:val="26"/>
        </w:rPr>
        <w:t>Ordinary Non-Extreme El Niño Event List</w:t>
      </w:r>
    </w:p>
    <w:tbl>
      <w:tblPr>
        <w:tblStyle w:val="TableGrid"/>
        <w:tblW w:type="auto" w:w="0"/>
        <w:tblLayout w:type="fixed"/>
        <w:tblLook w:firstColumn="1" w:firstRow="1" w:lastColumn="0" w:lastRow="0" w:noHBand="0" w:noVBand="1" w:val="04A0"/>
      </w:tblPr>
      <w:tblGrid>
        <w:gridCol w:w="2469"/>
        <w:gridCol w:w="2469"/>
        <w:gridCol w:w="2469"/>
        <w:gridCol w:w="2469"/>
      </w:tblGrid>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Developing event</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Peak ONI</w:t>
            </w:r>
          </w:p>
        </w:tc>
        <w:tc>
          <w:tcPr>
            <w:tcW w:type="dxa" w:w="252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Peak season</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EP/CP</w:t>
            </w:r>
          </w:p>
        </w:tc>
      </w:tr>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1986/87</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1.70</w:t>
            </w:r>
          </w:p>
        </w:tc>
        <w:tc>
          <w:tcPr>
            <w:tcW w:type="dxa" w:w="252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JAS 1987</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EP</w:t>
            </w:r>
          </w:p>
        </w:tc>
      </w:tr>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1991/92</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1.71</w:t>
            </w:r>
          </w:p>
        </w:tc>
        <w:tc>
          <w:tcPr>
            <w:tcW w:type="dxa" w:w="252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DJF 1992</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EP</w:t>
            </w:r>
          </w:p>
        </w:tc>
      </w:tr>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1994/95</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1.09</w:t>
            </w:r>
          </w:p>
        </w:tc>
        <w:tc>
          <w:tcPr>
            <w:tcW w:type="dxa" w:w="252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NDJ 1994</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CP</w:t>
            </w:r>
          </w:p>
        </w:tc>
      </w:tr>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2002/03</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1.31</w:t>
            </w:r>
          </w:p>
        </w:tc>
        <w:tc>
          <w:tcPr>
            <w:tcW w:type="dxa" w:w="252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OND 2002</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CP</w:t>
            </w:r>
          </w:p>
        </w:tc>
      </w:tr>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2004/05</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0.70</w:t>
            </w:r>
          </w:p>
        </w:tc>
        <w:tc>
          <w:tcPr>
            <w:tcW w:type="dxa" w:w="252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ASO 2004</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CP</w:t>
            </w:r>
          </w:p>
        </w:tc>
      </w:tr>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2006/07</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0.94</w:t>
            </w:r>
          </w:p>
        </w:tc>
        <w:tc>
          <w:tcPr>
            <w:tcW w:type="dxa" w:w="252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OND 2006</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EP</w:t>
            </w:r>
          </w:p>
        </w:tc>
      </w:tr>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2009/10</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1.56</w:t>
            </w:r>
          </w:p>
        </w:tc>
        <w:tc>
          <w:tcPr>
            <w:tcW w:type="dxa" w:w="252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NDJ 2009</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CP</w:t>
            </w:r>
          </w:p>
        </w:tc>
      </w:tr>
    </w:tbl>
    <w:p>
      <w:pPr>
        <w:spacing w:after="100" w:line="264" w:lineRule="auto"/>
      </w:pPr>
      <w:r>
        <w:rPr>
          <w:rFonts w:ascii="Times New Roman" w:hAnsi="Times New Roman" w:eastAsia="Times New Roman" w:cs="Times New Roman"/>
          <w:b w:val="0"/>
          <w:i w:val="0"/>
          <w:sz w:val="18"/>
        </w:rPr>
        <w:t>Events are identified automatically from NOAA ERSSTv5 ONI: ONI &gt;= 0.5 deg C for at least five consecutive overlapping seasons, a developing year within 1982-2014, and peak ONI &lt; 2.0 deg C. The 1982/83, 1997/98, 2015/16, 2023/24, and 2026 cases are excluded. Composite uncertainty uses 10,000 event-resampling bootstrap replicates. EP/CP types use the published Cold Tongue/Warm Pool categories in Beniche et al. (2024), Supplementary Fig. S4.</w:t>
      </w:r>
    </w:p>
    <w:p>
      <w:pPr>
        <w:spacing w:after="100" w:line="264" w:lineRule="auto"/>
      </w:pPr>
      <w:r>
        <w:rPr>
          <w:rFonts w:ascii="Times New Roman" w:hAnsi="Times New Roman" w:eastAsia="Times New Roman" w:cs="Times New Roman"/>
          <w:b w:val="0"/>
          <w:i w:val="0"/>
          <w:sz w:val="21"/>
        </w:rPr>
        <w:t>The January-June composite Niño3 SST of the seven ordinary events is about -0.06 deg C because many ordinary events do not enter their growth phase until late spring or early summer. The raw composite is therefore a calendar-stage benchmark, not a same-amplitude counterfactual for 2023/24. Figures 12-14 show its SST-wind, precipitation-wind, and D20-wind evolution. All wind maps use a common vector scale, with a separate white-backed, unit-labeled key in the lower-right corner of every panel.</w:t>
      </w:r>
    </w:p>
    <w:p>
      <w:pPr>
        <w:keepNext/>
        <w:spacing w:after="40"/>
        <w:jc w:val="center"/>
      </w:pPr>
      <w:r>
        <w:drawing>
          <wp:inline xmlns:a="http://schemas.openxmlformats.org/drawingml/2006/main" xmlns:pic="http://schemas.openxmlformats.org/drawingml/2006/picture">
            <wp:extent cx="5806440" cy="2543252"/>
            <wp:docPr id="12" name="Picture 12"/>
            <wp:cNvGraphicFramePr>
              <a:graphicFrameLocks noChangeAspect="1"/>
            </wp:cNvGraphicFramePr>
            <a:graphic>
              <a:graphicData uri="http://schemas.openxmlformats.org/drawingml/2006/picture">
                <pic:pic>
                  <pic:nvPicPr>
                    <pic:cNvPr id="0" name="fig_ordinary_el_nino_composite_ssta_u850_detrended_1980_2014.png"/>
                    <pic:cNvPicPr/>
                  </pic:nvPicPr>
                  <pic:blipFill>
                    <a:blip r:embed="rId20"/>
                    <a:stretch>
                      <a:fillRect/>
                    </a:stretch>
                  </pic:blipFill>
                  <pic:spPr>
                    <a:xfrm>
                      <a:off x="0" y="0"/>
                      <a:ext cx="5806440" cy="254325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12. Ordinary non-extreme El Niño composite: January-June OISST SSTA and ERA5 850 hPa wind anomalies (n=7).</w:t>
      </w:r>
    </w:p>
    <w:p>
      <w:pPr>
        <w:keepNext/>
        <w:spacing w:after="40"/>
        <w:jc w:val="center"/>
      </w:pPr>
      <w:r>
        <w:drawing>
          <wp:inline xmlns:a="http://schemas.openxmlformats.org/drawingml/2006/main" xmlns:pic="http://schemas.openxmlformats.org/drawingml/2006/picture">
            <wp:extent cx="5806440" cy="2721115"/>
            <wp:docPr id="13" name="Picture 13"/>
            <wp:cNvGraphicFramePr>
              <a:graphicFrameLocks noChangeAspect="1"/>
            </wp:cNvGraphicFramePr>
            <a:graphic>
              <a:graphicData uri="http://schemas.openxmlformats.org/drawingml/2006/picture">
                <pic:pic>
                  <pic:nvPicPr>
                    <pic:cNvPr id="0" name="fig_ordinary_el_nino_composite_precip_u850_detrended_1980_2014.png"/>
                    <pic:cNvPicPr/>
                  </pic:nvPicPr>
                  <pic:blipFill>
                    <a:blip r:embed="rId21"/>
                    <a:stretch>
                      <a:fillRect/>
                    </a:stretch>
                  </pic:blipFill>
                  <pic:spPr>
                    <a:xfrm>
                      <a:off x="0" y="0"/>
                      <a:ext cx="5806440" cy="2721115"/>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13. Ordinary non-extreme El Niño composite: January-June ERA5 precipitation and 850 hPa wind anomalies (n=7).</w:t>
      </w:r>
    </w:p>
    <w:p>
      <w:pPr>
        <w:keepNext/>
        <w:spacing w:after="40"/>
        <w:jc w:val="center"/>
      </w:pPr>
      <w:r>
        <w:drawing>
          <wp:inline xmlns:a="http://schemas.openxmlformats.org/drawingml/2006/main" xmlns:pic="http://schemas.openxmlformats.org/drawingml/2006/picture">
            <wp:extent cx="5806440" cy="2669191"/>
            <wp:docPr id="14" name="Picture 14"/>
            <wp:cNvGraphicFramePr>
              <a:graphicFrameLocks noChangeAspect="1"/>
            </wp:cNvGraphicFramePr>
            <a:graphic>
              <a:graphicData uri="http://schemas.openxmlformats.org/drawingml/2006/picture">
                <pic:pic>
                  <pic:nvPicPr>
                    <pic:cNvPr id="0" name="fig_ordinary_el_nino_composite_d20_u850_detrended_1980_2014.png"/>
                    <pic:cNvPicPr/>
                  </pic:nvPicPr>
                  <pic:blipFill>
                    <a:blip r:embed="rId22"/>
                    <a:stretch>
                      <a:fillRect/>
                    </a:stretch>
                  </pic:blipFill>
                  <pic:spPr>
                    <a:xfrm>
                      <a:off x="0" y="0"/>
                      <a:ext cx="5806440" cy="2669191"/>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14. Ordinary non-extreme El Niño composite: January-June ORAS5 equatorial D20 anomalies and ERA5 u850 (n=7).</w:t>
      </w:r>
    </w:p>
    <w:p>
      <w:pPr>
        <w:spacing w:after="100" w:line="264" w:lineRule="auto"/>
      </w:pPr>
      <w:r>
        <w:rPr>
          <w:rFonts w:ascii="Times New Roman" w:hAnsi="Times New Roman" w:eastAsia="Times New Roman" w:cs="Times New Roman"/>
          <w:b w:val="0"/>
          <w:i w:val="0"/>
          <w:sz w:val="21"/>
        </w:rPr>
        <w:t>In the 2023-minus-ordinary fields, eastern-Pacific surface and subsurface warming remains pronounced, whereas western-central Pacific low-level winds and central-Pacific precipitation do not strengthen proportionally. This is a spatial residual pattern of a strong ocean signal with limited atmospheric follow-through. Because onset timing varies among ordinary events, Figure 15 is used to locate the response gap rather than to provide amplitude control.</w:t>
      </w:r>
    </w:p>
    <w:p>
      <w:pPr>
        <w:keepNext/>
        <w:spacing w:after="40"/>
        <w:jc w:val="center"/>
      </w:pPr>
      <w:r>
        <w:drawing>
          <wp:inline xmlns:a="http://schemas.openxmlformats.org/drawingml/2006/main" xmlns:pic="http://schemas.openxmlformats.org/drawingml/2006/picture">
            <wp:extent cx="5806440" cy="3457320"/>
            <wp:docPr id="15" name="Picture 15"/>
            <wp:cNvGraphicFramePr>
              <a:graphicFrameLocks noChangeAspect="1"/>
            </wp:cNvGraphicFramePr>
            <a:graphic>
              <a:graphicData uri="http://schemas.openxmlformats.org/drawingml/2006/picture">
                <pic:pic>
                  <pic:nvPicPr>
                    <pic:cNvPr id="0" name="fig_2023_minus_ordinary_el_nino_hovmoller_detrended_1980_2014.png"/>
                    <pic:cNvPicPr/>
                  </pic:nvPicPr>
                  <pic:blipFill>
                    <a:blip r:embed="rId23"/>
                    <a:stretch>
                      <a:fillRect/>
                    </a:stretch>
                  </pic:blipFill>
                  <pic:spPr>
                    <a:xfrm>
                      <a:off x="0" y="0"/>
                      <a:ext cx="5806440" cy="3457320"/>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15. January-June 2023 minus the ordinary non-extreme El Niño composite: SST, precipitation/u850, and equatorial D20/u850 differences.</w:t>
      </w:r>
    </w:p>
    <w:p>
      <w:pPr>
        <w:pStyle w:val="Heading2"/>
        <w:keepNext/>
      </w:pPr>
      <w:r>
        <w:rPr>
          <w:rFonts w:ascii="Times New Roman" w:hAnsi="Times New Roman" w:eastAsia="Times New Roman" w:cs="Times New Roman"/>
          <w:b/>
          <w:i w:val="0"/>
          <w:sz w:val="26"/>
        </w:rPr>
        <w:t>Observed versus Historical SST-Conditioned Response</w:t>
      </w:r>
    </w:p>
    <w:tbl>
      <w:tblPr>
        <w:tblStyle w:val="TableGrid"/>
        <w:tblW w:type="auto" w:w="0"/>
        <w:tblLayout w:type="fixed"/>
        <w:tblLook w:firstColumn="1" w:firstRow="1" w:lastColumn="0" w:lastRow="0" w:noHBand="0" w:noVBand="1" w:val="04A0"/>
      </w:tblPr>
      <w:tblGrid>
        <w:gridCol w:w="2469"/>
        <w:gridCol w:w="2469"/>
        <w:gridCol w:w="2469"/>
        <w:gridCol w:w="2469"/>
      </w:tblGrid>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Response (Jan-Jun mean)</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2015/16</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2023/24</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2026 state</w:t>
            </w:r>
          </w:p>
        </w:tc>
      </w:tr>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CWP u850 (m/s)</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+4.09 / +2.00 (+2.10)</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+0.63 / +1.49 (-0.86)</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+2.95 / +1.76 (+1.19)</w:t>
            </w:r>
          </w:p>
        </w:tc>
      </w:tr>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CP precipitation (mm/day)</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+1.34 / +2.20 (-0.85)</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-0.28 / +1.60 (-1.88)</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-0.68 / +1.90 (-2.58)</w:t>
            </w:r>
          </w:p>
        </w:tc>
      </w:tr>
    </w:tbl>
    <w:p>
      <w:pPr>
        <w:spacing w:after="100" w:line="264" w:lineRule="auto"/>
      </w:pPr>
      <w:r>
        <w:rPr>
          <w:rFonts w:ascii="Times New Roman" w:hAnsi="Times New Roman" w:eastAsia="Times New Roman" w:cs="Times New Roman"/>
          <w:b w:val="0"/>
          <w:i w:val="0"/>
          <w:sz w:val="18"/>
        </w:rPr>
        <w:t>Each cell gives observed / SST-conditioned historical expectation (residual). Expectations are calendar-month regressions on Niño3 SST fitted over 1982-2014; 2015, 2023, and 2026 are excluded. The January-June 2023 residual is -0.86 m/s for CWP u850 and -1.88 mm/day for CP precipitation. Its weak atmospheric response is therefore not merely weak relative to a super El Niño; it is weak for the contemporaneous SST forcing.</w:t>
      </w:r>
    </w:p>
    <w:p>
      <w:pPr>
        <w:keepNext/>
        <w:spacing w:after="40"/>
        <w:jc w:val="center"/>
      </w:pPr>
      <w:r>
        <w:drawing>
          <wp:inline xmlns:a="http://schemas.openxmlformats.org/drawingml/2006/main" xmlns:pic="http://schemas.openxmlformats.org/drawingml/2006/picture">
            <wp:extent cx="5806440" cy="2712149"/>
            <wp:docPr id="16" name="Picture 16"/>
            <wp:cNvGraphicFramePr>
              <a:graphicFrameLocks noChangeAspect="1"/>
            </wp:cNvGraphicFramePr>
            <a:graphic>
              <a:graphicData uri="http://schemas.openxmlformats.org/drawingml/2006/picture">
                <pic:pic>
                  <pic:nvPicPr>
                    <pic:cNvPr id="0" name="fig_targets_observed_expected_atmospheric_response_1982_2014.png"/>
                    <pic:cNvPicPr/>
                  </pic:nvPicPr>
                  <pic:blipFill>
                    <a:blip r:embed="rId24"/>
                    <a:stretch>
                      <a:fillRect/>
                    </a:stretch>
                  </pic:blipFill>
                  <pic:spPr>
                    <a:xfrm>
                      <a:off x="0" y="0"/>
                      <a:ext cx="5806440" cy="2712149"/>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16. Observed and SST-conditioned historical atmospheric responses in 2015, 2023, and the 2026 developing state. Calendar-month regressions are fitted over 1982-2014.</w:t>
      </w:r>
    </w:p>
    <w:p>
      <w:pPr>
        <w:pStyle w:val="Heading2"/>
        <w:keepNext/>
      </w:pPr>
      <w:r>
        <w:rPr>
          <w:rFonts w:ascii="Times New Roman" w:hAnsi="Times New Roman" w:eastAsia="Times New Roman" w:cs="Times New Roman"/>
          <w:b/>
          <w:i w:val="0"/>
          <w:sz w:val="26"/>
        </w:rPr>
        <w:t>EP/CP Robustness Check</w:t>
      </w:r>
    </w:p>
    <w:p>
      <w:pPr>
        <w:spacing w:after="100" w:line="264" w:lineRule="auto"/>
      </w:pPr>
      <w:r>
        <w:rPr>
          <w:rFonts w:ascii="Times New Roman" w:hAnsi="Times New Roman" w:eastAsia="Times New Roman" w:cs="Times New Roman"/>
          <w:b w:val="0"/>
          <w:i w:val="0"/>
          <w:sz w:val="21"/>
        </w:rPr>
        <w:t>Using published event categories, the EP subset contains 1986, 1991, and 2006 (n=3), whereas the CP subset contains 1994, 2002, 2004, and 2009 (n=4). Their precipitation-wind patterns differ, confirming that a pooled composite can blur response-center differences. The samples are too small for a new primary conclusion, so this remains a qualitative sensitivity test. Yan et al. (2025) supplies the physical motivation for distinct EP/CP rainfall responses; discrete event assignments follow Beniche et al. (2024).</w:t>
      </w:r>
    </w:p>
    <w:p>
      <w:pPr>
        <w:keepNext/>
        <w:spacing w:after="40"/>
        <w:jc w:val="center"/>
      </w:pPr>
      <w:r>
        <w:drawing>
          <wp:inline xmlns:a="http://schemas.openxmlformats.org/drawingml/2006/main" xmlns:pic="http://schemas.openxmlformats.org/drawingml/2006/picture">
            <wp:extent cx="5806440" cy="2561470"/>
            <wp:docPr id="17" name="Picture 17"/>
            <wp:cNvGraphicFramePr>
              <a:graphicFrameLocks noChangeAspect="1"/>
            </wp:cNvGraphicFramePr>
            <a:graphic>
              <a:graphicData uri="http://schemas.openxmlformats.org/drawingml/2006/picture">
                <pic:pic>
                  <pic:nvPicPr>
                    <pic:cNvPr id="0" name="fig_ordinary_el_nino_ep_cp_sensitivity_precip_u850.png"/>
                    <pic:cNvPicPr/>
                  </pic:nvPicPr>
                  <pic:blipFill>
                    <a:blip r:embed="rId25"/>
                    <a:stretch>
                      <a:fillRect/>
                    </a:stretch>
                  </pic:blipFill>
                  <pic:spPr>
                    <a:xfrm>
                      <a:off x="0" y="0"/>
                      <a:ext cx="5806440" cy="2561470"/>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17. EP and CP sensitivity of January-June precipitation and u850 within the ordinary-event sample; qualitative because n=3 and n=4.</w:t>
      </w:r>
    </w:p>
    <w:p>
      <w:pPr>
        <w:pStyle w:val="Heading1"/>
        <w:keepNext/>
      </w:pPr>
      <w:r>
        <w:rPr>
          <w:rFonts w:ascii="Times New Roman" w:hAnsi="Times New Roman" w:eastAsia="Times New Roman" w:cs="Times New Roman"/>
          <w:b/>
          <w:i w:val="0"/>
          <w:sz w:val="30"/>
        </w:rPr>
        <w:t>Similarities and Differences among the Three Events</w:t>
      </w:r>
    </w:p>
    <w:p>
      <w:pPr>
        <w:spacing w:after="100" w:line="264" w:lineRule="auto"/>
      </w:pPr>
      <w:r>
        <w:rPr>
          <w:rFonts w:ascii="Times New Roman" w:hAnsi="Times New Roman" w:eastAsia="Times New Roman" w:cs="Times New Roman"/>
          <w:b w:val="0"/>
          <w:i w:val="0"/>
          <w:sz w:val="21"/>
        </w:rPr>
        <w:t>The 2015/16 event is the clearest example of strong coupling during development. Central and central-eastern Pacific SST anomalies became positive relatively early, westerly anomalies were strong, central-Pacific precipitation turned positive early, and D20 showed a clear shallow-west/deep-east structure. Ocean dynamics, low-level winds, and convection strengthened in a coordinated manner.</w:t>
      </w:r>
    </w:p>
    <w:p>
      <w:pPr>
        <w:spacing w:after="100" w:line="264" w:lineRule="auto"/>
      </w:pPr>
      <w:r>
        <w:rPr>
          <w:rFonts w:ascii="Times New Roman" w:hAnsi="Times New Roman" w:eastAsia="Times New Roman" w:cs="Times New Roman"/>
          <w:b w:val="0"/>
          <w:i w:val="0"/>
          <w:sz w:val="21"/>
        </w:rPr>
        <w:t>The 2023/24 development phase was more strongly led by the far eastern Pacific. FEP SST was relatively the most prominent of the three events, while CP SST and PMM support were weaker and the precipitation and low-level-wind responses to SST were less synchronous than in 2015. It therefore resembled an eastern-initiation event that subsequently connected westward.</w:t>
      </w:r>
    </w:p>
    <w:p>
      <w:pPr>
        <w:spacing w:after="100" w:line="264" w:lineRule="auto"/>
      </w:pPr>
      <w:r>
        <w:rPr>
          <w:rFonts w:ascii="Times New Roman" w:hAnsi="Times New Roman" w:eastAsia="Times New Roman" w:cs="Times New Roman"/>
          <w:b w:val="0"/>
          <w:i w:val="0"/>
          <w:sz w:val="21"/>
        </w:rPr>
        <w:t>The 2026 event shows a distinct staged transition. During January-April, eastern-Pacific SST still led while convection lagged. By June, however, CP/EP warming, strong westerlies, positive precipitation anomalies, and the shallow-west/deep-east D20 structure appeared together, shifting the event toward a 2015-like strong-coupling framework. It is not a simple repetition of 2015, but the evidence through June no longer supports persistent air-sea decoupling.</w:t>
      </w:r>
    </w:p>
    <w:p>
      <w:pPr>
        <w:pStyle w:val="Heading1"/>
        <w:keepNext/>
      </w:pPr>
      <w:r>
        <w:rPr>
          <w:rFonts w:ascii="Times New Roman" w:hAnsi="Times New Roman" w:eastAsia="Times New Roman" w:cs="Times New Roman"/>
          <w:b/>
          <w:i w:val="0"/>
          <w:sz w:val="30"/>
        </w:rPr>
        <w:t>Conclusion</w:t>
      </w:r>
    </w:p>
    <w:p>
      <w:pPr>
        <w:spacing w:after="100" w:line="264" w:lineRule="auto"/>
      </w:pPr>
      <w:r>
        <w:rPr>
          <w:rFonts w:ascii="Times New Roman" w:hAnsi="Times New Roman" w:eastAsia="Times New Roman" w:cs="Times New Roman"/>
          <w:b w:val="0"/>
          <w:i w:val="0"/>
          <w:sz w:val="21"/>
        </w:rPr>
        <w:t>With the ordinary-event benchmark and SST-conditioned expectation added, the most robust conclusion is that the weak 2023/24 atmospheric response was not merely weak relative to a super El Niño such as 2015/16. After controlling calendar-month Niño3 SST amplitude, CWP u850 and central-Pacific precipitation still fell below their historical expectations by about 0.86 m/s and 1.88 mm/day, respectively. This supports a mechanism in which strong initial ocean memory promoted eastern-Pacific warming while the atmospheric positive feedback was not fully realized. The record through June 2026 is retained only as an out-of-sample developing state: SST, westerlies, precipitation, and thermocline adjustment strengthened together in June, but the available months do not justify declaring a completed El Niño event.</w:t>
      </w:r>
    </w:p>
    <w:p>
      <w:pPr>
        <w:pStyle w:val="Heading1"/>
        <w:keepNext/>
      </w:pPr>
      <w:r>
        <w:rPr>
          <w:rFonts w:ascii="Times New Roman" w:hAnsi="Times New Roman" w:eastAsia="Times New Roman" w:cs="Times New Roman"/>
          <w:b/>
          <w:i w:val="0"/>
          <w:sz w:val="30"/>
        </w:rPr>
        <w:t>Method References</w:t>
      </w:r>
    </w:p>
    <w:p>
      <w:pPr>
        <w:spacing w:after="100" w:line="264" w:lineRule="auto"/>
      </w:pPr>
      <w:r>
        <w:rPr>
          <w:rFonts w:ascii="Times New Roman" w:hAnsi="Times New Roman" w:eastAsia="Times New Roman" w:cs="Times New Roman"/>
          <w:b w:val="0"/>
          <w:i w:val="0"/>
          <w:sz w:val="18"/>
        </w:rPr>
        <w:t>Peng et al. (2025), Nature Geoscience, doi:10.1038/s41561-025-01700-9: ocean initial conditions and wind-stress effects in 2023/24 versus strong events.</w:t>
        <w:br/>
        <w:t>Beniche et al. (2024), Scientific Reports, doi:10.1038/s41598-024-52580-9: moderate/extreme event grouping, composites, bootstrap, and CT/WP event categories.</w:t>
        <w:br/>
        <w:t>Kim et al. (2025), npj Climate and Atmospheric Science, doi:10.1038/s41612-024-00890-0: persistent easterlies limiting 2023/24 development.</w:t>
        <w:br/>
        <w:t>Yan et al. (2025), npj Climate and Atmospheric Science, doi:10.1038/s41612-025-00933-0: contrasting EP/CP rainfall and Walker-circulation responses.</w:t>
        <w:br/>
        <w:t>Srinivas et al. (2024), Scientific Reports, doi:10.1038/s41598-024-58803-3: structural and nonlinear response differences between all-event and extreme-event composites.</w:t>
      </w:r>
    </w:p>
    <w:sectPr w:rsidR="00FC693F" w:rsidRPr="0006063C" w:rsidSect="00034616">
      <w:pgSz w:w="12240" w:h="15840"/>
      <w:pgMar w:top="1123" w:right="1181" w:bottom="1037" w:left="1181"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4" w:lineRule="auto"/>
    </w:pPr>
    <w:rPr>
      <w:rFonts w:ascii="Times New Roman" w:hAnsi="Times New Roman" w:cs="Times New Roman" w:eastAsia="Hiragino Sans GB"/>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64" w:lineRule="auto"/>
      <w:outlineLvl w:val="0"/>
    </w:pPr>
    <w:rPr>
      <w:rFonts w:asciiTheme="majorHAnsi" w:eastAsiaTheme="majorEastAsia" w:hAnsiTheme="majorHAnsi" w:cstheme="majorBidi" w:ascii="Times New Roman" w:hAnsi="Times New Roman" w:cs="Times New Roman" w:eastAsia="Hiragino Sans GB"/>
      <w:b/>
      <w:bCs/>
      <w:sz w:val="30"/>
      <w:szCs w:val="28"/>
    </w:rPr>
  </w:style>
  <w:style w:type="paragraph" w:styleId="Heading2">
    <w:name w:val="heading 2"/>
    <w:basedOn w:val="Normal"/>
    <w:next w:val="Normal"/>
    <w:link w:val="Heading2Char"/>
    <w:uiPriority w:val="9"/>
    <w:unhideWhenUsed/>
    <w:qFormat/>
    <w:rsid w:val="00FC693F"/>
    <w:pPr>
      <w:keepNext/>
      <w:keepLines/>
      <w:spacing w:before="200" w:after="100" w:line="264" w:lineRule="auto"/>
      <w:outlineLvl w:val="1"/>
    </w:pPr>
    <w:rPr>
      <w:rFonts w:asciiTheme="majorHAnsi" w:eastAsiaTheme="majorEastAsia" w:hAnsiTheme="majorHAnsi" w:cstheme="majorBidi" w:ascii="Times New Roman" w:hAnsi="Times New Roman" w:cs="Times New Roman" w:eastAsia="Hiragino Sans GB"/>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Times New Roman" w:hAnsi="Times New Roman" w:cs="Times New Roman" w:eastAsia="Hiragino Sans GB"/>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before="20" w:after="120"/>
    </w:pPr>
    <w:rPr>
      <w:rFonts w:ascii="Times New Roman" w:hAnsi="Times New Roman" w:cs="Times New Roman" w:eastAsia="Hiragino Sans GB"/>
      <w:b w:val="0"/>
      <w:bCs/>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the 2015/16, 2023/24, and 2026 ENSO Development Phases</dc:title>
  <dc:subject>January-June air-sea coupling diagnostics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