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cs="Times New Roman"/>
          <w:b/>
          <w:i w:val="0"/>
          <w:sz w:val="40"/>
        </w:rPr>
        <w:t>Air-Sea Coupling Diagnosis of the 2026 ENSO Event</w:t>
      </w:r>
    </w:p>
    <w:p>
      <w:pPr>
        <w:spacing w:after="200"/>
        <w:jc w:val="center"/>
      </w:pPr>
      <w:r>
        <w:rPr>
          <w:rFonts w:ascii="Times New Roman" w:hAnsi="Times New Roman" w:eastAsia="Times New Roman" w:cs="Times New Roman"/>
          <w:b w:val="0"/>
          <w:i w:val="0"/>
          <w:sz w:val="21"/>
        </w:rPr>
        <w:t>Comparison with 2015/16 and 2023/24; observations through June 2026</w:t>
      </w:r>
    </w:p>
    <w:p>
      <w:pPr>
        <w:pStyle w:val="Heading1"/>
        <w:keepNext/>
      </w:pPr>
      <w:r>
        <w:rPr>
          <w:rFonts w:ascii="Times New Roman" w:hAnsi="Times New Roman" w:eastAsia="Times New Roman" w:cs="Times New Roman"/>
          <w:b/>
          <w:i w:val="0"/>
          <w:sz w:val="30"/>
        </w:rPr>
        <w:t>Abstract</w:t>
      </w:r>
    </w:p>
    <w:p>
      <w:pPr>
        <w:spacing w:after="100" w:line="264" w:lineRule="auto"/>
      </w:pPr>
      <w:r>
        <w:rPr>
          <w:rFonts w:ascii="Times New Roman" w:hAnsi="Times New Roman" w:eastAsia="Times New Roman" w:cs="Times New Roman"/>
          <w:b w:val="0"/>
          <w:i w:val="0"/>
          <w:sz w:val="21"/>
        </w:rPr>
        <w:t>Early-2026 SST retained the eastern-leading geometry of 2023, but by June the equatorial thermocline and low-level zonal wind were closer to the strongly coupled 2015 state. Calendar-month Niño3 regressions show that January-June 2026 Peng CWP u10 had a mean residual of +1.05 m s⁻¹, whereas the CP-precipitation residual was -2.58 mm day⁻¹. The observed monthly sequence places thermocline adjustment and near-surface westerly development before the May-June convective recovery.</w:t>
      </w:r>
    </w:p>
    <w:p>
      <w:pPr>
        <w:pStyle w:val="Heading1"/>
        <w:keepNext/>
      </w:pPr>
      <w:r>
        <w:rPr>
          <w:rFonts w:ascii="Times New Roman" w:hAnsi="Times New Roman" w:eastAsia="Times New Roman" w:cs="Times New Roman"/>
          <w:b/>
          <w:i w:val="0"/>
          <w:sz w:val="30"/>
        </w:rPr>
        <w:t>Study Positioning and Methodological Basis</w:t>
      </w:r>
    </w:p>
    <w:p>
      <w:pPr>
        <w:spacing w:after="100" w:line="264" w:lineRule="auto"/>
      </w:pPr>
      <w:r>
        <w:rPr>
          <w:rFonts w:ascii="Times New Roman" w:hAnsi="Times New Roman" w:eastAsia="Times New Roman" w:cs="Times New Roman"/>
          <w:b w:val="0"/>
          <w:i w:val="0"/>
          <w:sz w:val="21"/>
        </w:rPr>
        <w:t>This report does not introduce a new aggregate coupling index. It applies established process diagnostics within a common framework for the developing phases of 2015/16, 2023/24, and 2026. Peng et al. (2025) treated Niño3 SST as the oceanic state, estimated the conditional central-western Pacific zonal-wind response from historical regressions, and compared the observed 2023/24 response with that expectation. Jiang et al. (2026) jointly examined eastern-Pacific SST, central-Pacific winds, and precipitation using historical-event comparisons and regression reconstructions. Li et al. (2024) separated the atmospheric Bjerknes feedback into SST-gradient, precipitation-heating, pressure-gradient, and zonal-wind-stress links. The observed-versus-expected and layer-resolved diagnostics used here therefore have direct methodological precedents; the present extension applies them to monthly 2026 observations and compares the result separately with 2015/16 and 2023/24.</w:t>
      </w:r>
    </w:p>
    <w:p>
      <w:pPr>
        <w:spacing w:after="100" w:line="264" w:lineRule="auto"/>
      </w:pPr>
      <w:r>
        <w:rPr>
          <w:rFonts w:ascii="Times New Roman" w:hAnsi="Times New Roman" w:eastAsia="Times New Roman" w:cs="Times New Roman"/>
          <w:b w:val="0"/>
          <w:i w:val="0"/>
          <w:sz w:val="21"/>
        </w:rPr>
        <w:t>This report follows the Peng et al. (2025) CWP definition exactly: area-mean 10 m zonal wind (u10) over 5°S–5°N, 140°E–160°W, used to measure the near-surface atmospheric response to Niño3 SST. CP precipitation is calculated over 5°S–5°N, 180°–140°W, matching the central-Pacific diagnostic box of Sun et al. (2016). CWP u10 and CP precipitation are coordinate-defined research diagnostics rather than operational monitoring indices such as Niño3 or Niño3.4; the same boxes, baselines, and anomaly processing are used for all events. The spatial maps retain 850 hPa wind vectors to show lower-tropospheric circulation structure, but those vectors are not substituted for the Peng CWP u10 metric.</w:t>
      </w:r>
    </w:p>
    <w:p>
      <w:pPr>
        <w:pStyle w:val="Heading1"/>
        <w:keepNext/>
      </w:pPr>
      <w:r>
        <w:rPr>
          <w:rFonts w:ascii="Times New Roman" w:hAnsi="Times New Roman" w:eastAsia="Times New Roman" w:cs="Times New Roman"/>
          <w:b/>
          <w:i w:val="0"/>
          <w:sz w:val="30"/>
        </w:rPr>
        <w:t>1. Data and Methods</w:t>
      </w:r>
    </w:p>
    <w:p>
      <w:pPr>
        <w:spacing w:after="100" w:line="264" w:lineRule="auto"/>
      </w:pPr>
      <w:r>
        <w:rPr>
          <w:rFonts w:ascii="Times New Roman" w:hAnsi="Times New Roman" w:eastAsia="Times New Roman" w:cs="Times New Roman"/>
          <w:b w:val="0"/>
          <w:i w:val="0"/>
          <w:sz w:val="21"/>
        </w:rPr>
        <w:t>SST is from NOAA OISST; 10 m wind, 850 hPa wind, and precipitation are from ERA5; and 20°C isotherm depth (D20) is from ORAS5. June 2026 u10 is the mean of all 720 hourly fields from the public ARCO-ERA5T mirror; the remaining u10 values use ERA5 monthly means. ERA5 850 hPa wind, precipitation, and ORAS5 anomalies use 1980-2014, whereas OISST and Peng CWP u10 use 1982-2014. Calendar-month climatologies and linear trends are removed. All events are compared over January-June of the developing year.</w:t>
      </w:r>
    </w:p>
    <w:p>
      <w:pPr>
        <w:spacing w:after="100" w:line="264" w:lineRule="auto"/>
      </w:pPr>
      <w:r>
        <w:rPr>
          <w:rFonts w:ascii="Times New Roman" w:hAnsi="Times New Roman" w:eastAsia="Times New Roman" w:cs="Times New Roman"/>
          <w:b w:val="0"/>
          <w:i w:val="0"/>
          <w:sz w:val="21"/>
        </w:rPr>
        <w:t>Atmospheric conditional responses are obtained from 1982-2014 calendar-month regressions on Niño3 SST, excluding 2015, 2023, and 2026. Historical similarity is evaluated with the area-weighted pattern correlation, centered RMSD, and standard-deviation ratio of Taylor (2001), separately for SST, u850, precipitation, and D20. The three shaded month groups in Figure 11 are descriptive summaries of the observed sequence, not formal coupling indices, statistically identified change points, or event-strength forecasts; they are used to assess consistency with progressive feedback development, not causal closure.</w:t>
      </w:r>
    </w:p>
    <w:p>
      <w:pPr>
        <w:pStyle w:val="Heading2"/>
        <w:keepNext/>
      </w:pPr>
      <w:r>
        <w:rPr>
          <w:rFonts w:ascii="Times New Roman" w:hAnsi="Times New Roman" w:eastAsia="Times New Roman" w:cs="Times New Roman"/>
          <w:b/>
          <w:i w:val="0"/>
          <w:sz w:val="26"/>
        </w:rPr>
        <w:t>Table 1. Key Regional Metrics</w:t>
      </w:r>
    </w:p>
    <w:p>
      <w:pPr>
        <w:spacing w:after="100" w:line="264" w:lineRule="auto"/>
      </w:pPr>
      <w:r>
        <w:rPr>
          <w:rFonts w:ascii="Times New Roman" w:hAnsi="Times New Roman" w:eastAsia="Times New Roman" w:cs="Times New Roman"/>
          <w:b w:val="0"/>
          <w:i w:val="0"/>
          <w:sz w:val="18"/>
        </w:rPr>
        <w:t>Each cell gives the January-June mean / June value. Positive Peng CWP u10 denotes a near-surface westerly anomaly.</w:t>
      </w:r>
    </w:p>
    <w:tbl>
      <w:tblPr>
        <w:tblStyle w:val="TableGrid"/>
        <w:tblW w:type="auto" w:w="0"/>
        <w:tblLayout w:type="fixed"/>
        <w:tblLook w:firstColumn="1" w:firstRow="1" w:lastColumn="0" w:lastRow="0" w:noHBand="0" w:noVBand="1" w:val="04A0"/>
      </w:tblPr>
      <w:tblGrid>
        <w:gridCol w:w="2469"/>
        <w:gridCol w:w="2469"/>
        <w:gridCol w:w="2469"/>
        <w:gridCol w:w="2469"/>
      </w:tblGrid>
      <w:tr>
        <w:trPr>
          <w:tblHeader w:val="true"/>
        </w:trP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Metric</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2015/16</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2023/24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2026</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Niño3.4 SST (°C)</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+0.99 / +1.07</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+0.40 / +0.92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+0.71 / +1.54</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Peng CWP u10 (m s⁻¹)</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+2.55 / +1.98</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+0.02 / +0.50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+1.68 / +3.51</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CP precipitation (mm day⁻¹)</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+1.34 / +4.24</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-0.28 / +1.42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-0.68 / +2.40</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Western D20 (m)</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-14.9 / -21.2</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+5.8 / -2.7</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-8.0 / -12.1</w:t>
            </w:r>
          </w:p>
        </w:tc>
      </w:tr>
      <w:tr>
        <w:tc>
          <w:tcPr>
            <w:tcW w:type="dxa" w:w="3168"/>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Eastern D20 (m)</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+26.4 / +37.0</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+30.2 / +39.1</w:t>
            </w:r>
          </w:p>
        </w:tc>
        <w:tc>
          <w:tcPr>
            <w:tcW w:type="dxa" w:w="2059"/>
            <w:vAlign w:val="center"/>
            <w:tcMar>
              <w:top w:w="80" w:type="dxa"/>
              <w:start w:w="120" w:type="dxa"/>
              <w:bottom w:w="80" w:type="dxa"/>
              <w:end w:w="120" w:type="dxa"/>
            </w:tcMar>
            <w:shd w:fill="FFFFFF"/>
          </w:tcPr>
          <w:p>
            <w:pPr>
              <w:spacing w:after="0" w:line="252" w:lineRule="auto"/>
            </w:pPr>
            <w:r>
              <w:rPr>
                <w:rFonts w:ascii="Times New Roman" w:hAnsi="Times New Roman" w:eastAsia="Times New Roman" w:cs="Times New Roman"/>
                <w:b w:val="0"/>
                <w:i w:val="0"/>
                <w:sz w:val="17"/>
              </w:rPr>
              <w:t>+32.7 / +46.6</w:t>
            </w:r>
          </w:p>
        </w:tc>
      </w:tr>
    </w:tbl>
    <w:p>
      <w:pPr>
        <w:pStyle w:val="Heading1"/>
        <w:keepNext/>
      </w:pPr>
      <w:r>
        <w:rPr>
          <w:rFonts w:ascii="Times New Roman" w:hAnsi="Times New Roman" w:eastAsia="Times New Roman" w:cs="Times New Roman"/>
          <w:b/>
          <w:i w:val="0"/>
          <w:sz w:val="30"/>
        </w:rPr>
        <w:t>2. Evolution of the Three Events</w:t>
      </w:r>
    </w:p>
    <w:p>
      <w:pPr>
        <w:pStyle w:val="Heading2"/>
        <w:keepNext/>
      </w:pPr>
      <w:r>
        <w:rPr>
          <w:rFonts w:ascii="Times New Roman" w:hAnsi="Times New Roman" w:eastAsia="Times New Roman" w:cs="Times New Roman"/>
          <w:b/>
          <w:i w:val="0"/>
          <w:sz w:val="26"/>
        </w:rPr>
        <w:t>2.1 SST and 850 hPa Wind</w:t>
      </w:r>
    </w:p>
    <w:p>
      <w:pPr>
        <w:spacing w:after="100" w:line="264" w:lineRule="auto"/>
      </w:pPr>
      <w:r>
        <w:rPr>
          <w:rFonts w:ascii="Times New Roman" w:hAnsi="Times New Roman" w:eastAsia="Times New Roman" w:cs="Times New Roman"/>
          <w:b w:val="0"/>
          <w:i w:val="0"/>
          <w:sz w:val="21"/>
        </w:rPr>
        <w:t>In 2015, central-eastern Pacific warming developed with coherent westerly anomalies. The 2023 warming center was farther east and the westerly response weaker. In 2026, eastern warming led during January-March, expanded into the central Pacific after April, and coincided with markedly stronger 850 hPa westerly anomalies in June. These maps describe the lower-tropospheric circulation; the CWP observed-versus-expected calculation uses 10 m wind.</w:t>
      </w:r>
    </w:p>
    <w:p>
      <w:pPr>
        <w:keepNext/>
        <w:spacing w:after="40"/>
        <w:jc w:val="center"/>
      </w:pPr>
      <w:r>
        <w:drawing>
          <wp:inline xmlns:a="http://schemas.openxmlformats.org/drawingml/2006/main" xmlns:pic="http://schemas.openxmlformats.org/drawingml/2006/picture">
            <wp:extent cx="5806440" cy="2753282"/>
            <wp:docPr id="1" name="Picture 1" title="Figure 1. OISST SSTA and ERA5 850 hPa wind anomalies during the 2015/16 development year." descr="Figure 1. OISST SSTA and ERA5 850 hPa wind anomalies during the 2015/16 development year."/>
            <wp:cNvGraphicFramePr>
              <a:graphicFrameLocks noChangeAspect="1"/>
            </wp:cNvGraphicFramePr>
            <a:graphic>
              <a:graphicData uri="http://schemas.openxmlformats.org/drawingml/2006/picture">
                <pic:pic>
                  <pic:nvPicPr>
                    <pic:cNvPr id="0" name="fig_2015_revised_ssta_u850_detrended_1980_2014.png"/>
                    <pic:cNvPicPr/>
                  </pic:nvPicPr>
                  <pic:blipFill>
                    <a:blip r:embed="rId9"/>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 OISST SSTA and ERA5 850 hPa wind anomalies during the 2015/16 development year.</w:t>
      </w:r>
    </w:p>
    <w:p>
      <w:pPr>
        <w:keepNext/>
        <w:spacing w:after="40"/>
        <w:jc w:val="center"/>
      </w:pPr>
      <w:r>
        <w:drawing>
          <wp:inline xmlns:a="http://schemas.openxmlformats.org/drawingml/2006/main" xmlns:pic="http://schemas.openxmlformats.org/drawingml/2006/picture">
            <wp:extent cx="5806440" cy="2753282"/>
            <wp:docPr id="2" name="Picture 2" title="Figure 2. OISST SSTA and ERA5 850 hPa wind anomalies during the 2023/24 development year." descr="Figure 2. OISST SSTA and ERA5 850 hPa wind anomalies during the 2023/24 development year."/>
            <wp:cNvGraphicFramePr>
              <a:graphicFrameLocks noChangeAspect="1"/>
            </wp:cNvGraphicFramePr>
            <a:graphic>
              <a:graphicData uri="http://schemas.openxmlformats.org/drawingml/2006/picture">
                <pic:pic>
                  <pic:nvPicPr>
                    <pic:cNvPr id="0" name="fig_2023_revised_ssta_u850_detrended_1980_2014.png"/>
                    <pic:cNvPicPr/>
                  </pic:nvPicPr>
                  <pic:blipFill>
                    <a:blip r:embed="rId10"/>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2. OISST SSTA and ERA5 850 hPa wind anomalies during the 2023/24 development year.</w:t>
      </w:r>
    </w:p>
    <w:p>
      <w:pPr>
        <w:keepNext/>
        <w:spacing w:after="40"/>
        <w:jc w:val="center"/>
      </w:pPr>
      <w:r>
        <w:drawing>
          <wp:inline xmlns:a="http://schemas.openxmlformats.org/drawingml/2006/main" xmlns:pic="http://schemas.openxmlformats.org/drawingml/2006/picture">
            <wp:extent cx="5806440" cy="2753282"/>
            <wp:docPr id="3" name="Picture 3" title="Figure 3. OISST SSTA and ERA5 850 hPa wind anomalies, January-June 2026." descr="Figure 3. OISST SSTA and ERA5 850 hPa wind anomalies, January-June 2026."/>
            <wp:cNvGraphicFramePr>
              <a:graphicFrameLocks noChangeAspect="1"/>
            </wp:cNvGraphicFramePr>
            <a:graphic>
              <a:graphicData uri="http://schemas.openxmlformats.org/drawingml/2006/picture">
                <pic:pic>
                  <pic:nvPicPr>
                    <pic:cNvPr id="0" name="fig_2026_revised_ssta_u850_detrended_1980_2014.png"/>
                    <pic:cNvPicPr/>
                  </pic:nvPicPr>
                  <pic:blipFill>
                    <a:blip r:embed="rId11"/>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3. OISST SSTA and ERA5 850 hPa wind anomalies, January-June 2026.</w:t>
      </w:r>
    </w:p>
    <w:p>
      <w:pPr>
        <w:pStyle w:val="Heading2"/>
        <w:keepNext/>
      </w:pPr>
      <w:r>
        <w:rPr>
          <w:rFonts w:ascii="Times New Roman" w:hAnsi="Times New Roman" w:eastAsia="Times New Roman" w:cs="Times New Roman"/>
          <w:b/>
          <w:i w:val="0"/>
          <w:sz w:val="26"/>
        </w:rPr>
        <w:t>2.2 Precipitation and 850 hPa Wind</w:t>
      </w:r>
    </w:p>
    <w:p>
      <w:pPr>
        <w:spacing w:after="100" w:line="264" w:lineRule="auto"/>
      </w:pPr>
      <w:r>
        <w:rPr>
          <w:rFonts w:ascii="Times New Roman" w:hAnsi="Times New Roman" w:eastAsia="Times New Roman" w:cs="Times New Roman"/>
          <w:b w:val="0"/>
          <w:i w:val="0"/>
          <w:sz w:val="21"/>
        </w:rPr>
        <w:t>Central-Pacific precipitation and westerlies strengthened together in 2015, whereas convection remained weak in 2023. In 2026, CP precipitation was suppressed through April, turned positive in May, and strengthened in June, but remained below the response expected from contemporaneous SST.</w:t>
      </w:r>
    </w:p>
    <w:p>
      <w:pPr>
        <w:keepNext/>
        <w:spacing w:after="40"/>
        <w:jc w:val="center"/>
      </w:pPr>
      <w:r>
        <w:drawing>
          <wp:inline xmlns:a="http://schemas.openxmlformats.org/drawingml/2006/main" xmlns:pic="http://schemas.openxmlformats.org/drawingml/2006/picture">
            <wp:extent cx="5806440" cy="2753282"/>
            <wp:docPr id="4" name="Picture 4" title="Figure 4. ERA5 precipitation and 850 hPa wind anomalies during the 2015/16 development year." descr="Figure 4. ERA5 precipitation and 850 hPa wind anomalies during the 2015/16 development year."/>
            <wp:cNvGraphicFramePr>
              <a:graphicFrameLocks noChangeAspect="1"/>
            </wp:cNvGraphicFramePr>
            <a:graphic>
              <a:graphicData uri="http://schemas.openxmlformats.org/drawingml/2006/picture">
                <pic:pic>
                  <pic:nvPicPr>
                    <pic:cNvPr id="0" name="fig_2015_paperstyle_era5_precip_u850_strip_detrended_1980_2014.png"/>
                    <pic:cNvPicPr/>
                  </pic:nvPicPr>
                  <pic:blipFill>
                    <a:blip r:embed="rId12"/>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4. ERA5 precipitation and 850 hPa wind anomalies during the 2015/16 development year.</w:t>
      </w:r>
    </w:p>
    <w:p>
      <w:pPr>
        <w:keepNext/>
        <w:spacing w:after="40"/>
        <w:jc w:val="center"/>
      </w:pPr>
      <w:r>
        <w:drawing>
          <wp:inline xmlns:a="http://schemas.openxmlformats.org/drawingml/2006/main" xmlns:pic="http://schemas.openxmlformats.org/drawingml/2006/picture">
            <wp:extent cx="5806440" cy="2753282"/>
            <wp:docPr id="5" name="Picture 5" title="Figure 5. ERA5 precipitation and 850 hPa wind anomalies during the 2023/24 development year." descr="Figure 5. ERA5 precipitation and 850 hPa wind anomalies during the 2023/24 development year."/>
            <wp:cNvGraphicFramePr>
              <a:graphicFrameLocks noChangeAspect="1"/>
            </wp:cNvGraphicFramePr>
            <a:graphic>
              <a:graphicData uri="http://schemas.openxmlformats.org/drawingml/2006/picture">
                <pic:pic>
                  <pic:nvPicPr>
                    <pic:cNvPr id="0" name="fig_2023_paperstyle_era5_precip_u850_strip_detrended_1980_2014.png"/>
                    <pic:cNvPicPr/>
                  </pic:nvPicPr>
                  <pic:blipFill>
                    <a:blip r:embed="rId13"/>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5. ERA5 precipitation and 850 hPa wind anomalies during the 2023/24 development year.</w:t>
      </w:r>
    </w:p>
    <w:p>
      <w:pPr>
        <w:keepNext/>
        <w:spacing w:after="40"/>
        <w:jc w:val="center"/>
      </w:pPr>
      <w:r>
        <w:drawing>
          <wp:inline xmlns:a="http://schemas.openxmlformats.org/drawingml/2006/main" xmlns:pic="http://schemas.openxmlformats.org/drawingml/2006/picture">
            <wp:extent cx="5806440" cy="2753282"/>
            <wp:docPr id="6" name="Picture 6" title="Figure 6. ERA5 precipitation and 850 hPa wind anomalies, January-June 2026." descr="Figure 6. ERA5 precipitation and 850 hPa wind anomalies, January-June 2026."/>
            <wp:cNvGraphicFramePr>
              <a:graphicFrameLocks noChangeAspect="1"/>
            </wp:cNvGraphicFramePr>
            <a:graphic>
              <a:graphicData uri="http://schemas.openxmlformats.org/drawingml/2006/picture">
                <pic:pic>
                  <pic:nvPicPr>
                    <pic:cNvPr id="0" name="fig_2026_paperstyle_era5_precip_u850_strip_detrended_1980_2014.png"/>
                    <pic:cNvPicPr/>
                  </pic:nvPicPr>
                  <pic:blipFill>
                    <a:blip r:embed="rId14"/>
                    <a:stretch>
                      <a:fillRect/>
                    </a:stretch>
                  </pic:blipFill>
                  <pic:spPr>
                    <a:xfrm>
                      <a:off x="0" y="0"/>
                      <a:ext cx="5806440" cy="275328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6. ERA5 precipitation and 850 hPa wind anomalies, January-June 2026.</w:t>
      </w:r>
    </w:p>
    <w:p>
      <w:pPr>
        <w:pStyle w:val="Heading2"/>
        <w:keepNext/>
      </w:pPr>
      <w:r>
        <w:rPr>
          <w:rFonts w:ascii="Times New Roman" w:hAnsi="Times New Roman" w:eastAsia="Times New Roman" w:cs="Times New Roman"/>
          <w:b/>
          <w:i w:val="0"/>
          <w:sz w:val="26"/>
        </w:rPr>
        <w:t>2.3 D20 and Equatorial u850</w:t>
      </w:r>
    </w:p>
    <w:p>
      <w:pPr>
        <w:spacing w:after="100" w:line="264" w:lineRule="auto"/>
      </w:pPr>
      <w:r>
        <w:rPr>
          <w:rFonts w:ascii="Times New Roman" w:hAnsi="Times New Roman" w:eastAsia="Times New Roman" w:cs="Times New Roman"/>
          <w:b w:val="0"/>
          <w:i w:val="0"/>
          <w:sz w:val="21"/>
        </w:rPr>
        <w:t>June 2026 D20 reached -12.1 m in the western Pacific and +46.6 m in the east, establishing a clear shallow-west/deep-east structure. Western D20 in June 2023 was only -2.7 m. The basin-scale thermocline adjustment in 2026 was therefore substantially closer to 2015.</w:t>
      </w:r>
    </w:p>
    <w:p>
      <w:pPr>
        <w:keepNext/>
        <w:spacing w:after="40"/>
        <w:jc w:val="center"/>
      </w:pPr>
      <w:r>
        <w:drawing>
          <wp:inline xmlns:a="http://schemas.openxmlformats.org/drawingml/2006/main" xmlns:pic="http://schemas.openxmlformats.org/drawingml/2006/picture">
            <wp:extent cx="5806440" cy="2686938"/>
            <wp:docPr id="7" name="Picture 7" title="Figure 7. ORAS5 equatorial D20 anomalies and ERA5 equatorial u850 during the 2015/16 development year." descr="Figure 7. ORAS5 equatorial D20 anomalies and ERA5 equatorial u850 during the 2015/16 development year."/>
            <wp:cNvGraphicFramePr>
              <a:graphicFrameLocks noChangeAspect="1"/>
            </wp:cNvGraphicFramePr>
            <a:graphic>
              <a:graphicData uri="http://schemas.openxmlformats.org/drawingml/2006/picture">
                <pic:pic>
                  <pic:nvPicPr>
                    <pic:cNvPr id="0" name="fig_2015_revised_d20_u850_detrended_1980_2014.png"/>
                    <pic:cNvPicPr/>
                  </pic:nvPicPr>
                  <pic:blipFill>
                    <a:blip r:embed="rId15"/>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7. ORAS5 equatorial D20 anomalies and ERA5 equatorial u850 during the 2015/16 development year.</w:t>
      </w:r>
    </w:p>
    <w:p>
      <w:pPr>
        <w:keepNext/>
        <w:spacing w:after="40"/>
        <w:jc w:val="center"/>
      </w:pPr>
      <w:r>
        <w:drawing>
          <wp:inline xmlns:a="http://schemas.openxmlformats.org/drawingml/2006/main" xmlns:pic="http://schemas.openxmlformats.org/drawingml/2006/picture">
            <wp:extent cx="5806440" cy="2686938"/>
            <wp:docPr id="8" name="Picture 8" title="Figure 8. ORAS5 equatorial D20 anomalies and ERA5 equatorial u850 during the 2023/24 development year." descr="Figure 8. ORAS5 equatorial D20 anomalies and ERA5 equatorial u850 during the 2023/24 development year."/>
            <wp:cNvGraphicFramePr>
              <a:graphicFrameLocks noChangeAspect="1"/>
            </wp:cNvGraphicFramePr>
            <a:graphic>
              <a:graphicData uri="http://schemas.openxmlformats.org/drawingml/2006/picture">
                <pic:pic>
                  <pic:nvPicPr>
                    <pic:cNvPr id="0" name="fig_2023_revised_d20_u850_detrended_1980_2014.png"/>
                    <pic:cNvPicPr/>
                  </pic:nvPicPr>
                  <pic:blipFill>
                    <a:blip r:embed="rId16"/>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8. ORAS5 equatorial D20 anomalies and ERA5 equatorial u850 during the 2023/24 development year.</w:t>
      </w:r>
    </w:p>
    <w:p>
      <w:pPr>
        <w:keepNext/>
        <w:spacing w:after="40"/>
        <w:jc w:val="center"/>
      </w:pPr>
      <w:r>
        <w:drawing>
          <wp:inline xmlns:a="http://schemas.openxmlformats.org/drawingml/2006/main" xmlns:pic="http://schemas.openxmlformats.org/drawingml/2006/picture">
            <wp:extent cx="5806440" cy="2686938"/>
            <wp:docPr id="9" name="Picture 9" title="Figure 9. ORAS5 equatorial D20 anomalies and ERA5 equatorial u850, January-June 2026." descr="Figure 9. ORAS5 equatorial D20 anomalies and ERA5 equatorial u850, January-June 2026."/>
            <wp:cNvGraphicFramePr>
              <a:graphicFrameLocks noChangeAspect="1"/>
            </wp:cNvGraphicFramePr>
            <a:graphic>
              <a:graphicData uri="http://schemas.openxmlformats.org/drawingml/2006/picture">
                <pic:pic>
                  <pic:nvPicPr>
                    <pic:cNvPr id="0" name="fig_2026_revised_d20_u850_detrended_1980_2014.png"/>
                    <pic:cNvPicPr/>
                  </pic:nvPicPr>
                  <pic:blipFill>
                    <a:blip r:embed="rId17"/>
                    <a:stretch>
                      <a:fillRect/>
                    </a:stretch>
                  </pic:blipFill>
                  <pic:spPr>
                    <a:xfrm>
                      <a:off x="0" y="0"/>
                      <a:ext cx="5806440" cy="2686938"/>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9. ORAS5 equatorial D20 anomalies and ERA5 equatorial u850, January-June 2026.</w:t>
      </w:r>
    </w:p>
    <w:p>
      <w:pPr>
        <w:pStyle w:val="Heading1"/>
        <w:keepNext/>
      </w:pPr>
      <w:r>
        <w:rPr>
          <w:rFonts w:ascii="Times New Roman" w:hAnsi="Times New Roman" w:eastAsia="Times New Roman" w:cs="Times New Roman"/>
          <w:b/>
          <w:i w:val="0"/>
          <w:sz w:val="30"/>
        </w:rPr>
        <w:t>3. SST-Conditioned Atmospheric Response</w:t>
      </w:r>
    </w:p>
    <w:p>
      <w:pPr>
        <w:pStyle w:val="Heading2"/>
        <w:keepNext/>
      </w:pPr>
      <w:r>
        <w:rPr>
          <w:rFonts w:ascii="Times New Roman" w:hAnsi="Times New Roman" w:eastAsia="Times New Roman" w:cs="Times New Roman"/>
          <w:b/>
          <w:i w:val="0"/>
          <w:sz w:val="26"/>
        </w:rPr>
        <w:t>Table 2. Observed versus SST-Conditioned Response</w:t>
      </w:r>
    </w:p>
    <w:tbl>
      <w:tblPr>
        <w:tblStyle w:val="TableGrid"/>
        <w:tblW w:type="auto" w:w="0"/>
        <w:tblLayout w:type="fixed"/>
        <w:tblLook w:firstColumn="1" w:firstRow="1" w:lastColumn="0" w:lastRow="0" w:noHBand="0" w:noVBand="1" w:val="04A0"/>
      </w:tblPr>
      <w:tblGrid>
        <w:gridCol w:w="2469"/>
        <w:gridCol w:w="2469"/>
        <w:gridCol w:w="2469"/>
        <w:gridCol w:w="2469"/>
      </w:tblGrid>
      <w:tr>
        <w:trPr>
          <w:tblHeader w:val="true"/>
        </w:trP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Response (Jan-Jun mean)</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2026 state</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Peng CWP u10 (m/s)</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+2.55 / +0.70 (+1.85)</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+0.02 / +0.51 (-0.50)</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+1.68 / +0.63 (+1.05)</w:t>
            </w:r>
          </w:p>
        </w:tc>
      </w:tr>
      <w:tr>
        <w:tc>
          <w:tcPr>
            <w:tcW w:type="dxa" w:w="295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CP precipitation (mm/day)</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+1.34 / +2.20 (-0.85)</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-0.28 / +1.60 (-1.88)</w:t>
            </w:r>
          </w:p>
        </w:tc>
        <w:tc>
          <w:tcPr>
            <w:tcW w:type="dxa" w:w="2131"/>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-0.68 / +1.90 (-2.58)</w:t>
            </w:r>
          </w:p>
        </w:tc>
      </w:tr>
    </w:tbl>
    <w:p>
      <w:pPr>
        <w:spacing w:after="100" w:line="264" w:lineRule="auto"/>
      </w:pPr>
      <w:r>
        <w:rPr>
          <w:rFonts w:ascii="Times New Roman" w:hAnsi="Times New Roman" w:eastAsia="Times New Roman" w:cs="Times New Roman"/>
          <w:b w:val="0"/>
          <w:i w:val="0"/>
          <w:sz w:val="18"/>
        </w:rPr>
        <w:t>Each cell gives observed / historical expectation (residual). Calendar-month Niño3 regressions are fitted over 1982-2014 with all three target years excluded.</w:t>
      </w:r>
    </w:p>
    <w:p>
      <w:pPr>
        <w:keepNext/>
        <w:spacing w:after="40"/>
        <w:jc w:val="center"/>
      </w:pPr>
      <w:r>
        <w:drawing>
          <wp:inline xmlns:a="http://schemas.openxmlformats.org/drawingml/2006/main" xmlns:pic="http://schemas.openxmlformats.org/drawingml/2006/picture">
            <wp:extent cx="5806440" cy="2712149"/>
            <wp:docPr id="10" name="Picture 10" title="Figure 10. Observed atmospheric responses and Niño3 SST-conditioned historical expectations for the three events; regression period: 1982-2014." descr="Figure 10. Observed atmospheric responses and Niño3 SST-conditioned historical expectations for the three events; regression period: 1982-2014."/>
            <wp:cNvGraphicFramePr>
              <a:graphicFrameLocks noChangeAspect="1"/>
            </wp:cNvGraphicFramePr>
            <a:graphic>
              <a:graphicData uri="http://schemas.openxmlformats.org/drawingml/2006/picture">
                <pic:pic>
                  <pic:nvPicPr>
                    <pic:cNvPr id="0" name="fig_targets_observed_expected_atmospheric_response_1982_2014.png"/>
                    <pic:cNvPicPr/>
                  </pic:nvPicPr>
                  <pic:blipFill>
                    <a:blip r:embed="rId18"/>
                    <a:stretch>
                      <a:fillRect/>
                    </a:stretch>
                  </pic:blipFill>
                  <pic:spPr>
                    <a:xfrm>
                      <a:off x="0" y="0"/>
                      <a:ext cx="5806440" cy="2712149"/>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10. Observed atmospheric responses and Niño3 SST-conditioned historical expectations for the three events; regression period: 1982-2014.</w:t>
      </w:r>
    </w:p>
    <w:p>
      <w:pPr>
        <w:spacing w:after="100" w:line="264" w:lineRule="auto"/>
      </w:pPr>
      <w:r>
        <w:rPr>
          <w:rFonts w:ascii="Times New Roman" w:hAnsi="Times New Roman" w:eastAsia="Times New Roman" w:cs="Times New Roman"/>
          <w:b w:val="0"/>
          <w:i w:val="0"/>
          <w:sz w:val="21"/>
        </w:rPr>
        <w:t>Westerlies were substantially stronger than expected in 2015, whereas both wind and precipitation were weaker in 2023. The 2026 response is differentiated by process: the January-June mean residual is +1.05 m s⁻¹ for Peng CWP u10 and -2.58 mm day⁻¹ for CP precipitation. This comparison separates the near-surface wind response from the deep-convective response; it is not inferred from 850 hPa wind.</w:t>
      </w:r>
    </w:p>
    <w:p>
      <w:pPr>
        <w:pStyle w:val="Heading1"/>
        <w:keepNext/>
      </w:pPr>
      <w:r>
        <w:rPr>
          <w:rFonts w:ascii="Times New Roman" w:hAnsi="Times New Roman" w:eastAsia="Times New Roman" w:cs="Times New Roman"/>
          <w:b/>
          <w:i w:val="0"/>
          <w:sz w:val="30"/>
        </w:rPr>
        <w:t>4. Coupling Sequence in 2026</w:t>
      </w:r>
    </w:p>
    <w:p>
      <w:pPr>
        <w:keepNext/>
        <w:spacing w:after="40"/>
        <w:jc w:val="center"/>
      </w:pPr>
      <w:r>
        <w:drawing>
          <wp:inline xmlns:a="http://schemas.openxmlformats.org/drawingml/2006/main" xmlns:pic="http://schemas.openxmlformats.org/drawingml/2006/picture">
            <wp:extent cx="5806440" cy="2485299"/>
            <wp:docPr id="11" name="Picture 11" title="Figure 11. January-June 2026 D20, Niño3 SST, Peng CWP u10, and CP precipitation, including SST-conditioned atmospheric expectations. Shading denotes descriptive month groups, not formal stages or statistical change points." descr="Figure 11. January-June 2026 D20, Niño3 SST, Peng CWP u10, and CP precipitation, including SST-conditioned atmospheric expectations. Shading denotes descriptive month groups, not formal stages or statistical change points."/>
            <wp:cNvGraphicFramePr>
              <a:graphicFrameLocks noChangeAspect="1"/>
            </wp:cNvGraphicFramePr>
            <a:graphic>
              <a:graphicData uri="http://schemas.openxmlformats.org/drawingml/2006/picture">
                <pic:pic>
                  <pic:nvPicPr>
                    <pic:cNvPr id="0" name="fig_2026_staged_air_sea_coupling_jan_jun_1980_2014.png"/>
                    <pic:cNvPicPr/>
                  </pic:nvPicPr>
                  <pic:blipFill>
                    <a:blip r:embed="rId19"/>
                    <a:stretch>
                      <a:fillRect/>
                    </a:stretch>
                  </pic:blipFill>
                  <pic:spPr>
                    <a:xfrm>
                      <a:off x="0" y="0"/>
                      <a:ext cx="5806440" cy="2485299"/>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sz w:val="17"/>
        </w:rPr>
        <w:t>Figure 11. January-June 2026 D20, Niño3 SST, Peng CWP u10, and CP precipitation, including SST-conditioned atmospheric expectations. Shading denotes descriptive month groups, not formal stages or statistical change points.</w:t>
      </w:r>
    </w:p>
    <w:p>
      <w:pPr>
        <w:pStyle w:val="Heading2"/>
        <w:keepNext/>
      </w:pPr>
      <w:r>
        <w:rPr>
          <w:rFonts w:ascii="Times New Roman" w:hAnsi="Times New Roman" w:eastAsia="Times New Roman" w:cs="Times New Roman"/>
          <w:b/>
          <w:i w:val="0"/>
          <w:sz w:val="26"/>
        </w:rPr>
        <w:t>4.1 Thermocline Adjustment (Figure 11a)</w:t>
      </w:r>
    </w:p>
    <w:p>
      <w:pPr>
        <w:spacing w:after="100" w:line="264" w:lineRule="auto"/>
      </w:pPr>
      <w:r>
        <w:rPr>
          <w:rFonts w:ascii="Times New Roman" w:hAnsi="Times New Roman" w:eastAsia="Times New Roman" w:cs="Times New Roman"/>
          <w:b w:val="0"/>
          <w:i w:val="0"/>
          <w:sz w:val="21"/>
        </w:rPr>
        <w:t>Eastern D20 was already +21.0 m in January, while western D20 was only -2.3 m, indicating a pronounced eastern subsurface warm state before a fully developed basin-scale tilt. Eastern D20 remained between +22.1 and +30.7 m during February-April as western D20 decreased from -4.6 to -7.9 m. By May, western D20 reached -18.3 m and eastern D20 +48.5 m, producing an east-west D20 contrast of 66.8 m; the shallow-west/deep-east structure persisted in June at -12.1 and +46.6 m. This evolution indicates basin-scale redistribution of warm water toward the central-eastern Pacific.</w:t>
      </w:r>
    </w:p>
    <w:p>
      <w:pPr>
        <w:pStyle w:val="Heading2"/>
        <w:keepNext/>
      </w:pPr>
      <w:r>
        <w:rPr>
          <w:rFonts w:ascii="Times New Roman" w:hAnsi="Times New Roman" w:eastAsia="Times New Roman" w:cs="Times New Roman"/>
          <w:b/>
          <w:i w:val="0"/>
          <w:sz w:val="26"/>
        </w:rPr>
        <w:t>4.2 Eastern-Pacific Surface Warming (Figure 11b)</w:t>
      </w:r>
    </w:p>
    <w:p>
      <w:pPr>
        <w:spacing w:after="100" w:line="264" w:lineRule="auto"/>
      </w:pPr>
      <w:r>
        <w:rPr>
          <w:rFonts w:ascii="Times New Roman" w:hAnsi="Times New Roman" w:eastAsia="Times New Roman" w:cs="Times New Roman"/>
          <w:b w:val="0"/>
          <w:i w:val="0"/>
          <w:sz w:val="21"/>
        </w:rPr>
        <w:t>Niño3 SST increased from +0.05°C in January to +0.63°C in February, remained between +0.49 and +0.61°C during March-April, and then accelerated to +1.25°C in May and +1.66°C in June. The second warming acceleration coincided with the sharp May increase in thermocline tilt. Eastern thermocline deepening limits the entrainment of cold subsurface water, while western shoaling is consistent with eastward warm-water redistribution; the joint D20-SST evolution is therefore consistent with thermocline feedback sustaining eastern-Pacific warming.</w:t>
      </w:r>
    </w:p>
    <w:p>
      <w:pPr>
        <w:pStyle w:val="Heading2"/>
        <w:keepNext/>
      </w:pPr>
      <w:r>
        <w:rPr>
          <w:rFonts w:ascii="Times New Roman" w:hAnsi="Times New Roman" w:eastAsia="Times New Roman" w:cs="Times New Roman"/>
          <w:b/>
          <w:i w:val="0"/>
          <w:sz w:val="26"/>
        </w:rPr>
        <w:t>4.3 Low-Level Zonal-Wind Response (Figure 11c)</w:t>
      </w:r>
    </w:p>
    <w:p>
      <w:pPr>
        <w:spacing w:after="100" w:line="264" w:lineRule="auto"/>
      </w:pPr>
      <w:r>
        <w:rPr>
          <w:rFonts w:ascii="Times New Roman" w:hAnsi="Times New Roman" w:eastAsia="Times New Roman" w:cs="Times New Roman"/>
          <w:b w:val="0"/>
          <w:i w:val="0"/>
          <w:sz w:val="21"/>
        </w:rPr>
        <w:t>Peng CWP u10 was +0.77 m s⁻¹ in January, compared with an SST-conditioned expectation of +0.05 m s⁻¹. February observed and expected values were -0.23 and +0.63 m s⁻¹. Observed March-May values were +2.09, +2.28, and +1.66 m s⁻¹. June reached +3.51 m s⁻¹, with a residual of +2.21 m s⁻¹. This series represents the near-surface wind response directly; 850 hPa wind is retained only as spatial circulation context. The co-evolution of near-surface westerlies, thermocline adjustment, and eastern warming is consistent with progressive Bjerknes-feedback development, but the historical regression does not establish causal closure.</w:t>
      </w:r>
    </w:p>
    <w:p>
      <w:pPr>
        <w:pStyle w:val="Heading2"/>
        <w:keepNext/>
      </w:pPr>
      <w:r>
        <w:rPr>
          <w:rFonts w:ascii="Times New Roman" w:hAnsi="Times New Roman" w:eastAsia="Times New Roman" w:cs="Times New Roman"/>
          <w:b/>
          <w:i w:val="0"/>
          <w:sz w:val="26"/>
        </w:rPr>
        <w:t>4.4 Deep-Convective Response (Figure 11d)</w:t>
      </w:r>
    </w:p>
    <w:p>
      <w:pPr>
        <w:spacing w:after="100" w:line="264" w:lineRule="auto"/>
      </w:pPr>
      <w:r>
        <w:rPr>
          <w:rFonts w:ascii="Times New Roman" w:hAnsi="Times New Roman" w:eastAsia="Times New Roman" w:cs="Times New Roman"/>
          <w:b w:val="0"/>
          <w:i w:val="0"/>
          <w:sz w:val="21"/>
        </w:rPr>
        <w:t>CP precipitation remained negative from January through April (-1.24, -1.46, -2.14, and -2.04 mm day⁻¹) and below its SST-conditioned expectation, with a residual of -3.87 mm day⁻¹ in April. Precipitation turned positive in May (+0.42 mm day⁻¹) but remained 2.22 mm day⁻¹ below expectation. By June it increased to +2.40 mm day⁻¹, close to the +3.02 mm day⁻¹ expectation, and the residual narrowed to -0.61 mm day⁻¹. Deep convection therefore joined the evolution after D20, SST, and westerly adjustment. By June, thermocline adjustment and eastern warming co-occurred, warming coincided with stronger central-western Pacific westerlies, and recovering central-Pacific convection coexisted with the westerly anomaly. This joint evolution is consistent with progressive closure of the positive air-sea feedback, but monthly observations and historical regressions do not establish completed causal closure; convection had also not fully reached its historical conditional amplitude.</w:t>
      </w:r>
    </w:p>
    <w:p>
      <w:pPr>
        <w:pStyle w:val="Heading1"/>
        <w:keepNext/>
      </w:pPr>
      <w:r>
        <w:rPr>
          <w:rFonts w:ascii="Times New Roman" w:hAnsi="Times New Roman" w:eastAsia="Times New Roman" w:cs="Times New Roman"/>
          <w:b/>
          <w:i w:val="0"/>
          <w:sz w:val="30"/>
        </w:rPr>
        <w:t>5. Historical Similarity and Evolution</w:t>
      </w:r>
    </w:p>
    <w:p>
      <w:pPr>
        <w:pStyle w:val="Heading2"/>
        <w:keepNext/>
      </w:pPr>
      <w:r>
        <w:rPr>
          <w:rFonts w:ascii="Times New Roman" w:hAnsi="Times New Roman" w:eastAsia="Times New Roman" w:cs="Times New Roman"/>
          <w:b/>
          <w:i w:val="0"/>
          <w:sz w:val="26"/>
        </w:rPr>
        <w:t>Table 3. Layer-Resolved Similarity of 2026 to 2015 and 2023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tblHeader w:val="true"/>
        </w:trP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Physical layer</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Candidate</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Correlation r</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Centered RMSD</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Std. ratio</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SST</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0.621</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0.58 deg C</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0.961</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SST</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0.683</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0.51 deg C</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0.876</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u850</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0.504</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2.34 m/s</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1.056</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u850</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0.334</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2.37 m/s</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0.766</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Precipitation</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0.432</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4.25 mm/day</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0.989</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Precipitation</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0.376</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4.20 mm/day</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0.864</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D20</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2015/16</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0.880</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10.75 m</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0.991</w:t>
            </w:r>
          </w:p>
        </w:tc>
      </w:tr>
      <w:tr>
        <w:tc>
          <w:tcPr>
            <w:tcW w:type="dxa" w:w="1800"/>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D20</w:t>
            </w:r>
          </w:p>
        </w:tc>
        <w:tc>
          <w:tcPr>
            <w:tcW w:type="dxa" w:w="194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2023/24</w:t>
            </w:r>
          </w:p>
        </w:tc>
        <w:tc>
          <w:tcPr>
            <w:tcW w:type="dxa" w:w="1584"/>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0.864</w:t>
            </w:r>
          </w:p>
        </w:tc>
        <w:tc>
          <w:tcPr>
            <w:tcW w:type="dxa" w:w="2232"/>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12.21 m</w:t>
            </w:r>
          </w:p>
        </w:tc>
        <w:tc>
          <w:tcPr>
            <w:tcW w:type="dxa" w:w="1655"/>
            <w:vAlign w:val="center"/>
            <w:tcMar>
              <w:top w:w="65" w:type="dxa"/>
              <w:start w:w="90" w:type="dxa"/>
              <w:bottom w:w="65" w:type="dxa"/>
              <w:end w:w="90" w:type="dxa"/>
            </w:tcMar>
            <w:shd w:fill="FFFFFF"/>
          </w:tcPr>
          <w:p>
            <w:pPr>
              <w:spacing w:after="0" w:line="240" w:lineRule="auto"/>
            </w:pPr>
            <w:r>
              <w:rPr>
                <w:rFonts w:ascii="Times New Roman" w:hAnsi="Times New Roman" w:eastAsia="Times New Roman" w:cs="Times New Roman"/>
                <w:b w:val="0"/>
                <w:i w:val="0"/>
                <w:sz w:val="16"/>
              </w:rPr>
              <w:t>0.631</w:t>
            </w:r>
          </w:p>
        </w:tc>
      </w:tr>
    </w:tbl>
    <w:p>
      <w:pPr>
        <w:spacing w:after="100" w:line="264" w:lineRule="auto"/>
      </w:pPr>
      <w:r>
        <w:rPr>
          <w:rFonts w:ascii="Times New Roman" w:hAnsi="Times New Roman" w:eastAsia="Times New Roman" w:cs="Times New Roman"/>
          <w:b w:val="0"/>
          <w:i w:val="0"/>
          <w:sz w:val="18"/>
        </w:rPr>
        <w:t>Taylor statistics constrain pattern correlation, centered error, and relative amplitude separately; no aggregate similarity score is constructed.</w:t>
      </w:r>
    </w:p>
    <w:p>
      <w:pPr>
        <w:spacing w:after="100" w:line="264" w:lineRule="auto"/>
      </w:pPr>
      <w:r>
        <w:rPr>
          <w:rFonts w:ascii="Times New Roman" w:hAnsi="Times New Roman" w:eastAsia="Times New Roman" w:cs="Times New Roman"/>
          <w:b w:val="0"/>
          <w:i w:val="0"/>
          <w:sz w:val="21"/>
        </w:rPr>
        <w:t>The 2026 SST pattern is closer to 2023 (r=0.683; centered RMSD=0.51°C), whereas u850 and D20 are closer to 2015. Their correlations with 2015 are 0.504 and 0.880, respectively, and the D20 standard-deviation ratio is 0.991. Precipitation does not map robustly onto either event. Thus, 2026 began with eastern-leading surface warming and subsequently entered a basin-scale dynamical coupling regime; it is not a replica of either analogue.</w:t>
      </w:r>
    </w:p>
    <w:p>
      <w:pPr>
        <w:spacing w:after="100" w:line="264" w:lineRule="auto"/>
      </w:pPr>
      <w:r>
        <w:rPr>
          <w:rFonts w:ascii="Times New Roman" w:hAnsi="Times New Roman" w:eastAsia="Times New Roman" w:cs="Times New Roman"/>
          <w:b w:val="0"/>
          <w:i w:val="0"/>
          <w:sz w:val="21"/>
        </w:rPr>
        <w:t>Observations through June support further development toward a strongly coupled, basin-scale El Niño, but analogue statistics do not constrain peak amplitude. Independently, the 9 July 2026 NOAA CPC outlook assigned 97% probability of persistence into early spring 2027 and 81% probability of a very strong event in October-December 2026. The 3 July WMO update projected rapid strengthening to strong El Niño conditions during July-September.</w:t>
      </w:r>
    </w:p>
    <w:p>
      <w:pPr>
        <w:pStyle w:val="Heading1"/>
        <w:keepNext/>
      </w:pPr>
      <w:r>
        <w:rPr>
          <w:rFonts w:ascii="Times New Roman" w:hAnsi="Times New Roman" w:eastAsia="Times New Roman" w:cs="Times New Roman"/>
          <w:b/>
          <w:i w:val="0"/>
          <w:sz w:val="30"/>
        </w:rPr>
        <w:t>6. Conclusions</w:t>
      </w:r>
    </w:p>
    <w:p>
      <w:pPr>
        <w:spacing w:after="100" w:line="264" w:lineRule="auto"/>
      </w:pPr>
      <w:r>
        <w:rPr>
          <w:rFonts w:ascii="Times New Roman" w:hAnsi="Times New Roman" w:eastAsia="Times New Roman" w:cs="Times New Roman"/>
          <w:b w:val="0"/>
          <w:i w:val="0"/>
          <w:sz w:val="21"/>
        </w:rPr>
        <w:t>By June 2026, D20 adjustment, the Peng CWP near-surface wind response, and the 850 hPa circulation all evolved toward a coupled state, while SST retained the eastern-leading geometry of 2023. Deep convection recovered during May-June but remained weak relative to its SST-conditioned expectation. The summer-autumn evolution should therefore be evaluated through the persistence of central-Pacific convection and the continued coherence of westerly anomalies with ocean adjustment.</w:t>
      </w:r>
    </w:p>
    <w:p>
      <w:pPr>
        <w:pStyle w:val="Heading1"/>
        <w:keepNext/>
      </w:pPr>
      <w:r>
        <w:rPr>
          <w:rFonts w:ascii="Times New Roman" w:hAnsi="Times New Roman" w:eastAsia="Times New Roman" w:cs="Times New Roman"/>
          <w:b/>
          <w:i w:val="0"/>
          <w:sz w:val="30"/>
        </w:rPr>
        <w:t>Method and Data References</w:t>
      </w:r>
    </w:p>
    <w:p>
      <w:pPr>
        <w:spacing w:after="100" w:line="264" w:lineRule="auto"/>
      </w:pPr>
      <w:r>
        <w:rPr>
          <w:rFonts w:ascii="Times New Roman" w:hAnsi="Times New Roman" w:eastAsia="Times New Roman" w:cs="Times New Roman"/>
          <w:b w:val="0"/>
          <w:i w:val="0"/>
          <w:sz w:val="18"/>
        </w:rPr>
        <w:t>Peng et al. (2025), Nature Geoscience, doi:10.1038/s41561-025-01700-9: CWP (5°S–5°N, 140°E–160°W) u10, Niño3-conditioned regression, and actual-versus-expected response.</w:t>
        <w:br/>
        <w:t>Jiang et al. (2026), Geophysical Research Letters, doi:10.1029/2026GL123227: eastern-Pacific-leading warming, central-Pacific wind-precipitation response, and cross-event regression comparison.</w:t>
        <w:br/>
        <w:t>Li et al. (2024), Geophysical Research Letters, doi:10.1029/2024GL109874: process-separated atmospheric Bjerknes feedback from SST through precipitation heating and pressure to wind stress.</w:t>
        <w:br/>
        <w:t>Sun et al. (2016), Advances in Atmospheric Sciences, doi:10.1007/s00376-015-5018-6: central-Pacific precipitation and wind-stress responses to Niño3 SST and the 5°S–5°N, 180°–140°W diagnostic box.</w:t>
        <w:br/>
        <w:t>Kim, Tian &amp; Yu (2025), npj Climate and Atmospheric Science, doi:10.1038/s41612-024-00890-0: D20, western-Pacific warm water, and western-central Pacific zonal-wind evolution across events.</w:t>
        <w:br/>
        <w:t>Taylor (2001), Journal of Geophysical Research, doi:10.1029/2000JD900719: pattern correlation, centered RMSD, and standard-deviation ratio.</w:t>
        <w:br/>
        <w:t>Zuo et al. (2019), Ocean Science, doi:10.5194/os-15-779-2019: the ORAS5 system, data assimilation, and ocean-state reconstruction.</w:t>
        <w:br/>
        <w:t>NOAA CPC ENSO Diagnostic Discussion, 9 July 2026; WMO El Niño Update, 3 July 2026.</w:t>
      </w:r>
    </w:p>
    <w:sectPr w:rsidR="00FC693F" w:rsidRPr="0006063C" w:rsidSect="00034616">
      <w:pgSz w:w="12240" w:h="15840"/>
      <w:pgMar w:top="1123" w:right="1181" w:bottom="1037" w:left="1181"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4" w:lineRule="auto"/>
    </w:pPr>
    <w:rPr>
      <w:rFonts w:ascii="Times New Roman" w:hAnsi="Times New Roman" w:cs="Times New Roman" w:eastAsia="Hiragino Sans GB"/>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4" w:lineRule="auto"/>
      <w:outlineLvl w:val="0"/>
    </w:pPr>
    <w:rPr>
      <w:rFonts w:asciiTheme="majorHAnsi" w:eastAsiaTheme="majorEastAsia" w:hAnsiTheme="majorHAnsi" w:cstheme="majorBidi" w:ascii="Times New Roman" w:hAnsi="Times New Roman" w:cs="Times New Roman" w:eastAsia="Hiragino Sans GB"/>
      <w:b/>
      <w:bCs/>
      <w:sz w:val="30"/>
      <w:szCs w:val="28"/>
    </w:rPr>
  </w:style>
  <w:style w:type="paragraph" w:styleId="Heading2">
    <w:name w:val="heading 2"/>
    <w:basedOn w:val="Normal"/>
    <w:next w:val="Normal"/>
    <w:link w:val="Heading2Char"/>
    <w:uiPriority w:val="9"/>
    <w:unhideWhenUsed/>
    <w:qFormat/>
    <w:rsid w:val="00FC693F"/>
    <w:pPr>
      <w:keepNext/>
      <w:keepLines/>
      <w:spacing w:before="200" w:after="100" w:line="264" w:lineRule="auto"/>
      <w:outlineLvl w:val="1"/>
    </w:pPr>
    <w:rPr>
      <w:rFonts w:asciiTheme="majorHAnsi" w:eastAsiaTheme="majorEastAsia" w:hAnsiTheme="majorHAnsi" w:cstheme="majorBidi" w:ascii="Times New Roman" w:hAnsi="Times New Roman" w:cs="Times New Roman" w:eastAsia="Hiragino Sans GB"/>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Times New Roman" w:hAnsi="Times New Roman" w:cs="Times New Roman" w:eastAsia="Hiragino Sans GB"/>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before="20" w:after="120"/>
    </w:pPr>
    <w:rPr>
      <w:rFonts w:ascii="Times New Roman" w:hAnsi="Times New Roman" w:cs="Times New Roman" w:eastAsia="Hiragino Sans GB"/>
      <w:b w:val="0"/>
      <w:bCs/>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Air-Sea Coupling Diagnosis of the 2026 ENSO Event</dc:title>
  <dc:subject>January-June comparison with 2015/16 and 2023/24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