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cs="Times New Roman"/>
          <w:b/>
          <w:i w:val="0"/>
          <w:sz w:val="40"/>
        </w:rPr>
        <w:t>Air-Sea Coupling Diagnosis of the 2026 ENSO Event</w:t>
      </w:r>
    </w:p>
    <w:p>
      <w:pPr>
        <w:spacing w:after="200"/>
        <w:jc w:val="center"/>
      </w:pPr>
      <w:r>
        <w:rPr>
          <w:rFonts w:ascii="Times New Roman" w:hAnsi="Times New Roman" w:eastAsia="Times New Roman" w:cs="Times New Roman"/>
          <w:b w:val="0"/>
          <w:i w:val="0"/>
          <w:sz w:val="21"/>
        </w:rPr>
        <w:t>Comparison with 2015/16 and 2023/24; observations through June 2026</w:t>
      </w:r>
    </w:p>
    <w:p>
      <w:pPr>
        <w:pStyle w:val="Heading1"/>
        <w:keepNext/>
      </w:pPr>
      <w:r>
        <w:rPr>
          <w:rFonts w:ascii="Times New Roman" w:hAnsi="Times New Roman" w:eastAsia="Times New Roman" w:cs="Times New Roman"/>
          <w:b/>
          <w:i w:val="0"/>
          <w:sz w:val="30"/>
        </w:rPr>
        <w:t>Abstract</w:t>
      </w:r>
    </w:p>
    <w:p>
      <w:pPr>
        <w:spacing w:after="100" w:line="264" w:lineRule="auto"/>
      </w:pPr>
      <w:r>
        <w:rPr>
          <w:rFonts w:ascii="Times New Roman" w:hAnsi="Times New Roman" w:eastAsia="Times New Roman" w:cs="Times New Roman"/>
          <w:b w:val="0"/>
          <w:i w:val="0"/>
          <w:sz w:val="21"/>
        </w:rPr>
        <w:t>This report uses the strongly coupled 2015/16 event and the atmosphere-limited 2023/24 event to diagnose the January-June 2026 tropical Pacific state. Early warming retained the eastern-leading geometry of 2023, but the equatorial thermocline subsequently developed a basin-scale shallow-west/deep-east structure and central-western Pacific near-surface westerlies became persistent. Deep convection lagged these oceanic and dynamical adjustments and joined the coupled pattern only late in the period. The 2026 evolution is therefore a transition from an eastern surface signal toward a 2015-like dynamical coupling regime; its subsequent strength depends on whether central-Pacific convection can sustain the wind-thermocline feedback.</w:t>
      </w:r>
    </w:p>
    <w:p>
      <w:pPr>
        <w:pStyle w:val="Heading1"/>
        <w:keepNext/>
      </w:pPr>
      <w:r>
        <w:rPr>
          <w:rFonts w:ascii="Times New Roman" w:hAnsi="Times New Roman" w:eastAsia="Times New Roman" w:cs="Times New Roman"/>
          <w:b/>
          <w:i w:val="0"/>
          <w:sz w:val="30"/>
        </w:rPr>
        <w:t>Research Question and Methodological Basis</w:t>
      </w:r>
    </w:p>
    <w:p>
      <w:pPr>
        <w:spacing w:after="100" w:line="264" w:lineRule="auto"/>
      </w:pPr>
      <w:r>
        <w:rPr>
          <w:rFonts w:ascii="Times New Roman" w:hAnsi="Times New Roman" w:eastAsia="Times New Roman" w:cs="Times New Roman"/>
          <w:b w:val="0"/>
          <w:i w:val="0"/>
          <w:sz w:val="21"/>
        </w:rPr>
        <w:t>The 2023/24 event showed that a strong oceanic initial state need not produce an equally strong atmospheric response. The central question for 2026 is therefore whether the warming remains an eastern-Pacific surface development or has acquired a basin-scale positive feedback capable of sustaining itself. Peng et al. (2025) provide the Niño3-conditioned near-surface wind response used to test whether westerlies meet the historical SST-based expectation. Jiang et al. (2026) motivate the cross-event comparison of SST, wind, and precipitation centers, and Li et al. (2024) provide the process chain linking thermocline adjustment, surface warming, low-level wind, and convective heating. Taylor statistics identify the historical analogue separately in each physical field.</w:t>
      </w:r>
    </w:p>
    <w:p>
      <w:pPr>
        <w:spacing w:after="100" w:line="264" w:lineRule="auto"/>
      </w:pPr>
      <w:r>
        <w:rPr>
          <w:rFonts w:ascii="Times New Roman" w:hAnsi="Times New Roman" w:eastAsia="Times New Roman" w:cs="Times New Roman"/>
          <w:b w:val="0"/>
          <w:i w:val="0"/>
          <w:sz w:val="21"/>
        </w:rPr>
        <w:t>Peng CWP wind is the area-mean 10 m zonal wind over 5°S–5°N, 140°E–160°W. Central-Pacific precipitation follows the 5°S–5°N, 180°–140°W diagnostic region of Sun et al. (2016). Regional time series quantify observed-versus-expected responses, while 850 hPa vectors describe the spatial organization of the lower-tropospheric circulation. These diagnostics separate near-surface momentum response from the broader low-level wind pattern.</w:t>
      </w:r>
    </w:p>
    <w:p>
      <w:pPr>
        <w:pStyle w:val="Heading1"/>
        <w:keepNext/>
      </w:pPr>
      <w:r>
        <w:rPr>
          <w:rFonts w:ascii="Times New Roman" w:hAnsi="Times New Roman" w:eastAsia="Times New Roman" w:cs="Times New Roman"/>
          <w:b/>
          <w:i w:val="0"/>
          <w:sz w:val="30"/>
        </w:rPr>
        <w:t>1. Data and Methods</w:t>
      </w:r>
    </w:p>
    <w:p>
      <w:pPr>
        <w:spacing w:after="100" w:line="264" w:lineRule="auto"/>
      </w:pPr>
      <w:r>
        <w:rPr>
          <w:rFonts w:ascii="Times New Roman" w:hAnsi="Times New Roman" w:eastAsia="Times New Roman" w:cs="Times New Roman"/>
          <w:b w:val="0"/>
          <w:i w:val="0"/>
          <w:sz w:val="21"/>
        </w:rPr>
        <w:t>SST is from NOAA OISST; 10 m wind, 850 hPa wind, and precipitation are from ERA5; and 20°C isotherm depth (D20) is from ORAS5. June 2026 u10 is aggregated from hourly fields in the public ARCO-ERA5T mirror; the remaining u10 values use ERA5 monthly means. ERA5 850 hPa wind, precipitation, and ORAS5 anomalies use 1980-2014, whereas OISST and Peng CWP u10 use 1982-2014. Calendar-month climatologies and linear trends are removed. All events are compared over January-June of the developing year.</w:t>
      </w:r>
    </w:p>
    <w:p>
      <w:pPr>
        <w:spacing w:after="100" w:line="264" w:lineRule="auto"/>
      </w:pPr>
      <w:r>
        <w:rPr>
          <w:rFonts w:ascii="Times New Roman" w:hAnsi="Times New Roman" w:eastAsia="Times New Roman" w:cs="Times New Roman"/>
          <w:b w:val="0"/>
          <w:i w:val="0"/>
          <w:sz w:val="21"/>
        </w:rPr>
        <w:t>Atmospheric conditional responses are obtained from 1982-2014 calendar-month regressions on Niño3 SST, excluding 2015, 2023, and 2026. Historical similarity is evaluated with the area-weighted pattern correlation, centered RMSD, and standard-deviation ratio of Taylor (2001), separately for SST, u850, precipitation, and D20. Monthly time series establish process order, while spatial fields test whether anomaly centers, signs, and basin-scale structures evolve coherently.</w:t>
      </w:r>
    </w:p>
    <w:p>
      <w:pPr>
        <w:pStyle w:val="Heading2"/>
        <w:keepNext/>
      </w:pPr>
      <w:r>
        <w:rPr>
          <w:rFonts w:ascii="Times New Roman" w:hAnsi="Times New Roman" w:eastAsia="Times New Roman" w:cs="Times New Roman"/>
          <w:b/>
          <w:i w:val="0"/>
          <w:sz w:val="26"/>
        </w:rPr>
        <w:t>Table 1. Key Regional Metrics</w:t>
      </w:r>
    </w:p>
    <w:p>
      <w:pPr>
        <w:keepNext/>
        <w:spacing w:after="100" w:line="264" w:lineRule="auto"/>
      </w:pPr>
      <w:r>
        <w:rPr>
          <w:rFonts w:ascii="Times New Roman" w:hAnsi="Times New Roman" w:eastAsia="Times New Roman" w:cs="Times New Roman"/>
          <w:b w:val="0"/>
          <w:i w:val="0"/>
          <w:sz w:val="18"/>
        </w:rPr>
        <w:t>Each cell gives the January-June mean / June value. Positive Peng CWP u10 denotes a near-surface westerly anomaly.</w:t>
      </w:r>
    </w:p>
    <w:tbl>
      <w:tblPr>
        <w:tblStyle w:val="TableGrid"/>
        <w:tblW w:type="auto" w:w="0"/>
        <w:tblLayout w:type="fixed"/>
        <w:tblLook w:firstColumn="1" w:firstRow="1" w:lastColumn="0" w:lastRow="0" w:noHBand="0" w:noVBand="1" w:val="04A0"/>
      </w:tblPr>
      <w:tblGrid>
        <w:gridCol w:w="2469"/>
        <w:gridCol w:w="2469"/>
        <w:gridCol w:w="2469"/>
        <w:gridCol w:w="2469"/>
      </w:tblGrid>
      <w:tr>
        <w:trPr>
          <w:tblHeader w:val="true"/>
          <w:cantSplit/>
        </w:trPr>
        <w:tc>
          <w:tcPr>
            <w:tcW w:type="dxa" w:w="3168"/>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Metric</w:t>
            </w:r>
          </w:p>
        </w:tc>
        <w:tc>
          <w:tcPr>
            <w:tcW w:type="dxa" w:w="2059"/>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2015/16</w:t>
            </w:r>
          </w:p>
        </w:tc>
        <w:tc>
          <w:tcPr>
            <w:tcW w:type="dxa" w:w="2059"/>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2023/24</w:t>
            </w:r>
          </w:p>
        </w:tc>
        <w:tc>
          <w:tcPr>
            <w:tcW w:type="dxa" w:w="2059"/>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2026</w:t>
            </w:r>
          </w:p>
        </w:tc>
      </w:tr>
      <w:tr>
        <w:trPr>
          <w:cantSplit/>
        </w:trPr>
        <w:tc>
          <w:tcPr>
            <w:tcW w:type="dxa" w:w="3168"/>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Niño3.4 SST (°C)</w:t>
            </w:r>
          </w:p>
        </w:tc>
        <w:tc>
          <w:tcPr>
            <w:tcW w:type="dxa" w:w="2059"/>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+0.99 / +1.07</w:t>
            </w:r>
          </w:p>
        </w:tc>
        <w:tc>
          <w:tcPr>
            <w:tcW w:type="dxa" w:w="2059"/>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+0.40 / +0.92</w:t>
            </w:r>
          </w:p>
        </w:tc>
        <w:tc>
          <w:tcPr>
            <w:tcW w:type="dxa" w:w="2059"/>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+0.71 / +1.54</w:t>
            </w:r>
          </w:p>
        </w:tc>
      </w:tr>
      <w:tr>
        <w:trPr>
          <w:cantSplit/>
        </w:trPr>
        <w:tc>
          <w:tcPr>
            <w:tcW w:type="dxa" w:w="3168"/>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Peng CWP u10 (m s⁻¹)</w:t>
            </w:r>
          </w:p>
        </w:tc>
        <w:tc>
          <w:tcPr>
            <w:tcW w:type="dxa" w:w="2059"/>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+2.55 / +1.98</w:t>
            </w:r>
          </w:p>
        </w:tc>
        <w:tc>
          <w:tcPr>
            <w:tcW w:type="dxa" w:w="2059"/>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+0.02 / +0.50</w:t>
            </w:r>
          </w:p>
        </w:tc>
        <w:tc>
          <w:tcPr>
            <w:tcW w:type="dxa" w:w="2059"/>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+1.68 / +3.51</w:t>
            </w:r>
          </w:p>
        </w:tc>
      </w:tr>
      <w:tr>
        <w:trPr>
          <w:cantSplit/>
        </w:trPr>
        <w:tc>
          <w:tcPr>
            <w:tcW w:type="dxa" w:w="3168"/>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CP precipitation (mm day⁻¹)</w:t>
            </w:r>
          </w:p>
        </w:tc>
        <w:tc>
          <w:tcPr>
            <w:tcW w:type="dxa" w:w="2059"/>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+1.34 / +4.24</w:t>
            </w:r>
          </w:p>
        </w:tc>
        <w:tc>
          <w:tcPr>
            <w:tcW w:type="dxa" w:w="2059"/>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-0.28 / +1.42</w:t>
            </w:r>
          </w:p>
        </w:tc>
        <w:tc>
          <w:tcPr>
            <w:tcW w:type="dxa" w:w="2059"/>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-0.68 / +2.40</w:t>
            </w:r>
          </w:p>
        </w:tc>
      </w:tr>
      <w:tr>
        <w:trPr>
          <w:cantSplit/>
        </w:trPr>
        <w:tc>
          <w:tcPr>
            <w:tcW w:type="dxa" w:w="3168"/>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Western D20 (m)</w:t>
            </w:r>
          </w:p>
        </w:tc>
        <w:tc>
          <w:tcPr>
            <w:tcW w:type="dxa" w:w="2059"/>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-14.9 / -21.2</w:t>
            </w:r>
          </w:p>
        </w:tc>
        <w:tc>
          <w:tcPr>
            <w:tcW w:type="dxa" w:w="2059"/>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+5.8 / -2.7</w:t>
            </w:r>
          </w:p>
        </w:tc>
        <w:tc>
          <w:tcPr>
            <w:tcW w:type="dxa" w:w="2059"/>
            <w:vAlign w:val="center"/>
            <w:tcMar>
              <w:top w:w="80" w:type="dxa"/>
              <w:start w:w="120" w:type="dxa"/>
              <w:bottom w:w="80" w:type="dxa"/>
              <w:end w:w="120" w:type="dxa"/>
            </w:tcMar>
            <w:shd w:fill="FFFFFF"/>
          </w:tcPr>
          <w:p>
            <w:pPr>
              <w:keepNext/>
              <w:spacing w:after="0" w:line="252" w:lineRule="auto"/>
            </w:pPr>
            <w:r>
              <w:rPr>
                <w:rFonts w:ascii="Times New Roman" w:hAnsi="Times New Roman" w:eastAsia="Times New Roman" w:cs="Times New Roman"/>
                <w:b w:val="0"/>
                <w:i w:val="0"/>
                <w:sz w:val="17"/>
              </w:rPr>
              <w:t>-8.0 / -12.1</w:t>
            </w:r>
          </w:p>
        </w:tc>
      </w:tr>
      <w:tr>
        <w:trPr>
          <w:cantSplit/>
        </w:trPr>
        <w:tc>
          <w:tcPr>
            <w:tcW w:type="dxa" w:w="3168"/>
            <w:vAlign w:val="center"/>
            <w:tcMar>
              <w:top w:w="80" w:type="dxa"/>
              <w:start w:w="120" w:type="dxa"/>
              <w:bottom w:w="80" w:type="dxa"/>
              <w:end w:w="120" w:type="dxa"/>
            </w:tcMar>
            <w:shd w:fill="FFFFFF"/>
          </w:tcPr>
          <w:p>
            <w:pPr>
              <w:spacing w:after="0" w:line="252" w:lineRule="auto"/>
            </w:pPr>
            <w:r>
              <w:rPr>
                <w:rFonts w:ascii="Times New Roman" w:hAnsi="Times New Roman" w:eastAsia="Times New Roman" w:cs="Times New Roman"/>
                <w:b w:val="0"/>
                <w:i w:val="0"/>
                <w:sz w:val="17"/>
              </w:rPr>
              <w:t>Eastern D20 (m)</w:t>
            </w:r>
          </w:p>
        </w:tc>
        <w:tc>
          <w:tcPr>
            <w:tcW w:type="dxa" w:w="2059"/>
            <w:vAlign w:val="center"/>
            <w:tcMar>
              <w:top w:w="80" w:type="dxa"/>
              <w:start w:w="120" w:type="dxa"/>
              <w:bottom w:w="80" w:type="dxa"/>
              <w:end w:w="120" w:type="dxa"/>
            </w:tcMar>
            <w:shd w:fill="FFFFFF"/>
          </w:tcPr>
          <w:p>
            <w:pPr>
              <w:spacing w:after="0" w:line="252" w:lineRule="auto"/>
            </w:pPr>
            <w:r>
              <w:rPr>
                <w:rFonts w:ascii="Times New Roman" w:hAnsi="Times New Roman" w:eastAsia="Times New Roman" w:cs="Times New Roman"/>
                <w:b w:val="0"/>
                <w:i w:val="0"/>
                <w:sz w:val="17"/>
              </w:rPr>
              <w:t>+26.4 / +37.0</w:t>
            </w:r>
          </w:p>
        </w:tc>
        <w:tc>
          <w:tcPr>
            <w:tcW w:type="dxa" w:w="2059"/>
            <w:vAlign w:val="center"/>
            <w:tcMar>
              <w:top w:w="80" w:type="dxa"/>
              <w:start w:w="120" w:type="dxa"/>
              <w:bottom w:w="80" w:type="dxa"/>
              <w:end w:w="120" w:type="dxa"/>
            </w:tcMar>
            <w:shd w:fill="FFFFFF"/>
          </w:tcPr>
          <w:p>
            <w:pPr>
              <w:spacing w:after="0" w:line="252" w:lineRule="auto"/>
            </w:pPr>
            <w:r>
              <w:rPr>
                <w:rFonts w:ascii="Times New Roman" w:hAnsi="Times New Roman" w:eastAsia="Times New Roman" w:cs="Times New Roman"/>
                <w:b w:val="0"/>
                <w:i w:val="0"/>
                <w:sz w:val="17"/>
              </w:rPr>
              <w:t>+30.2 / +39.1</w:t>
            </w:r>
          </w:p>
        </w:tc>
        <w:tc>
          <w:tcPr>
            <w:tcW w:type="dxa" w:w="2059"/>
            <w:vAlign w:val="center"/>
            <w:tcMar>
              <w:top w:w="80" w:type="dxa"/>
              <w:start w:w="120" w:type="dxa"/>
              <w:bottom w:w="80" w:type="dxa"/>
              <w:end w:w="120" w:type="dxa"/>
            </w:tcMar>
            <w:shd w:fill="FFFFFF"/>
          </w:tcPr>
          <w:p>
            <w:pPr>
              <w:spacing w:after="0" w:line="252" w:lineRule="auto"/>
            </w:pPr>
            <w:r>
              <w:rPr>
                <w:rFonts w:ascii="Times New Roman" w:hAnsi="Times New Roman" w:eastAsia="Times New Roman" w:cs="Times New Roman"/>
                <w:b w:val="0"/>
                <w:i w:val="0"/>
                <w:sz w:val="17"/>
              </w:rPr>
              <w:t>+32.7 / +46.6</w:t>
            </w:r>
          </w:p>
        </w:tc>
      </w:tr>
    </w:tbl>
    <w:p>
      <w:pPr>
        <w:pStyle w:val="Heading1"/>
        <w:keepNext/>
      </w:pPr>
      <w:r>
        <w:rPr>
          <w:rFonts w:ascii="Times New Roman" w:hAnsi="Times New Roman" w:eastAsia="Times New Roman" w:cs="Times New Roman"/>
          <w:b/>
          <w:i w:val="0"/>
          <w:sz w:val="30"/>
        </w:rPr>
        <w:t>2. Evolution of the Three Events</w:t>
      </w:r>
    </w:p>
    <w:p>
      <w:pPr>
        <w:pStyle w:val="Heading2"/>
        <w:keepNext/>
      </w:pPr>
      <w:r>
        <w:rPr>
          <w:rFonts w:ascii="Times New Roman" w:hAnsi="Times New Roman" w:eastAsia="Times New Roman" w:cs="Times New Roman"/>
          <w:b/>
          <w:i w:val="0"/>
          <w:sz w:val="26"/>
        </w:rPr>
        <w:t>2.1 SST and 850 hPa Wind</w:t>
      </w:r>
    </w:p>
    <w:p>
      <w:pPr>
        <w:spacing w:after="100" w:line="264" w:lineRule="auto"/>
      </w:pPr>
      <w:r>
        <w:rPr>
          <w:rFonts w:ascii="Times New Roman" w:hAnsi="Times New Roman" w:eastAsia="Times New Roman" w:cs="Times New Roman"/>
          <w:b w:val="0"/>
          <w:i w:val="0"/>
          <w:sz w:val="21"/>
        </w:rPr>
        <w:t>In 2015, warm anomalies formed a connected central-eastern Pacific pattern, while westerlies intensified on the western flank of the warm region and favored eastward warm-water displacement. In 2023, warming remained more confined to the east and the central-western Pacific westerly response was weak and spatially incoherent. Early 2026 resembled the eastern-leading 2023 geometry, but the warm region expanded westward during spring and the low-level westerly band became organized across the central-western Pacific. The surface onset was 2023-like; the later circulation configuration moved toward the coupled 2015 state.</w:t>
      </w:r>
    </w:p>
    <w:p>
      <w:pPr>
        <w:keepNext/>
        <w:spacing w:after="40"/>
        <w:jc w:val="center"/>
      </w:pPr>
      <w:r>
        <w:drawing>
          <wp:inline xmlns:a="http://schemas.openxmlformats.org/drawingml/2006/main" xmlns:pic="http://schemas.openxmlformats.org/drawingml/2006/picture">
            <wp:extent cx="5806440" cy="2753282"/>
            <wp:docPr id="1" name="Picture 1" title="Figure 1. OISST SSTA and ERA5 850 hPa wind anomalies during the 2015/16 development year." descr="Figure 1. OISST SSTA and ERA5 850 hPa wind anomalies during the 2015/16 development year."/>
            <wp:cNvGraphicFramePr>
              <a:graphicFrameLocks noChangeAspect="1"/>
            </wp:cNvGraphicFramePr>
            <a:graphic>
              <a:graphicData uri="http://schemas.openxmlformats.org/drawingml/2006/picture">
                <pic:pic>
                  <pic:nvPicPr>
                    <pic:cNvPr id="0" name="fig_2015_revised_ssta_u850_detrended_1980_2014.png"/>
                    <pic:cNvPicPr/>
                  </pic:nvPicPr>
                  <pic:blipFill>
                    <a:blip r:embed="rId9"/>
                    <a:stretch>
                      <a:fillRect/>
                    </a:stretch>
                  </pic:blipFill>
                  <pic:spPr>
                    <a:xfrm>
                      <a:off x="0" y="0"/>
                      <a:ext cx="5806440" cy="2753282"/>
                    </a:xfrm>
                    <a:prstGeom prst="rect"/>
                  </pic:spPr>
                </pic:pic>
              </a:graphicData>
            </a:graphic>
          </wp:inline>
        </w:drawing>
      </w:r>
    </w:p>
    <w:p>
      <w:pPr>
        <w:pStyle w:val="Caption"/>
        <w:spacing w:before="20" w:after="140"/>
        <w:jc w:val="center"/>
      </w:pPr>
      <w:r>
        <w:rPr>
          <w:rFonts w:ascii="Times New Roman" w:hAnsi="Times New Roman" w:eastAsia="Times New Roman" w:cs="Times New Roman"/>
          <w:b w:val="0"/>
          <w:i/>
          <w:sz w:val="17"/>
        </w:rPr>
        <w:t>Figure 1. OISST SSTA and ERA5 850 hPa wind anomalies during the 2015/16 development year.</w:t>
      </w:r>
    </w:p>
    <w:p>
      <w:pPr>
        <w:keepNext/>
        <w:spacing w:after="40"/>
        <w:jc w:val="center"/>
      </w:pPr>
      <w:r>
        <w:drawing>
          <wp:inline xmlns:a="http://schemas.openxmlformats.org/drawingml/2006/main" xmlns:pic="http://schemas.openxmlformats.org/drawingml/2006/picture">
            <wp:extent cx="5806440" cy="2753282"/>
            <wp:docPr id="2" name="Picture 2" title="Figure 2. OISST SSTA and ERA5 850 hPa wind anomalies during the 2023/24 development year." descr="Figure 2. OISST SSTA and ERA5 850 hPa wind anomalies during the 2023/24 development year."/>
            <wp:cNvGraphicFramePr>
              <a:graphicFrameLocks noChangeAspect="1"/>
            </wp:cNvGraphicFramePr>
            <a:graphic>
              <a:graphicData uri="http://schemas.openxmlformats.org/drawingml/2006/picture">
                <pic:pic>
                  <pic:nvPicPr>
                    <pic:cNvPr id="0" name="fig_2023_revised_ssta_u850_detrended_1980_2014.png"/>
                    <pic:cNvPicPr/>
                  </pic:nvPicPr>
                  <pic:blipFill>
                    <a:blip r:embed="rId10"/>
                    <a:stretch>
                      <a:fillRect/>
                    </a:stretch>
                  </pic:blipFill>
                  <pic:spPr>
                    <a:xfrm>
                      <a:off x="0" y="0"/>
                      <a:ext cx="5806440" cy="2753282"/>
                    </a:xfrm>
                    <a:prstGeom prst="rect"/>
                  </pic:spPr>
                </pic:pic>
              </a:graphicData>
            </a:graphic>
          </wp:inline>
        </w:drawing>
      </w:r>
    </w:p>
    <w:p>
      <w:pPr>
        <w:pStyle w:val="Caption"/>
        <w:spacing w:before="20" w:after="140"/>
        <w:jc w:val="center"/>
      </w:pPr>
      <w:r>
        <w:rPr>
          <w:rFonts w:ascii="Times New Roman" w:hAnsi="Times New Roman" w:eastAsia="Times New Roman" w:cs="Times New Roman"/>
          <w:b w:val="0"/>
          <w:i/>
          <w:sz w:val="17"/>
        </w:rPr>
        <w:t>Figure 2. OISST SSTA and ERA5 850 hPa wind anomalies during the 2023/24 development year.</w:t>
      </w:r>
    </w:p>
    <w:p>
      <w:pPr>
        <w:keepNext/>
        <w:spacing w:after="40"/>
        <w:jc w:val="center"/>
      </w:pPr>
      <w:r>
        <w:drawing>
          <wp:inline xmlns:a="http://schemas.openxmlformats.org/drawingml/2006/main" xmlns:pic="http://schemas.openxmlformats.org/drawingml/2006/picture">
            <wp:extent cx="5806440" cy="2753282"/>
            <wp:docPr id="3" name="Picture 3" title="Figure 3. OISST SSTA and ERA5 850 hPa wind anomalies, January-June 2026." descr="Figure 3. OISST SSTA and ERA5 850 hPa wind anomalies, January-June 2026."/>
            <wp:cNvGraphicFramePr>
              <a:graphicFrameLocks noChangeAspect="1"/>
            </wp:cNvGraphicFramePr>
            <a:graphic>
              <a:graphicData uri="http://schemas.openxmlformats.org/drawingml/2006/picture">
                <pic:pic>
                  <pic:nvPicPr>
                    <pic:cNvPr id="0" name="fig_2026_revised_ssta_u850_detrended_1980_2014.png"/>
                    <pic:cNvPicPr/>
                  </pic:nvPicPr>
                  <pic:blipFill>
                    <a:blip r:embed="rId11"/>
                    <a:stretch>
                      <a:fillRect/>
                    </a:stretch>
                  </pic:blipFill>
                  <pic:spPr>
                    <a:xfrm>
                      <a:off x="0" y="0"/>
                      <a:ext cx="5806440" cy="2753282"/>
                    </a:xfrm>
                    <a:prstGeom prst="rect"/>
                  </pic:spPr>
                </pic:pic>
              </a:graphicData>
            </a:graphic>
          </wp:inline>
        </w:drawing>
      </w:r>
    </w:p>
    <w:p>
      <w:pPr>
        <w:pStyle w:val="Caption"/>
        <w:spacing w:before="20" w:after="140"/>
        <w:jc w:val="center"/>
      </w:pPr>
      <w:r>
        <w:rPr>
          <w:rFonts w:ascii="Times New Roman" w:hAnsi="Times New Roman" w:eastAsia="Times New Roman" w:cs="Times New Roman"/>
          <w:b w:val="0"/>
          <w:i/>
          <w:sz w:val="17"/>
        </w:rPr>
        <w:t>Figure 3. OISST SSTA and ERA5 850 hPa wind anomalies, January-June 2026.</w:t>
      </w:r>
    </w:p>
    <w:p>
      <w:pPr>
        <w:pStyle w:val="Heading2"/>
        <w:keepNext/>
      </w:pPr>
      <w:r>
        <w:rPr>
          <w:rFonts w:ascii="Times New Roman" w:hAnsi="Times New Roman" w:eastAsia="Times New Roman" w:cs="Times New Roman"/>
          <w:b/>
          <w:i w:val="0"/>
          <w:sz w:val="26"/>
        </w:rPr>
        <w:t>2.2 Precipitation and 850 hPa Wind</w:t>
      </w:r>
    </w:p>
    <w:p>
      <w:pPr>
        <w:spacing w:after="100" w:line="264" w:lineRule="auto"/>
      </w:pPr>
      <w:r>
        <w:rPr>
          <w:rFonts w:ascii="Times New Roman" w:hAnsi="Times New Roman" w:eastAsia="Times New Roman" w:cs="Times New Roman"/>
          <w:b w:val="0"/>
          <w:i w:val="0"/>
          <w:sz w:val="21"/>
        </w:rPr>
        <w:t>In 2015, central-Pacific positive precipitation anomalies developed with the westerly center, indicating that deep convective heating had joined the Walker-circulation adjustment. In 2023, convection did not expand sufficiently into the central Pacific, and the wind-precipitation pattern remained poorly aligned. During early 2026, central-Pacific convection was still suppressed even as near-surface and 850 hPa westerlies began to develop. Positive precipitation anomalies entered the central Pacific only later and then overlapped the westerly region. This wind-before-rain sequence places deep-convective organization after the oceanic and boundary-layer dynamical response.</w:t>
      </w:r>
    </w:p>
    <w:p>
      <w:pPr>
        <w:keepNext/>
        <w:spacing w:after="40"/>
        <w:jc w:val="center"/>
      </w:pPr>
      <w:r>
        <w:drawing>
          <wp:inline xmlns:a="http://schemas.openxmlformats.org/drawingml/2006/main" xmlns:pic="http://schemas.openxmlformats.org/drawingml/2006/picture">
            <wp:extent cx="5806440" cy="2753282"/>
            <wp:docPr id="4" name="Picture 4" title="Figure 4. ERA5 precipitation and 850 hPa wind anomalies during the 2015/16 development year." descr="Figure 4. ERA5 precipitation and 850 hPa wind anomalies during the 2015/16 development year."/>
            <wp:cNvGraphicFramePr>
              <a:graphicFrameLocks noChangeAspect="1"/>
            </wp:cNvGraphicFramePr>
            <a:graphic>
              <a:graphicData uri="http://schemas.openxmlformats.org/drawingml/2006/picture">
                <pic:pic>
                  <pic:nvPicPr>
                    <pic:cNvPr id="0" name="fig_2015_paperstyle_era5_precip_u850_strip_detrended_1980_2014.png"/>
                    <pic:cNvPicPr/>
                  </pic:nvPicPr>
                  <pic:blipFill>
                    <a:blip r:embed="rId12"/>
                    <a:stretch>
                      <a:fillRect/>
                    </a:stretch>
                  </pic:blipFill>
                  <pic:spPr>
                    <a:xfrm>
                      <a:off x="0" y="0"/>
                      <a:ext cx="5806440" cy="2753282"/>
                    </a:xfrm>
                    <a:prstGeom prst="rect"/>
                  </pic:spPr>
                </pic:pic>
              </a:graphicData>
            </a:graphic>
          </wp:inline>
        </w:drawing>
      </w:r>
    </w:p>
    <w:p>
      <w:pPr>
        <w:pStyle w:val="Caption"/>
        <w:spacing w:before="20" w:after="140"/>
        <w:jc w:val="center"/>
      </w:pPr>
      <w:r>
        <w:rPr>
          <w:rFonts w:ascii="Times New Roman" w:hAnsi="Times New Roman" w:eastAsia="Times New Roman" w:cs="Times New Roman"/>
          <w:b w:val="0"/>
          <w:i/>
          <w:sz w:val="17"/>
        </w:rPr>
        <w:t>Figure 4. ERA5 precipitation and 850 hPa wind anomalies during the 2015/16 development year.</w:t>
      </w:r>
    </w:p>
    <w:p>
      <w:pPr>
        <w:keepNext/>
        <w:spacing w:after="40"/>
        <w:jc w:val="center"/>
      </w:pPr>
      <w:r>
        <w:drawing>
          <wp:inline xmlns:a="http://schemas.openxmlformats.org/drawingml/2006/main" xmlns:pic="http://schemas.openxmlformats.org/drawingml/2006/picture">
            <wp:extent cx="5806440" cy="2753282"/>
            <wp:docPr id="5" name="Picture 5" title="Figure 5. ERA5 precipitation and 850 hPa wind anomalies during the 2023/24 development year." descr="Figure 5. ERA5 precipitation and 850 hPa wind anomalies during the 2023/24 development year."/>
            <wp:cNvGraphicFramePr>
              <a:graphicFrameLocks noChangeAspect="1"/>
            </wp:cNvGraphicFramePr>
            <a:graphic>
              <a:graphicData uri="http://schemas.openxmlformats.org/drawingml/2006/picture">
                <pic:pic>
                  <pic:nvPicPr>
                    <pic:cNvPr id="0" name="fig_2023_paperstyle_era5_precip_u850_strip_detrended_1980_2014.png"/>
                    <pic:cNvPicPr/>
                  </pic:nvPicPr>
                  <pic:blipFill>
                    <a:blip r:embed="rId13"/>
                    <a:stretch>
                      <a:fillRect/>
                    </a:stretch>
                  </pic:blipFill>
                  <pic:spPr>
                    <a:xfrm>
                      <a:off x="0" y="0"/>
                      <a:ext cx="5806440" cy="2753282"/>
                    </a:xfrm>
                    <a:prstGeom prst="rect"/>
                  </pic:spPr>
                </pic:pic>
              </a:graphicData>
            </a:graphic>
          </wp:inline>
        </w:drawing>
      </w:r>
    </w:p>
    <w:p>
      <w:pPr>
        <w:pStyle w:val="Caption"/>
        <w:spacing w:before="20" w:after="140"/>
        <w:jc w:val="center"/>
      </w:pPr>
      <w:r>
        <w:rPr>
          <w:rFonts w:ascii="Times New Roman" w:hAnsi="Times New Roman" w:eastAsia="Times New Roman" w:cs="Times New Roman"/>
          <w:b w:val="0"/>
          <w:i/>
          <w:sz w:val="17"/>
        </w:rPr>
        <w:t>Figure 5. ERA5 precipitation and 850 hPa wind anomalies during the 2023/24 development year.</w:t>
      </w:r>
    </w:p>
    <w:p>
      <w:pPr>
        <w:keepNext/>
        <w:spacing w:after="40"/>
        <w:jc w:val="center"/>
      </w:pPr>
      <w:r>
        <w:drawing>
          <wp:inline xmlns:a="http://schemas.openxmlformats.org/drawingml/2006/main" xmlns:pic="http://schemas.openxmlformats.org/drawingml/2006/picture">
            <wp:extent cx="5806440" cy="2753282"/>
            <wp:docPr id="6" name="Picture 6" title="Figure 6. ERA5 precipitation and 850 hPa wind anomalies, January-June 2026." descr="Figure 6. ERA5 precipitation and 850 hPa wind anomalies, January-June 2026."/>
            <wp:cNvGraphicFramePr>
              <a:graphicFrameLocks noChangeAspect="1"/>
            </wp:cNvGraphicFramePr>
            <a:graphic>
              <a:graphicData uri="http://schemas.openxmlformats.org/drawingml/2006/picture">
                <pic:pic>
                  <pic:nvPicPr>
                    <pic:cNvPr id="0" name="fig_2026_paperstyle_era5_precip_u850_strip_detrended_1980_2014.png"/>
                    <pic:cNvPicPr/>
                  </pic:nvPicPr>
                  <pic:blipFill>
                    <a:blip r:embed="rId14"/>
                    <a:stretch>
                      <a:fillRect/>
                    </a:stretch>
                  </pic:blipFill>
                  <pic:spPr>
                    <a:xfrm>
                      <a:off x="0" y="0"/>
                      <a:ext cx="5806440" cy="2753282"/>
                    </a:xfrm>
                    <a:prstGeom prst="rect"/>
                  </pic:spPr>
                </pic:pic>
              </a:graphicData>
            </a:graphic>
          </wp:inline>
        </w:drawing>
      </w:r>
    </w:p>
    <w:p>
      <w:pPr>
        <w:pStyle w:val="Caption"/>
        <w:spacing w:before="20" w:after="140"/>
        <w:jc w:val="center"/>
      </w:pPr>
      <w:r>
        <w:rPr>
          <w:rFonts w:ascii="Times New Roman" w:hAnsi="Times New Roman" w:eastAsia="Times New Roman" w:cs="Times New Roman"/>
          <w:b w:val="0"/>
          <w:i/>
          <w:sz w:val="17"/>
        </w:rPr>
        <w:t>Figure 6. ERA5 precipitation and 850 hPa wind anomalies, January-June 2026.</w:t>
      </w:r>
    </w:p>
    <w:p>
      <w:pPr>
        <w:pStyle w:val="Heading2"/>
        <w:keepNext/>
      </w:pPr>
      <w:r>
        <w:rPr>
          <w:rFonts w:ascii="Times New Roman" w:hAnsi="Times New Roman" w:eastAsia="Times New Roman" w:cs="Times New Roman"/>
          <w:b/>
          <w:i w:val="0"/>
          <w:sz w:val="26"/>
        </w:rPr>
        <w:t>2.3 D20 and Equatorial u850</w:t>
      </w:r>
    </w:p>
    <w:p>
      <w:pPr>
        <w:spacing w:after="100" w:line="264" w:lineRule="auto"/>
      </w:pPr>
      <w:r>
        <w:rPr>
          <w:rFonts w:ascii="Times New Roman" w:hAnsi="Times New Roman" w:eastAsia="Times New Roman" w:cs="Times New Roman"/>
          <w:b w:val="0"/>
          <w:i w:val="0"/>
          <w:sz w:val="21"/>
        </w:rPr>
        <w:t>The 2015 thermocline showed sustained western shoaling and eastern deepening, consistent with eastward warm-water redistribution and strong subsurface support for eastern-Pacific warming. In 2023, eastern deepening occurred without comparable western shoaling, leaving the basin-scale tilt and dynamical feedback weaker. In 2026, eastern deepening appeared first and western shoaling followed, producing a coherent shallow-west/deep-east structure late in the period. The ocean evolved from a localized eastern signal into a basin-scale adjustment and is therefore dynamically closer to 2015 than to 2023.</w:t>
      </w:r>
    </w:p>
    <w:p>
      <w:pPr>
        <w:keepNext/>
        <w:spacing w:after="40"/>
        <w:jc w:val="center"/>
      </w:pPr>
      <w:r>
        <w:drawing>
          <wp:inline xmlns:a="http://schemas.openxmlformats.org/drawingml/2006/main" xmlns:pic="http://schemas.openxmlformats.org/drawingml/2006/picture">
            <wp:extent cx="5806440" cy="2686938"/>
            <wp:docPr id="7" name="Picture 7" title="Figure 7. ORAS5 equatorial D20 anomalies and ERA5 equatorial u850 during the 2015/16 development year." descr="Figure 7. ORAS5 equatorial D20 anomalies and ERA5 equatorial u850 during the 2015/16 development year."/>
            <wp:cNvGraphicFramePr>
              <a:graphicFrameLocks noChangeAspect="1"/>
            </wp:cNvGraphicFramePr>
            <a:graphic>
              <a:graphicData uri="http://schemas.openxmlformats.org/drawingml/2006/picture">
                <pic:pic>
                  <pic:nvPicPr>
                    <pic:cNvPr id="0" name="fig_2015_revised_d20_u850_detrended_1980_2014.png"/>
                    <pic:cNvPicPr/>
                  </pic:nvPicPr>
                  <pic:blipFill>
                    <a:blip r:embed="rId15"/>
                    <a:stretch>
                      <a:fillRect/>
                    </a:stretch>
                  </pic:blipFill>
                  <pic:spPr>
                    <a:xfrm>
                      <a:off x="0" y="0"/>
                      <a:ext cx="5806440" cy="2686938"/>
                    </a:xfrm>
                    <a:prstGeom prst="rect"/>
                  </pic:spPr>
                </pic:pic>
              </a:graphicData>
            </a:graphic>
          </wp:inline>
        </w:drawing>
      </w:r>
    </w:p>
    <w:p>
      <w:pPr>
        <w:pStyle w:val="Caption"/>
        <w:spacing w:before="20" w:after="140"/>
        <w:jc w:val="center"/>
      </w:pPr>
      <w:r>
        <w:rPr>
          <w:rFonts w:ascii="Times New Roman" w:hAnsi="Times New Roman" w:eastAsia="Times New Roman" w:cs="Times New Roman"/>
          <w:b w:val="0"/>
          <w:i/>
          <w:sz w:val="17"/>
        </w:rPr>
        <w:t>Figure 7. ORAS5 equatorial D20 anomalies and ERA5 equatorial u850 during the 2015/16 development year.</w:t>
      </w:r>
    </w:p>
    <w:p>
      <w:pPr>
        <w:keepNext/>
        <w:spacing w:after="40"/>
        <w:jc w:val="center"/>
      </w:pPr>
      <w:r>
        <w:drawing>
          <wp:inline xmlns:a="http://schemas.openxmlformats.org/drawingml/2006/main" xmlns:pic="http://schemas.openxmlformats.org/drawingml/2006/picture">
            <wp:extent cx="5806440" cy="2686938"/>
            <wp:docPr id="8" name="Picture 8" title="Figure 8. ORAS5 equatorial D20 anomalies and ERA5 equatorial u850 during the 2023/24 development year." descr="Figure 8. ORAS5 equatorial D20 anomalies and ERA5 equatorial u850 during the 2023/24 development year."/>
            <wp:cNvGraphicFramePr>
              <a:graphicFrameLocks noChangeAspect="1"/>
            </wp:cNvGraphicFramePr>
            <a:graphic>
              <a:graphicData uri="http://schemas.openxmlformats.org/drawingml/2006/picture">
                <pic:pic>
                  <pic:nvPicPr>
                    <pic:cNvPr id="0" name="fig_2023_revised_d20_u850_detrended_1980_2014.png"/>
                    <pic:cNvPicPr/>
                  </pic:nvPicPr>
                  <pic:blipFill>
                    <a:blip r:embed="rId16"/>
                    <a:stretch>
                      <a:fillRect/>
                    </a:stretch>
                  </pic:blipFill>
                  <pic:spPr>
                    <a:xfrm>
                      <a:off x="0" y="0"/>
                      <a:ext cx="5806440" cy="2686938"/>
                    </a:xfrm>
                    <a:prstGeom prst="rect"/>
                  </pic:spPr>
                </pic:pic>
              </a:graphicData>
            </a:graphic>
          </wp:inline>
        </w:drawing>
      </w:r>
    </w:p>
    <w:p>
      <w:pPr>
        <w:pStyle w:val="Caption"/>
        <w:spacing w:before="20" w:after="140"/>
        <w:jc w:val="center"/>
      </w:pPr>
      <w:r>
        <w:rPr>
          <w:rFonts w:ascii="Times New Roman" w:hAnsi="Times New Roman" w:eastAsia="Times New Roman" w:cs="Times New Roman"/>
          <w:b w:val="0"/>
          <w:i/>
          <w:sz w:val="17"/>
        </w:rPr>
        <w:t>Figure 8. ORAS5 equatorial D20 anomalies and ERA5 equatorial u850 during the 2023/24 development year.</w:t>
      </w:r>
    </w:p>
    <w:p>
      <w:pPr>
        <w:keepNext/>
        <w:spacing w:after="40"/>
        <w:jc w:val="center"/>
      </w:pPr>
      <w:r>
        <w:drawing>
          <wp:inline xmlns:a="http://schemas.openxmlformats.org/drawingml/2006/main" xmlns:pic="http://schemas.openxmlformats.org/drawingml/2006/picture">
            <wp:extent cx="5806440" cy="2686938"/>
            <wp:docPr id="9" name="Picture 9" title="Figure 9. ORAS5 equatorial D20 anomalies and ERA5 equatorial u850, January-June 2026." descr="Figure 9. ORAS5 equatorial D20 anomalies and ERA5 equatorial u850, January-June 2026."/>
            <wp:cNvGraphicFramePr>
              <a:graphicFrameLocks noChangeAspect="1"/>
            </wp:cNvGraphicFramePr>
            <a:graphic>
              <a:graphicData uri="http://schemas.openxmlformats.org/drawingml/2006/picture">
                <pic:pic>
                  <pic:nvPicPr>
                    <pic:cNvPr id="0" name="fig_2026_revised_d20_u850_detrended_1980_2014.png"/>
                    <pic:cNvPicPr/>
                  </pic:nvPicPr>
                  <pic:blipFill>
                    <a:blip r:embed="rId17"/>
                    <a:stretch>
                      <a:fillRect/>
                    </a:stretch>
                  </pic:blipFill>
                  <pic:spPr>
                    <a:xfrm>
                      <a:off x="0" y="0"/>
                      <a:ext cx="5806440" cy="2686938"/>
                    </a:xfrm>
                    <a:prstGeom prst="rect"/>
                  </pic:spPr>
                </pic:pic>
              </a:graphicData>
            </a:graphic>
          </wp:inline>
        </w:drawing>
      </w:r>
    </w:p>
    <w:p>
      <w:pPr>
        <w:pStyle w:val="Caption"/>
        <w:spacing w:before="20" w:after="140"/>
        <w:jc w:val="center"/>
      </w:pPr>
      <w:r>
        <w:rPr>
          <w:rFonts w:ascii="Times New Roman" w:hAnsi="Times New Roman" w:eastAsia="Times New Roman" w:cs="Times New Roman"/>
          <w:b w:val="0"/>
          <w:i/>
          <w:sz w:val="17"/>
        </w:rPr>
        <w:t>Figure 9. ORAS5 equatorial D20 anomalies and ERA5 equatorial u850, January-June 2026.</w:t>
      </w:r>
    </w:p>
    <w:p>
      <w:pPr>
        <w:pStyle w:val="Heading1"/>
        <w:keepNext/>
      </w:pPr>
      <w:r>
        <w:rPr>
          <w:rFonts w:ascii="Times New Roman" w:hAnsi="Times New Roman" w:eastAsia="Times New Roman" w:cs="Times New Roman"/>
          <w:b/>
          <w:i w:val="0"/>
          <w:sz w:val="30"/>
        </w:rPr>
        <w:t>3. SST-Conditioned Atmospheric Response</w:t>
      </w:r>
    </w:p>
    <w:p>
      <w:pPr>
        <w:pStyle w:val="Heading2"/>
        <w:keepNext/>
      </w:pPr>
      <w:r>
        <w:rPr>
          <w:rFonts w:ascii="Times New Roman" w:hAnsi="Times New Roman" w:eastAsia="Times New Roman" w:cs="Times New Roman"/>
          <w:b/>
          <w:i w:val="0"/>
          <w:sz w:val="26"/>
        </w:rPr>
        <w:t>Table 2. Observed versus SST-Conditioned Response</w:t>
      </w:r>
    </w:p>
    <w:tbl>
      <w:tblPr>
        <w:tblStyle w:val="TableGrid"/>
        <w:tblW w:type="auto" w:w="0"/>
        <w:tblLayout w:type="fixed"/>
        <w:tblLook w:firstColumn="1" w:firstRow="1" w:lastColumn="0" w:lastRow="0" w:noHBand="0" w:noVBand="1" w:val="04A0"/>
      </w:tblPr>
      <w:tblGrid>
        <w:gridCol w:w="2469"/>
        <w:gridCol w:w="2469"/>
        <w:gridCol w:w="2469"/>
        <w:gridCol w:w="2469"/>
      </w:tblGrid>
      <w:tr>
        <w:trPr>
          <w:tblHeader w:val="true"/>
          <w:cantSplit/>
        </w:trPr>
        <w:tc>
          <w:tcPr>
            <w:tcW w:type="dxa" w:w="2951"/>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Response (Jan-Jun mean)</w:t>
            </w:r>
          </w:p>
        </w:tc>
        <w:tc>
          <w:tcPr>
            <w:tcW w:type="dxa" w:w="2131"/>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2015/16</w:t>
            </w:r>
          </w:p>
        </w:tc>
        <w:tc>
          <w:tcPr>
            <w:tcW w:type="dxa" w:w="2131"/>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2023/24</w:t>
            </w:r>
          </w:p>
        </w:tc>
        <w:tc>
          <w:tcPr>
            <w:tcW w:type="dxa" w:w="2131"/>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2026 state</w:t>
            </w:r>
          </w:p>
        </w:tc>
      </w:tr>
      <w:tr>
        <w:trPr>
          <w:cantSplit/>
        </w:trPr>
        <w:tc>
          <w:tcPr>
            <w:tcW w:type="dxa" w:w="2951"/>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Peng CWP u10 (m/s)</w:t>
            </w:r>
          </w:p>
        </w:tc>
        <w:tc>
          <w:tcPr>
            <w:tcW w:type="dxa" w:w="2131"/>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+2.55 / +0.70 (+1.85)</w:t>
            </w:r>
          </w:p>
        </w:tc>
        <w:tc>
          <w:tcPr>
            <w:tcW w:type="dxa" w:w="2131"/>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+0.02 / +0.51 (-0.50)</w:t>
            </w:r>
          </w:p>
        </w:tc>
        <w:tc>
          <w:tcPr>
            <w:tcW w:type="dxa" w:w="2131"/>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+1.68 / +0.63 (+1.05)</w:t>
            </w:r>
          </w:p>
        </w:tc>
      </w:tr>
      <w:tr>
        <w:trPr>
          <w:cantSplit/>
        </w:trPr>
        <w:tc>
          <w:tcPr>
            <w:tcW w:type="dxa" w:w="2951"/>
            <w:vAlign w:val="center"/>
            <w:tcMar>
              <w:top w:w="65" w:type="dxa"/>
              <w:start w:w="90" w:type="dxa"/>
              <w:bottom w:w="65" w:type="dxa"/>
              <w:end w:w="90" w:type="dxa"/>
            </w:tcMar>
            <w:shd w:fill="FFFFFF"/>
          </w:tcPr>
          <w:p>
            <w:pPr>
              <w:spacing w:after="0" w:line="240" w:lineRule="auto"/>
            </w:pPr>
            <w:r>
              <w:rPr>
                <w:rFonts w:ascii="Times New Roman" w:hAnsi="Times New Roman" w:eastAsia="Times New Roman" w:cs="Times New Roman"/>
                <w:b w:val="0"/>
                <w:i w:val="0"/>
                <w:sz w:val="16"/>
              </w:rPr>
              <w:t>CP precipitation (mm/day)</w:t>
            </w:r>
          </w:p>
        </w:tc>
        <w:tc>
          <w:tcPr>
            <w:tcW w:type="dxa" w:w="2131"/>
            <w:vAlign w:val="center"/>
            <w:tcMar>
              <w:top w:w="65" w:type="dxa"/>
              <w:start w:w="90" w:type="dxa"/>
              <w:bottom w:w="65" w:type="dxa"/>
              <w:end w:w="90" w:type="dxa"/>
            </w:tcMar>
            <w:shd w:fill="FFFFFF"/>
          </w:tcPr>
          <w:p>
            <w:pPr>
              <w:spacing w:after="0" w:line="240" w:lineRule="auto"/>
            </w:pPr>
            <w:r>
              <w:rPr>
                <w:rFonts w:ascii="Times New Roman" w:hAnsi="Times New Roman" w:eastAsia="Times New Roman" w:cs="Times New Roman"/>
                <w:b w:val="0"/>
                <w:i w:val="0"/>
                <w:sz w:val="16"/>
              </w:rPr>
              <w:t>+1.34 / +2.20 (-0.85)</w:t>
            </w:r>
          </w:p>
        </w:tc>
        <w:tc>
          <w:tcPr>
            <w:tcW w:type="dxa" w:w="2131"/>
            <w:vAlign w:val="center"/>
            <w:tcMar>
              <w:top w:w="65" w:type="dxa"/>
              <w:start w:w="90" w:type="dxa"/>
              <w:bottom w:w="65" w:type="dxa"/>
              <w:end w:w="90" w:type="dxa"/>
            </w:tcMar>
            <w:shd w:fill="FFFFFF"/>
          </w:tcPr>
          <w:p>
            <w:pPr>
              <w:spacing w:after="0" w:line="240" w:lineRule="auto"/>
            </w:pPr>
            <w:r>
              <w:rPr>
                <w:rFonts w:ascii="Times New Roman" w:hAnsi="Times New Roman" w:eastAsia="Times New Roman" w:cs="Times New Roman"/>
                <w:b w:val="0"/>
                <w:i w:val="0"/>
                <w:sz w:val="16"/>
              </w:rPr>
              <w:t>-0.28 / +1.60 (-1.88)</w:t>
            </w:r>
          </w:p>
        </w:tc>
        <w:tc>
          <w:tcPr>
            <w:tcW w:type="dxa" w:w="2131"/>
            <w:vAlign w:val="center"/>
            <w:tcMar>
              <w:top w:w="65" w:type="dxa"/>
              <w:start w:w="90" w:type="dxa"/>
              <w:bottom w:w="65" w:type="dxa"/>
              <w:end w:w="90" w:type="dxa"/>
            </w:tcMar>
            <w:shd w:fill="FFFFFF"/>
          </w:tcPr>
          <w:p>
            <w:pPr>
              <w:spacing w:after="0" w:line="240" w:lineRule="auto"/>
            </w:pPr>
            <w:r>
              <w:rPr>
                <w:rFonts w:ascii="Times New Roman" w:hAnsi="Times New Roman" w:eastAsia="Times New Roman" w:cs="Times New Roman"/>
                <w:b w:val="0"/>
                <w:i w:val="0"/>
                <w:sz w:val="16"/>
              </w:rPr>
              <w:t>-0.68 / +1.90 (-2.58)</w:t>
            </w:r>
          </w:p>
        </w:tc>
      </w:tr>
    </w:tbl>
    <w:p>
      <w:pPr>
        <w:spacing w:after="100" w:line="264" w:lineRule="auto"/>
      </w:pPr>
      <w:r>
        <w:rPr>
          <w:rFonts w:ascii="Times New Roman" w:hAnsi="Times New Roman" w:eastAsia="Times New Roman" w:cs="Times New Roman"/>
          <w:b w:val="0"/>
          <w:i w:val="0"/>
          <w:sz w:val="18"/>
        </w:rPr>
        <w:t>Each cell gives observed / historical expectation (residual). Calendar-month Niño3 regressions are fitted over 1982-2014 with all three target years excluded.</w:t>
      </w:r>
    </w:p>
    <w:p>
      <w:pPr>
        <w:keepNext/>
        <w:spacing w:after="40"/>
        <w:jc w:val="center"/>
      </w:pPr>
      <w:r>
        <w:drawing>
          <wp:inline xmlns:a="http://schemas.openxmlformats.org/drawingml/2006/main" xmlns:pic="http://schemas.openxmlformats.org/drawingml/2006/picture">
            <wp:extent cx="5806440" cy="2712149"/>
            <wp:docPr id="10" name="Picture 10" title="Figure 10. Observed atmospheric responses and Niño3 SST-conditioned historical expectations for the three events; regression period: 1982-2014." descr="Figure 10. Observed atmospheric responses and Niño3 SST-conditioned historical expectations for the three events; regression period: 1982-2014."/>
            <wp:cNvGraphicFramePr>
              <a:graphicFrameLocks noChangeAspect="1"/>
            </wp:cNvGraphicFramePr>
            <a:graphic>
              <a:graphicData uri="http://schemas.openxmlformats.org/drawingml/2006/picture">
                <pic:pic>
                  <pic:nvPicPr>
                    <pic:cNvPr id="0" name="fig_targets_observed_expected_atmospheric_response_1982_2014.png"/>
                    <pic:cNvPicPr/>
                  </pic:nvPicPr>
                  <pic:blipFill>
                    <a:blip r:embed="rId18"/>
                    <a:stretch>
                      <a:fillRect/>
                    </a:stretch>
                  </pic:blipFill>
                  <pic:spPr>
                    <a:xfrm>
                      <a:off x="0" y="0"/>
                      <a:ext cx="5806440" cy="2712149"/>
                    </a:xfrm>
                    <a:prstGeom prst="rect"/>
                  </pic:spPr>
                </pic:pic>
              </a:graphicData>
            </a:graphic>
          </wp:inline>
        </w:drawing>
      </w:r>
    </w:p>
    <w:p>
      <w:pPr>
        <w:pStyle w:val="Caption"/>
        <w:spacing w:before="20" w:after="140"/>
        <w:jc w:val="center"/>
      </w:pPr>
      <w:r>
        <w:rPr>
          <w:rFonts w:ascii="Times New Roman" w:hAnsi="Times New Roman" w:eastAsia="Times New Roman" w:cs="Times New Roman"/>
          <w:b w:val="0"/>
          <w:i/>
          <w:sz w:val="17"/>
        </w:rPr>
        <w:t>Figure 10. Observed atmospheric responses and Niño3 SST-conditioned historical expectations for the three events; regression period: 1982-2014.</w:t>
      </w:r>
    </w:p>
    <w:p>
      <w:pPr>
        <w:keepLines/>
        <w:spacing w:after="100" w:line="264" w:lineRule="auto"/>
      </w:pPr>
      <w:r>
        <w:rPr>
          <w:rFonts w:ascii="Times New Roman" w:hAnsi="Times New Roman" w:eastAsia="Times New Roman" w:cs="Times New Roman"/>
          <w:b w:val="0"/>
          <w:i w:val="0"/>
          <w:sz w:val="21"/>
        </w:rPr>
        <w:t>The SST-conditioned regressions convert event SST amplitude into a calendar-month historical atmospheric benchmark. The 2015 near-surface westerlies exceeded this benchmark, consistent with atmospheric amplification in a strongly coupled event. In 2023, both wind and precipitation fell below expectation, showing that the SST anomaly failed to organize an adequate central-western Pacific response. The 2026 response is process-separated: near-surface westerlies remained above expectation after spring, while central-Pacific precipitation stayed below expectation for most of the period. The limiting link has shifted from near-surface wind response to the migration and persistence of deep convective heating.</w:t>
      </w:r>
    </w:p>
    <w:p>
      <w:pPr>
        <w:pStyle w:val="Heading1"/>
        <w:keepNext/>
      </w:pPr>
      <w:r>
        <w:rPr>
          <w:rFonts w:ascii="Times New Roman" w:hAnsi="Times New Roman" w:eastAsia="Times New Roman" w:cs="Times New Roman"/>
          <w:b/>
          <w:i w:val="0"/>
          <w:sz w:val="30"/>
        </w:rPr>
        <w:t>4. Coupling Sequence in 2026</w:t>
      </w:r>
    </w:p>
    <w:p>
      <w:pPr>
        <w:keepNext/>
        <w:spacing w:after="40"/>
        <w:jc w:val="center"/>
      </w:pPr>
      <w:r>
        <w:drawing>
          <wp:inline xmlns:a="http://schemas.openxmlformats.org/drawingml/2006/main" xmlns:pic="http://schemas.openxmlformats.org/drawingml/2006/picture">
            <wp:extent cx="5806440" cy="2485299"/>
            <wp:docPr id="11" name="Picture 11" title="Figure 11. January-June 2026 D20, Niño3 SST, Peng CWP u10, and CP precipitation, including SST-conditioned atmospheric expectations. Background colors separate process periods identified from the observed evolution." descr="Figure 11. January-June 2026 D20, Niño3 SST, Peng CWP u10, and CP precipitation, including SST-conditioned atmospheric expectations. Background colors separate process periods identified from the observed evolution."/>
            <wp:cNvGraphicFramePr>
              <a:graphicFrameLocks noChangeAspect="1"/>
            </wp:cNvGraphicFramePr>
            <a:graphic>
              <a:graphicData uri="http://schemas.openxmlformats.org/drawingml/2006/picture">
                <pic:pic>
                  <pic:nvPicPr>
                    <pic:cNvPr id="0" name="fig_2026_staged_air_sea_coupling_jan_jun_1980_2014.png"/>
                    <pic:cNvPicPr/>
                  </pic:nvPicPr>
                  <pic:blipFill>
                    <a:blip r:embed="rId19"/>
                    <a:stretch>
                      <a:fillRect/>
                    </a:stretch>
                  </pic:blipFill>
                  <pic:spPr>
                    <a:xfrm>
                      <a:off x="0" y="0"/>
                      <a:ext cx="5806440" cy="2485299"/>
                    </a:xfrm>
                    <a:prstGeom prst="rect"/>
                  </pic:spPr>
                </pic:pic>
              </a:graphicData>
            </a:graphic>
          </wp:inline>
        </w:drawing>
      </w:r>
    </w:p>
    <w:p>
      <w:pPr>
        <w:pStyle w:val="Caption"/>
        <w:spacing w:before="20" w:after="140"/>
        <w:jc w:val="center"/>
      </w:pPr>
      <w:r>
        <w:rPr>
          <w:rFonts w:ascii="Times New Roman" w:hAnsi="Times New Roman" w:eastAsia="Times New Roman" w:cs="Times New Roman"/>
          <w:b w:val="0"/>
          <w:i/>
          <w:sz w:val="17"/>
        </w:rPr>
        <w:t>Figure 11. January-June 2026 D20, Niño3 SST, Peng CWP u10, and CP precipitation, including SST-conditioned atmospheric expectations. Background colors separate process periods identified from the observed evolution.</w:t>
      </w:r>
    </w:p>
    <w:p>
      <w:pPr>
        <w:pStyle w:val="Heading2"/>
        <w:keepNext/>
      </w:pPr>
      <w:r>
        <w:rPr>
          <w:rFonts w:ascii="Times New Roman" w:hAnsi="Times New Roman" w:eastAsia="Times New Roman" w:cs="Times New Roman"/>
          <w:b/>
          <w:i w:val="0"/>
          <w:sz w:val="26"/>
        </w:rPr>
        <w:t>4.1 Thermocline Adjustment (Figure 11a)</w:t>
      </w:r>
    </w:p>
    <w:p>
      <w:pPr>
        <w:spacing w:after="100" w:line="264" w:lineRule="auto"/>
      </w:pPr>
      <w:r>
        <w:rPr>
          <w:rFonts w:ascii="Times New Roman" w:hAnsi="Times New Roman" w:eastAsia="Times New Roman" w:cs="Times New Roman"/>
          <w:b w:val="0"/>
          <w:i w:val="0"/>
          <w:sz w:val="21"/>
        </w:rPr>
        <w:t>The eastern thermocline deepened before a comparable western response, indicating localized subsurface warmth rather than a basin-wide tilt. Western shoaling emerged during spring and completed a shallow-west/deep-east structure. This redistribution limits cold-water supply to the eastern mixed layer and converts initial ocean memory into dynamical support for surface warming.</w:t>
      </w:r>
    </w:p>
    <w:p>
      <w:pPr>
        <w:pStyle w:val="Heading2"/>
        <w:keepNext/>
      </w:pPr>
      <w:r>
        <w:rPr>
          <w:rFonts w:ascii="Times New Roman" w:hAnsi="Times New Roman" w:eastAsia="Times New Roman" w:cs="Times New Roman"/>
          <w:b/>
          <w:i w:val="0"/>
          <w:sz w:val="26"/>
        </w:rPr>
        <w:t>4.2 Eastern-Pacific Surface Warming (Figure 11b)</w:t>
      </w:r>
    </w:p>
    <w:p>
      <w:pPr>
        <w:spacing w:after="100" w:line="264" w:lineRule="auto"/>
      </w:pPr>
      <w:r>
        <w:rPr>
          <w:rFonts w:ascii="Times New Roman" w:hAnsi="Times New Roman" w:eastAsia="Times New Roman" w:cs="Times New Roman"/>
          <w:b w:val="0"/>
          <w:i w:val="0"/>
          <w:sz w:val="21"/>
        </w:rPr>
        <w:t>Niño3 warming developed in two steps: a rapid early increase, a spring pause, and renewed acceleration after the thermocline tilt strengthened. This phase relationship links the surface warming to ocean dynamics. Eastern thermocline deepening reduces entrainment and upwelling of cold water into the mixed layer, while western shoaling accompanies the eastward displacement of warm water. The later surface acceleration is thus the expression of basin-scale thermocline adjustment at the sea surface, not an isolated local heat anomaly.</w:t>
      </w:r>
    </w:p>
    <w:p>
      <w:pPr>
        <w:pStyle w:val="Heading2"/>
        <w:keepNext/>
      </w:pPr>
      <w:r>
        <w:rPr>
          <w:rFonts w:ascii="Times New Roman" w:hAnsi="Times New Roman" w:eastAsia="Times New Roman" w:cs="Times New Roman"/>
          <w:b/>
          <w:i w:val="0"/>
          <w:sz w:val="26"/>
        </w:rPr>
        <w:t>4.3 Low-Level Zonal-Wind Response (Figure 11c)</w:t>
      </w:r>
    </w:p>
    <w:p>
      <w:pPr>
        <w:spacing w:after="100" w:line="264" w:lineRule="auto"/>
      </w:pPr>
      <w:r>
        <w:rPr>
          <w:rFonts w:ascii="Times New Roman" w:hAnsi="Times New Roman" w:eastAsia="Times New Roman" w:cs="Times New Roman"/>
          <w:b w:val="0"/>
          <w:i w:val="0"/>
          <w:sz w:val="21"/>
        </w:rPr>
        <w:t>Near-surface zonal wind alternated in sign early in the year, indicating that the atmosphere had not yet established a stable response to eastern-Pacific warming. From spring onward, CWP westerlies became persistent and increasingly exceeded the Niño3-conditioned historical expectation, while the 850 hPa westerly band organized spatially into the central Pacific. These westerlies weaken the equatorial trades, promote eastward warm-water displacement, and reinforce the emerging thermocline tilt. Unlike the persistently weak wind response of 2023, near-surface wind in 2026 changed from a limiting link into active support for ocean adjustment; its strength also cannot be explained by contemporaneous Niño3 amplitude alone.</w:t>
      </w:r>
    </w:p>
    <w:p>
      <w:pPr>
        <w:pStyle w:val="Heading2"/>
        <w:keepNext/>
      </w:pPr>
      <w:r>
        <w:rPr>
          <w:rFonts w:ascii="Times New Roman" w:hAnsi="Times New Roman" w:eastAsia="Times New Roman" w:cs="Times New Roman"/>
          <w:b/>
          <w:i w:val="0"/>
          <w:sz w:val="26"/>
        </w:rPr>
        <w:t>4.4 Deep-Convective Response (Figure 11d)</w:t>
      </w:r>
    </w:p>
    <w:p>
      <w:pPr>
        <w:keepLines/>
        <w:spacing w:after="100" w:line="264" w:lineRule="auto"/>
      </w:pPr>
      <w:r>
        <w:rPr>
          <w:rFonts w:ascii="Times New Roman" w:hAnsi="Times New Roman" w:eastAsia="Times New Roman" w:cs="Times New Roman"/>
          <w:b w:val="0"/>
          <w:i w:val="0"/>
          <w:sz w:val="21"/>
        </w:rPr>
        <w:t>Central-Pacific precipitation was the last of the four components to respond. Eastern SST and the thermocline had already changed while convection remained suppressed, showing that the surface thermal anomaly had not yet produced an effective deep-heating response in the central Pacific. Later, precipitation became positive and moved toward its SST-conditioned expectation, and the positive anomaly began to overlap the westerly region. Latent heating from organized deep convection can strengthen the zonal pressure gradient and anomalous Walker circulation, helping maintain the central-western Pacific westerlies. Convection therefore determines whether the established wind-ocean link can continue to amplify. The observed order is eastern subsurface and surface warming first, basin-scale thermocline and westerly adjustment second, and convective recovery last. The principal feedback geometry is present, but its persistence depends on central-Pacific convection through boreal summer and autumn.</w:t>
      </w:r>
    </w:p>
    <w:p>
      <w:pPr>
        <w:pStyle w:val="Heading1"/>
        <w:keepNext/>
      </w:pPr>
      <w:r>
        <w:rPr>
          <w:rFonts w:ascii="Times New Roman" w:hAnsi="Times New Roman" w:eastAsia="Times New Roman" w:cs="Times New Roman"/>
          <w:b/>
          <w:i w:val="0"/>
          <w:sz w:val="30"/>
        </w:rPr>
        <w:t>5. Historical Similarity and Evolution</w:t>
      </w:r>
    </w:p>
    <w:p>
      <w:pPr>
        <w:pStyle w:val="Heading2"/>
        <w:keepNext/>
      </w:pPr>
      <w:r>
        <w:rPr>
          <w:rFonts w:ascii="Times New Roman" w:hAnsi="Times New Roman" w:eastAsia="Times New Roman" w:cs="Times New Roman"/>
          <w:b/>
          <w:i w:val="0"/>
          <w:sz w:val="26"/>
        </w:rPr>
        <w:t>Table 3. Layer-Resolved Similarity of 2026 to 2015 and 2023</w:t>
      </w:r>
    </w:p>
    <w:tbl>
      <w:tblPr>
        <w:tblStyle w:val="TableGrid"/>
        <w:tblW w:type="auto" w:w="0"/>
        <w:tblLayout w:type="fixed"/>
        <w:tblLook w:firstColumn="1" w:firstRow="1" w:lastColumn="0" w:lastRow="0" w:noHBand="0" w:noVBand="1" w:val="04A0"/>
      </w:tblPr>
      <w:tblGrid>
        <w:gridCol w:w="1976"/>
        <w:gridCol w:w="1976"/>
        <w:gridCol w:w="1976"/>
        <w:gridCol w:w="1976"/>
        <w:gridCol w:w="1976"/>
      </w:tblGrid>
      <w:tr>
        <w:trPr>
          <w:tblHeader w:val="true"/>
          <w:cantSplit/>
        </w:trPr>
        <w:tc>
          <w:tcPr>
            <w:tcW w:type="dxa" w:w="1800"/>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Physical layer</w:t>
            </w:r>
          </w:p>
        </w:tc>
        <w:tc>
          <w:tcPr>
            <w:tcW w:type="dxa" w:w="1944"/>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Candidate</w:t>
            </w:r>
          </w:p>
        </w:tc>
        <w:tc>
          <w:tcPr>
            <w:tcW w:type="dxa" w:w="1584"/>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Correlation r</w:t>
            </w:r>
          </w:p>
        </w:tc>
        <w:tc>
          <w:tcPr>
            <w:tcW w:type="dxa" w:w="2232"/>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Centered RMSD</w:t>
            </w:r>
          </w:p>
        </w:tc>
        <w:tc>
          <w:tcPr>
            <w:tcW w:type="dxa" w:w="1655"/>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Std. ratio</w:t>
            </w:r>
          </w:p>
        </w:tc>
      </w:tr>
      <w:tr>
        <w:trPr>
          <w:cantSplit/>
        </w:trPr>
        <w:tc>
          <w:tcPr>
            <w:tcW w:type="dxa" w:w="1800"/>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SST</w:t>
            </w:r>
          </w:p>
        </w:tc>
        <w:tc>
          <w:tcPr>
            <w:tcW w:type="dxa" w:w="1944"/>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2015/16</w:t>
            </w:r>
          </w:p>
        </w:tc>
        <w:tc>
          <w:tcPr>
            <w:tcW w:type="dxa" w:w="1584"/>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0.621</w:t>
            </w:r>
          </w:p>
        </w:tc>
        <w:tc>
          <w:tcPr>
            <w:tcW w:type="dxa" w:w="2232"/>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0.58 deg C</w:t>
            </w:r>
          </w:p>
        </w:tc>
        <w:tc>
          <w:tcPr>
            <w:tcW w:type="dxa" w:w="1655"/>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0.961</w:t>
            </w:r>
          </w:p>
        </w:tc>
      </w:tr>
      <w:tr>
        <w:trPr>
          <w:cantSplit/>
        </w:trPr>
        <w:tc>
          <w:tcPr>
            <w:tcW w:type="dxa" w:w="1800"/>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SST</w:t>
            </w:r>
          </w:p>
        </w:tc>
        <w:tc>
          <w:tcPr>
            <w:tcW w:type="dxa" w:w="1944"/>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2023/24</w:t>
            </w:r>
          </w:p>
        </w:tc>
        <w:tc>
          <w:tcPr>
            <w:tcW w:type="dxa" w:w="1584"/>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0.683</w:t>
            </w:r>
          </w:p>
        </w:tc>
        <w:tc>
          <w:tcPr>
            <w:tcW w:type="dxa" w:w="2232"/>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0.51 deg C</w:t>
            </w:r>
          </w:p>
        </w:tc>
        <w:tc>
          <w:tcPr>
            <w:tcW w:type="dxa" w:w="1655"/>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0.876</w:t>
            </w:r>
          </w:p>
        </w:tc>
      </w:tr>
      <w:tr>
        <w:trPr>
          <w:cantSplit/>
        </w:trPr>
        <w:tc>
          <w:tcPr>
            <w:tcW w:type="dxa" w:w="1800"/>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u850</w:t>
            </w:r>
          </w:p>
        </w:tc>
        <w:tc>
          <w:tcPr>
            <w:tcW w:type="dxa" w:w="1944"/>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2015/16</w:t>
            </w:r>
          </w:p>
        </w:tc>
        <w:tc>
          <w:tcPr>
            <w:tcW w:type="dxa" w:w="1584"/>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0.504</w:t>
            </w:r>
          </w:p>
        </w:tc>
        <w:tc>
          <w:tcPr>
            <w:tcW w:type="dxa" w:w="2232"/>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2.34 m/s</w:t>
            </w:r>
          </w:p>
        </w:tc>
        <w:tc>
          <w:tcPr>
            <w:tcW w:type="dxa" w:w="1655"/>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1.056</w:t>
            </w:r>
          </w:p>
        </w:tc>
      </w:tr>
      <w:tr>
        <w:trPr>
          <w:cantSplit/>
        </w:trPr>
        <w:tc>
          <w:tcPr>
            <w:tcW w:type="dxa" w:w="1800"/>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u850</w:t>
            </w:r>
          </w:p>
        </w:tc>
        <w:tc>
          <w:tcPr>
            <w:tcW w:type="dxa" w:w="1944"/>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2023/24</w:t>
            </w:r>
          </w:p>
        </w:tc>
        <w:tc>
          <w:tcPr>
            <w:tcW w:type="dxa" w:w="1584"/>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0.334</w:t>
            </w:r>
          </w:p>
        </w:tc>
        <w:tc>
          <w:tcPr>
            <w:tcW w:type="dxa" w:w="2232"/>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2.37 m/s</w:t>
            </w:r>
          </w:p>
        </w:tc>
        <w:tc>
          <w:tcPr>
            <w:tcW w:type="dxa" w:w="1655"/>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0.766</w:t>
            </w:r>
          </w:p>
        </w:tc>
      </w:tr>
      <w:tr>
        <w:trPr>
          <w:cantSplit/>
        </w:trPr>
        <w:tc>
          <w:tcPr>
            <w:tcW w:type="dxa" w:w="1800"/>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Precipitation</w:t>
            </w:r>
          </w:p>
        </w:tc>
        <w:tc>
          <w:tcPr>
            <w:tcW w:type="dxa" w:w="1944"/>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2015/16</w:t>
            </w:r>
          </w:p>
        </w:tc>
        <w:tc>
          <w:tcPr>
            <w:tcW w:type="dxa" w:w="1584"/>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0.432</w:t>
            </w:r>
          </w:p>
        </w:tc>
        <w:tc>
          <w:tcPr>
            <w:tcW w:type="dxa" w:w="2232"/>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4.25 mm/day</w:t>
            </w:r>
          </w:p>
        </w:tc>
        <w:tc>
          <w:tcPr>
            <w:tcW w:type="dxa" w:w="1655"/>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0.989</w:t>
            </w:r>
          </w:p>
        </w:tc>
      </w:tr>
      <w:tr>
        <w:trPr>
          <w:cantSplit/>
        </w:trPr>
        <w:tc>
          <w:tcPr>
            <w:tcW w:type="dxa" w:w="1800"/>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Precipitation</w:t>
            </w:r>
          </w:p>
        </w:tc>
        <w:tc>
          <w:tcPr>
            <w:tcW w:type="dxa" w:w="1944"/>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2023/24</w:t>
            </w:r>
          </w:p>
        </w:tc>
        <w:tc>
          <w:tcPr>
            <w:tcW w:type="dxa" w:w="1584"/>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0.376</w:t>
            </w:r>
          </w:p>
        </w:tc>
        <w:tc>
          <w:tcPr>
            <w:tcW w:type="dxa" w:w="2232"/>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4.20 mm/day</w:t>
            </w:r>
          </w:p>
        </w:tc>
        <w:tc>
          <w:tcPr>
            <w:tcW w:type="dxa" w:w="1655"/>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0.864</w:t>
            </w:r>
          </w:p>
        </w:tc>
      </w:tr>
      <w:tr>
        <w:trPr>
          <w:cantSplit/>
        </w:trPr>
        <w:tc>
          <w:tcPr>
            <w:tcW w:type="dxa" w:w="1800"/>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D20</w:t>
            </w:r>
          </w:p>
        </w:tc>
        <w:tc>
          <w:tcPr>
            <w:tcW w:type="dxa" w:w="1944"/>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2015/16</w:t>
            </w:r>
          </w:p>
        </w:tc>
        <w:tc>
          <w:tcPr>
            <w:tcW w:type="dxa" w:w="1584"/>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0.880</w:t>
            </w:r>
          </w:p>
        </w:tc>
        <w:tc>
          <w:tcPr>
            <w:tcW w:type="dxa" w:w="2232"/>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10.75 m</w:t>
            </w:r>
          </w:p>
        </w:tc>
        <w:tc>
          <w:tcPr>
            <w:tcW w:type="dxa" w:w="1655"/>
            <w:vAlign w:val="center"/>
            <w:tcMar>
              <w:top w:w="65" w:type="dxa"/>
              <w:start w:w="90" w:type="dxa"/>
              <w:bottom w:w="65" w:type="dxa"/>
              <w:end w:w="90" w:type="dxa"/>
            </w:tcMar>
            <w:shd w:fill="FFFFFF"/>
          </w:tcPr>
          <w:p>
            <w:pPr>
              <w:keepNext/>
              <w:spacing w:after="0" w:line="240" w:lineRule="auto"/>
            </w:pPr>
            <w:r>
              <w:rPr>
                <w:rFonts w:ascii="Times New Roman" w:hAnsi="Times New Roman" w:eastAsia="Times New Roman" w:cs="Times New Roman"/>
                <w:b w:val="0"/>
                <w:i w:val="0"/>
                <w:sz w:val="16"/>
              </w:rPr>
              <w:t>0.991</w:t>
            </w:r>
          </w:p>
        </w:tc>
      </w:tr>
      <w:tr>
        <w:trPr>
          <w:cantSplit/>
        </w:trPr>
        <w:tc>
          <w:tcPr>
            <w:tcW w:type="dxa" w:w="1800"/>
            <w:vAlign w:val="center"/>
            <w:tcMar>
              <w:top w:w="65" w:type="dxa"/>
              <w:start w:w="90" w:type="dxa"/>
              <w:bottom w:w="65" w:type="dxa"/>
              <w:end w:w="90" w:type="dxa"/>
            </w:tcMar>
            <w:shd w:fill="FFFFFF"/>
          </w:tcPr>
          <w:p>
            <w:pPr>
              <w:spacing w:after="0" w:line="240" w:lineRule="auto"/>
            </w:pPr>
            <w:r>
              <w:rPr>
                <w:rFonts w:ascii="Times New Roman" w:hAnsi="Times New Roman" w:eastAsia="Times New Roman" w:cs="Times New Roman"/>
                <w:b w:val="0"/>
                <w:i w:val="0"/>
                <w:sz w:val="16"/>
              </w:rPr>
              <w:t>D20</w:t>
            </w:r>
          </w:p>
        </w:tc>
        <w:tc>
          <w:tcPr>
            <w:tcW w:type="dxa" w:w="1944"/>
            <w:vAlign w:val="center"/>
            <w:tcMar>
              <w:top w:w="65" w:type="dxa"/>
              <w:start w:w="90" w:type="dxa"/>
              <w:bottom w:w="65" w:type="dxa"/>
              <w:end w:w="90" w:type="dxa"/>
            </w:tcMar>
            <w:shd w:fill="FFFFFF"/>
          </w:tcPr>
          <w:p>
            <w:pPr>
              <w:spacing w:after="0" w:line="240" w:lineRule="auto"/>
            </w:pPr>
            <w:r>
              <w:rPr>
                <w:rFonts w:ascii="Times New Roman" w:hAnsi="Times New Roman" w:eastAsia="Times New Roman" w:cs="Times New Roman"/>
                <w:b w:val="0"/>
                <w:i w:val="0"/>
                <w:sz w:val="16"/>
              </w:rPr>
              <w:t>2023/24</w:t>
            </w:r>
          </w:p>
        </w:tc>
        <w:tc>
          <w:tcPr>
            <w:tcW w:type="dxa" w:w="1584"/>
            <w:vAlign w:val="center"/>
            <w:tcMar>
              <w:top w:w="65" w:type="dxa"/>
              <w:start w:w="90" w:type="dxa"/>
              <w:bottom w:w="65" w:type="dxa"/>
              <w:end w:w="90" w:type="dxa"/>
            </w:tcMar>
            <w:shd w:fill="FFFFFF"/>
          </w:tcPr>
          <w:p>
            <w:pPr>
              <w:spacing w:after="0" w:line="240" w:lineRule="auto"/>
            </w:pPr>
            <w:r>
              <w:rPr>
                <w:rFonts w:ascii="Times New Roman" w:hAnsi="Times New Roman" w:eastAsia="Times New Roman" w:cs="Times New Roman"/>
                <w:b w:val="0"/>
                <w:i w:val="0"/>
                <w:sz w:val="16"/>
              </w:rPr>
              <w:t>0.864</w:t>
            </w:r>
          </w:p>
        </w:tc>
        <w:tc>
          <w:tcPr>
            <w:tcW w:type="dxa" w:w="2232"/>
            <w:vAlign w:val="center"/>
            <w:tcMar>
              <w:top w:w="65" w:type="dxa"/>
              <w:start w:w="90" w:type="dxa"/>
              <w:bottom w:w="65" w:type="dxa"/>
              <w:end w:w="90" w:type="dxa"/>
            </w:tcMar>
            <w:shd w:fill="FFFFFF"/>
          </w:tcPr>
          <w:p>
            <w:pPr>
              <w:spacing w:after="0" w:line="240" w:lineRule="auto"/>
            </w:pPr>
            <w:r>
              <w:rPr>
                <w:rFonts w:ascii="Times New Roman" w:hAnsi="Times New Roman" w:eastAsia="Times New Roman" w:cs="Times New Roman"/>
                <w:b w:val="0"/>
                <w:i w:val="0"/>
                <w:sz w:val="16"/>
              </w:rPr>
              <w:t>12.21 m</w:t>
            </w:r>
          </w:p>
        </w:tc>
        <w:tc>
          <w:tcPr>
            <w:tcW w:type="dxa" w:w="1655"/>
            <w:vAlign w:val="center"/>
            <w:tcMar>
              <w:top w:w="65" w:type="dxa"/>
              <w:start w:w="90" w:type="dxa"/>
              <w:bottom w:w="65" w:type="dxa"/>
              <w:end w:w="90" w:type="dxa"/>
            </w:tcMar>
            <w:shd w:fill="FFFFFF"/>
          </w:tcPr>
          <w:p>
            <w:pPr>
              <w:spacing w:after="0" w:line="240" w:lineRule="auto"/>
            </w:pPr>
            <w:r>
              <w:rPr>
                <w:rFonts w:ascii="Times New Roman" w:hAnsi="Times New Roman" w:eastAsia="Times New Roman" w:cs="Times New Roman"/>
                <w:b w:val="0"/>
                <w:i w:val="0"/>
                <w:sz w:val="16"/>
              </w:rPr>
              <w:t>0.631</w:t>
            </w:r>
          </w:p>
        </w:tc>
      </w:tr>
    </w:tbl>
    <w:p>
      <w:pPr>
        <w:spacing w:after="100" w:line="264" w:lineRule="auto"/>
      </w:pPr>
      <w:r>
        <w:rPr>
          <w:rFonts w:ascii="Times New Roman" w:hAnsi="Times New Roman" w:eastAsia="Times New Roman" w:cs="Times New Roman"/>
          <w:b w:val="0"/>
          <w:i w:val="0"/>
          <w:sz w:val="18"/>
        </w:rPr>
        <w:t>Taylor statistics constrain pattern correlation, centered error, and relative amplitude separately; no aggregate similarity score is constructed.</w:t>
      </w:r>
    </w:p>
    <w:p>
      <w:pPr>
        <w:keepLines/>
        <w:spacing w:after="100" w:line="264" w:lineRule="auto"/>
      </w:pPr>
      <w:r>
        <w:rPr>
          <w:rFonts w:ascii="Times New Roman" w:hAnsi="Times New Roman" w:eastAsia="Times New Roman" w:cs="Times New Roman"/>
          <w:b w:val="0"/>
          <w:i w:val="0"/>
          <w:sz w:val="21"/>
        </w:rPr>
        <w:t>Layer-resolved similarity yields a coherent physical interpretation. The 2026 surface-SST pattern is closer to 2023, whereas low-level zonal wind and equatorial D20 are closer to 2015; precipitation does not yet map robustly onto either reference event. SST alone would therefore overstate similarity to 2023, while ocean dynamics alone would overlook the delayed convective response. Taken together without collapsing the fields into one score, 2026 is a hybrid transition from eastern-leading warming toward basin-scale dynamical coupling.</w:t>
      </w:r>
    </w:p>
    <w:p>
      <w:pPr>
        <w:keepLines/>
        <w:spacing w:after="100" w:line="264" w:lineRule="auto"/>
      </w:pPr>
      <w:r>
        <w:rPr>
          <w:rFonts w:ascii="Times New Roman" w:hAnsi="Times New Roman" w:eastAsia="Times New Roman" w:cs="Times New Roman"/>
          <w:b w:val="0"/>
          <w:i w:val="0"/>
          <w:sz w:val="21"/>
        </w:rPr>
        <w:t>If central-Pacific positive precipitation persists and remains collocated with the westerly band, the existing thermocline tilt and eastward warm-water displacement are likely to continue, moving the event further toward a 2015-like basin-scale coupled state. If deep convection weakens again, the westerlies may lose large-scale heating support and the event may retain a strong eastern surface expression without sustaining equally strong positive feedback. Contemporary CPC and WMO outlooks also favor continued strengthening, but the eventual amplitude should be assessed from the continued coherence of convection, wind, and ocean adjustment.</w:t>
      </w:r>
    </w:p>
    <w:p>
      <w:pPr>
        <w:pStyle w:val="Heading1"/>
        <w:keepNext/>
      </w:pPr>
      <w:r>
        <w:rPr>
          <w:rFonts w:ascii="Times New Roman" w:hAnsi="Times New Roman" w:eastAsia="Times New Roman" w:cs="Times New Roman"/>
          <w:b/>
          <w:i w:val="0"/>
          <w:sz w:val="30"/>
        </w:rPr>
        <w:t>6. Conclusions</w:t>
      </w:r>
    </w:p>
    <w:p>
      <w:pPr>
        <w:spacing w:after="100" w:line="264" w:lineRule="auto"/>
      </w:pPr>
      <w:r>
        <w:rPr>
          <w:rFonts w:ascii="Times New Roman" w:hAnsi="Times New Roman" w:eastAsia="Times New Roman" w:cs="Times New Roman"/>
          <w:b w:val="0"/>
          <w:i w:val="0"/>
          <w:sz w:val="21"/>
        </w:rPr>
        <w:t>The 2026 event began with eastern-Pacific surface and subsurface warming, then developed a basin-scale thermocline tilt together with persistent central-western Pacific westerlies at the surface and 850 hPa. This dynamical structure differs from the limited wind response of 2023/24 and is moving toward the strongly coupled 2015/16 configuration. Central-Pacific deep convection developed later and remains the least complete link. The next phase should therefore be judged not by SST increase alone, but by whether convective heating sustains the westerlies and keeps the wind-thermocline-SST feedback coherent across the basin.</w:t>
      </w:r>
    </w:p>
    <w:p>
      <w:pPr>
        <w:pStyle w:val="Heading1"/>
        <w:keepNext/>
      </w:pPr>
      <w:r>
        <w:rPr>
          <w:rFonts w:ascii="Times New Roman" w:hAnsi="Times New Roman" w:eastAsia="Times New Roman" w:cs="Times New Roman"/>
          <w:b/>
          <w:i w:val="0"/>
          <w:sz w:val="30"/>
        </w:rPr>
        <w:t>Method and Data References</w:t>
      </w:r>
    </w:p>
    <w:p>
      <w:pPr>
        <w:keepLines/>
        <w:spacing w:after="100" w:line="264" w:lineRule="auto"/>
      </w:pPr>
      <w:r>
        <w:rPr>
          <w:rFonts w:ascii="Times New Roman" w:hAnsi="Times New Roman" w:eastAsia="Times New Roman" w:cs="Times New Roman"/>
          <w:b w:val="0"/>
          <w:i w:val="0"/>
          <w:sz w:val="18"/>
        </w:rPr>
        <w:t>Peng et al. (2025), Nature Geoscience, doi:10.1038/s41561-025-01700-9: CWP (5°S–5°N, 140°E–160°W) u10, Niño3-conditioned regression, and actual-versus-expected response.</w:t>
        <w:br/>
        <w:t>Jiang et al. (2026), Geophysical Research Letters, doi:10.1029/2026GL123227: eastern-Pacific-leading warming, central-Pacific wind-precipitation response, and cross-event regression comparison.</w:t>
        <w:br/>
        <w:t>Li et al. (2024), Geophysical Research Letters, doi:10.1029/2024GL109874: process-separated atmospheric Bjerknes feedback from SST through precipitation heating and pressure to wind stress.</w:t>
        <w:br/>
        <w:t>Sun et al. (2016), Advances in Atmospheric Sciences, doi:10.1007/s00376-015-5018-6: central-Pacific precipitation and wind-stress responses to Niño3 SST and the 5°S–5°N, 180°–140°W diagnostic box.</w:t>
        <w:br/>
        <w:t>Kim, Tian &amp; Yu (2025), npj Climate and Atmospheric Science, doi:10.1038/s41612-024-00890-0: D20, western-Pacific warm water, and western-central Pacific zonal-wind evolution across events.</w:t>
        <w:br/>
        <w:t>Taylor (2001), Journal of Geophysical Research, doi:10.1029/2000JD900719: pattern correlation, centered RMSD, and standard-deviation ratio.</w:t>
        <w:br/>
        <w:t>Zuo et al. (2019), Ocean Science, doi:10.5194/os-15-779-2019: the ORAS5 system, data assimilation, and ocean-state reconstruction.</w:t>
        <w:br/>
        <w:t>NOAA CPC ENSO Diagnostic Discussion, 9 July 2026; WMO El Niño Update, 3 July 2026.</w:t>
      </w:r>
    </w:p>
    <w:sectPr w:rsidR="00FC693F" w:rsidRPr="0006063C" w:rsidSect="00034616">
      <w:pgSz w:w="12240" w:h="15840"/>
      <w:pgMar w:top="1123" w:right="1181" w:bottom="1037" w:left="1181"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4" w:lineRule="auto"/>
    </w:pPr>
    <w:rPr>
      <w:rFonts w:ascii="Times New Roman" w:hAnsi="Times New Roman" w:cs="Times New Roman" w:eastAsia="Hiragino Sans GB"/>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64" w:lineRule="auto"/>
      <w:outlineLvl w:val="0"/>
    </w:pPr>
    <w:rPr>
      <w:rFonts w:asciiTheme="majorHAnsi" w:eastAsiaTheme="majorEastAsia" w:hAnsiTheme="majorHAnsi" w:cstheme="majorBidi" w:ascii="Times New Roman" w:hAnsi="Times New Roman" w:cs="Times New Roman" w:eastAsia="Hiragino Sans GB"/>
      <w:b/>
      <w:bCs/>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64" w:lineRule="auto"/>
      <w:outlineLvl w:val="1"/>
    </w:pPr>
    <w:rPr>
      <w:rFonts w:asciiTheme="majorHAnsi" w:eastAsiaTheme="majorEastAsia" w:hAnsiTheme="majorHAnsi" w:cstheme="majorBidi" w:ascii="Times New Roman" w:hAnsi="Times New Roman" w:cs="Times New Roman" w:eastAsia="Hiragino Sans GB"/>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Times New Roman" w:hAnsi="Times New Roman" w:cs="Times New Roman" w:eastAsia="Hiragino Sans GB"/>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20" w:after="120"/>
    </w:pPr>
    <w:rPr>
      <w:rFonts w:ascii="Times New Roman" w:hAnsi="Times New Roman" w:cs="Times New Roman" w:eastAsia="Hiragino Sans GB"/>
      <w:b w:val="0"/>
      <w:bCs/>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Air-Sea Coupling Diagnosis of the 2026 ENSO Event</dc:title>
  <dc:subject>January-June comparison with 2015/16 and 2023/24</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