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81E69">
      <w:pPr>
        <w:spacing w:after="240"/>
        <w:jc w:val="center"/>
      </w:pPr>
      <w:bookmarkStart w:id="0" w:name="_GoBack"/>
      <w:bookmarkEnd w:id="0"/>
      <w:r>
        <w:rPr>
          <w:rFonts w:ascii="黑体" w:hAnsi="黑体" w:eastAsia="黑体"/>
          <w:b/>
          <w:sz w:val="32"/>
        </w:rPr>
        <w:t>12345投诉说明</w:t>
      </w:r>
    </w:p>
    <w:p w14:paraId="66825220">
      <w:pPr>
        <w:spacing w:after="40" w:line="360" w:lineRule="auto"/>
      </w:pPr>
      <w:r>
        <w:rPr>
          <w:rFonts w:ascii="宋体" w:hAnsi="宋体" w:eastAsia="宋体"/>
          <w:sz w:val="24"/>
        </w:rPr>
        <w:t>被投诉单位：广州市番禺区第六人民医院</w:t>
      </w:r>
    </w:p>
    <w:p w14:paraId="003EC226">
      <w:pPr>
        <w:spacing w:after="40" w:line="360" w:lineRule="auto"/>
      </w:pPr>
      <w:r>
        <w:rPr>
          <w:rFonts w:ascii="宋体" w:hAnsi="宋体" w:eastAsia="宋体"/>
          <w:sz w:val="24"/>
        </w:rPr>
        <w:t>地址：广州市番禺区南村镇文明路185号</w:t>
      </w:r>
    </w:p>
    <w:p w14:paraId="47DCA163">
      <w:pPr>
        <w:spacing w:after="40" w:line="360" w:lineRule="auto"/>
      </w:pPr>
    </w:p>
    <w:p w14:paraId="67630647">
      <w:pPr>
        <w:spacing w:before="240" w:after="120"/>
      </w:pPr>
      <w:r>
        <w:rPr>
          <w:rFonts w:ascii="黑体" w:hAnsi="黑体" w:eastAsia="黑体"/>
          <w:b/>
          <w:sz w:val="30"/>
        </w:rPr>
        <w:t>一、事情完整经过</w:t>
      </w:r>
    </w:p>
    <w:p w14:paraId="018303C0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本人因皮肤HPV疣体问题，先后两次在该院同一患处接受激光祛疣治疗，两次合计去除4颗疣体，就诊缴费明细如下：</w:t>
      </w:r>
    </w:p>
    <w:p w14:paraId="38615451">
      <w:pPr>
        <w:spacing w:after="60" w:line="360" w:lineRule="auto"/>
        <w:ind w:firstLine="480"/>
      </w:pPr>
      <w:r>
        <w:rPr>
          <w:rFonts w:ascii="宋体" w:hAnsi="宋体" w:eastAsia="宋体"/>
          <w:sz w:val="24"/>
        </w:rPr>
        <w:t>1. 2026年4月6日就诊，缴费1769.55元；</w:t>
      </w:r>
    </w:p>
    <w:p w14:paraId="4C369E20">
      <w:pPr>
        <w:spacing w:after="60" w:line="360" w:lineRule="auto"/>
        <w:ind w:firstLine="480"/>
      </w:pPr>
      <w:r>
        <w:rPr>
          <w:rFonts w:ascii="宋体" w:hAnsi="宋体" w:eastAsia="宋体"/>
          <w:sz w:val="24"/>
        </w:rPr>
        <w:t>2. 2026年6月7日就诊，缴费1269.90元；</w:t>
      </w:r>
    </w:p>
    <w:p w14:paraId="543764AA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两次就诊总合计支付3039.45元。</w:t>
      </w:r>
    </w:p>
    <w:p w14:paraId="6D517949">
      <w:pPr>
        <w:spacing w:before="160" w:after="80"/>
      </w:pPr>
      <w:r>
        <w:rPr>
          <w:rFonts w:ascii="黑体" w:hAnsi="黑体" w:eastAsia="黑体"/>
          <w:b/>
          <w:sz w:val="28"/>
        </w:rPr>
        <w:t>（一）医院虚构治疗项目，无服务乱计费，诊疗逻辑严重违规</w:t>
      </w:r>
    </w:p>
    <w:p w14:paraId="0A238B29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本人打印完整费用明细清单后，发现清单内违规计费"可见光照射治疗"，计费2次、合计240频次，收费总额2424元，但我全程从未接受该照射治疗。</w:t>
      </w:r>
    </w:p>
    <w:p w14:paraId="3C21124D">
      <w:pPr>
        <w:jc w:val="left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依据权威行业规范《氨基酮戊酸光动力疗法皮肤科临床应用指南（2021版）》（原文链接：</w:t>
      </w:r>
      <w:r>
        <w:rPr>
          <w:rFonts w:hint="eastAsia" w:ascii="宋体" w:hAnsi="宋体" w:eastAsia="宋体"/>
          <w:sz w:val="24"/>
        </w:rPr>
        <w:fldChar w:fldCharType="begin"/>
      </w:r>
      <w:r>
        <w:rPr>
          <w:rFonts w:hint="eastAsia" w:ascii="宋体" w:hAnsi="宋体" w:eastAsia="宋体"/>
          <w:sz w:val="24"/>
        </w:rPr>
        <w:instrText xml:space="preserve"> HYPERLINK "https://www.qqhryxyfsdyyy.org.cn/_upload/article/files/61/98/77646d57406785425d0f6dcd506c/e19a6679-e181-4afe-bcf0-adb209a90eac.pdf" </w:instrText>
      </w:r>
      <w:r>
        <w:rPr>
          <w:rFonts w:hint="eastAsia" w:ascii="宋体" w:hAnsi="宋体" w:eastAsia="宋体"/>
          <w:sz w:val="24"/>
        </w:rPr>
        <w:fldChar w:fldCharType="separate"/>
      </w:r>
      <w:r>
        <w:rPr>
          <w:rStyle w:val="135"/>
          <w:rFonts w:hint="eastAsia" w:ascii="宋体" w:hAnsi="宋体" w:eastAsia="宋体"/>
          <w:sz w:val="24"/>
        </w:rPr>
        <w:t>https://www.qqhryxyfsdyyy.org.cn/_upload/article/files/61/98/77646d57406785425d0f6dcd506c/e19a6679-e181-4afe-bcf0-adb209a90eac.pdf</w:t>
      </w:r>
      <w:r>
        <w:rPr>
          <w:rFonts w:hint="eastAsia" w:ascii="宋体" w:hAnsi="宋体" w:eastAsia="宋体"/>
          <w:sz w:val="24"/>
        </w:rPr>
        <w:fldChar w:fldCharType="end"/>
      </w:r>
    </w:p>
    <w:p w14:paraId="06331290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）明确规定：光敏剂、光源、氧气是光动力治疗三大必备要素，单纯可见光照射无法单独清除HPV疣体，必须同步使用氨基酮戊酸光敏剂才能起效。</w:t>
      </w:r>
    </w:p>
    <w:p w14:paraId="411726DB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但我的收费清单内完全没有任何光敏剂相关收费项目，医院仅单独收取高额可见光照射费用，诊疗流程完全不符合行业指南规范。</w:t>
      </w:r>
    </w:p>
    <w:p w14:paraId="0861709F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实际院内操作仅为CO₂激光切除疣体，术后皮肤存在烧灼开放性伤口，医院开具京万红软膏用于创面修复（京万红仅适用于烫伤、激光烧灼创面愈合，佐证实际为激光手术，并非光动力照射治疗）。</w:t>
      </w:r>
    </w:p>
    <w:p w14:paraId="28A27B6A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后续我前往医院调取病历资料时，接诊医生亲口承认：清单上收费的"可见光照射治疗"就是本次去除疣体的对应操作，该对话有完整录音留存，足以证实医院套用无关高价项目、虚构治疗名目收取高额费用。</w:t>
      </w:r>
    </w:p>
    <w:p w14:paraId="53BD73AC">
      <w:pPr>
        <w:spacing w:before="160" w:after="80"/>
      </w:pPr>
      <w:r>
        <w:rPr>
          <w:rFonts w:ascii="黑体" w:hAnsi="黑体" w:eastAsia="黑体"/>
          <w:b/>
          <w:sz w:val="28"/>
        </w:rPr>
        <w:t>（二）收费标准严重虚高，同病种跨院对比差价巨大</w:t>
      </w:r>
    </w:p>
    <w:p w14:paraId="3F8E1314">
      <w:pPr>
        <w:spacing w:after="60" w:line="360" w:lineRule="auto"/>
        <w:ind w:firstLine="480"/>
      </w:pPr>
      <w:r>
        <w:rPr>
          <w:rFonts w:ascii="宋体" w:hAnsi="宋体" w:eastAsia="宋体"/>
          <w:sz w:val="24"/>
        </w:rPr>
        <w:t>1. 就诊时主治医生口头向我报价500多元/单颗疣体，远超广东省公立二甲医院80-120元/颗的官方指导价；</w:t>
      </w:r>
    </w:p>
    <w:p w14:paraId="0C894037">
      <w:pPr>
        <w:spacing w:after="60" w:line="360" w:lineRule="auto"/>
        <w:ind w:firstLine="480"/>
      </w:pPr>
      <w:r>
        <w:rPr>
          <w:rFonts w:ascii="宋体" w:hAnsi="宋体" w:eastAsia="宋体"/>
          <w:sz w:val="24"/>
        </w:rPr>
        <w:t>2. 2026年8月14日我前往南方医科大学皮肤病医院，做完全相同的疣体复查、激光切除项目，</w:t>
      </w:r>
      <w:r>
        <w:rPr>
          <w:rFonts w:hint="eastAsia"/>
          <w:sz w:val="24"/>
          <w:lang w:val="en-US" w:eastAsia="zh-CN"/>
        </w:rPr>
        <w:t>最终诊断跟广州市番禺区第六人民医院诊断结果一致。</w:t>
      </w:r>
      <w:r>
        <w:rPr>
          <w:rFonts w:ascii="宋体" w:hAnsi="宋体" w:eastAsia="宋体"/>
          <w:sz w:val="24"/>
        </w:rPr>
        <w:t>该院统一收费140元/颗，本次全套复查治疗仅花费194.88元；但番禺区第六人民医院2026年6月7日同等检查、同等治疗项目，收费高达1269.9元，收费差距悬殊，存在严重超额收费。</w:t>
      </w:r>
    </w:p>
    <w:p w14:paraId="69CF019B">
      <w:pPr>
        <w:spacing w:before="160" w:after="80"/>
      </w:pPr>
      <w:r>
        <w:rPr>
          <w:rFonts w:ascii="黑体" w:hAnsi="黑体" w:eastAsia="黑体"/>
          <w:b/>
          <w:sz w:val="28"/>
        </w:rPr>
        <w:t>（三）刻意误导医保政策，剥夺患者医保报销权益</w:t>
      </w:r>
    </w:p>
    <w:p w14:paraId="42A293F8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该院主治医生明确告知我，本次激光祛疣治疗全部无法走医保，必须全额自费；但南方医科大学皮肤病医院同类型激光祛疣项目可正常医保报销，医院刻意虚假告知医保政策，误导我全额自费，侵害患者合法医保权益。</w:t>
      </w:r>
    </w:p>
    <w:p w14:paraId="6EFE65A8">
      <w:pPr>
        <w:spacing w:before="160" w:after="80"/>
      </w:pPr>
      <w:r>
        <w:rPr>
          <w:rFonts w:ascii="黑体" w:hAnsi="黑体" w:eastAsia="黑体"/>
          <w:b/>
          <w:sz w:val="28"/>
        </w:rPr>
        <w:t>（四）违规引导患者院外自费购药</w:t>
      </w:r>
    </w:p>
    <w:p w14:paraId="44BD575F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诊疗过程中，医生向我推荐牛脾肽冻干粉，不在医院药房正常开具处方收费，而是让我拍照记录产品，指引我到院外药店自行购买，违反公立医院药品耗材管理规范。</w:t>
      </w:r>
    </w:p>
    <w:p w14:paraId="4FAA8278">
      <w:pPr>
        <w:spacing w:before="160" w:after="80"/>
      </w:pPr>
      <w:r>
        <w:rPr>
          <w:rFonts w:ascii="黑体" w:hAnsi="黑体" w:eastAsia="黑体"/>
          <w:b/>
          <w:sz w:val="28"/>
        </w:rPr>
        <w:t>（五）医生不实病情告知，制造严重心理负担，诊疗沟通极不负责</w:t>
      </w:r>
    </w:p>
    <w:p w14:paraId="2ECEC31D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第二次复诊时，我主动询问规范治疗能否痊愈，主治医师态度极度不耐烦，虚假告知我："这个就得一直做激光，疣体永远会复发，不可能治好"。</w:t>
      </w:r>
    </w:p>
    <w:p w14:paraId="54E0E90F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我事后查阅皮肤科权威诊疗资料确认：HPV疣体经过规范、足疗程治疗完全可以实现临床痊愈，医生该表述与医学事实严重不符，刻意夸大病情、制造长期无法治愈的负面恐慌，给我造成巨大心理压力，最终我因该不实告知选择更换医院就诊。</w:t>
      </w:r>
    </w:p>
    <w:p w14:paraId="14A20000">
      <w:pPr>
        <w:spacing w:before="240" w:after="120"/>
      </w:pPr>
      <w:r>
        <w:rPr>
          <w:rFonts w:ascii="黑体" w:hAnsi="黑体" w:eastAsia="黑体"/>
          <w:b/>
          <w:sz w:val="30"/>
        </w:rPr>
        <w:t>二、本次投诉全部违规问题逐条列明</w:t>
      </w:r>
    </w:p>
    <w:p w14:paraId="13CDFAC8">
      <w:pPr>
        <w:spacing w:after="60" w:line="360" w:lineRule="auto"/>
        <w:ind w:firstLine="480"/>
      </w:pPr>
      <w:r>
        <w:rPr>
          <w:rFonts w:ascii="宋体" w:hAnsi="宋体" w:eastAsia="宋体"/>
          <w:sz w:val="24"/>
        </w:rPr>
        <w:t>1. 空项虚假计费、套用违规诊疗项目：未开展可见光照射治疗却收取2424元高额费用；仅做激光切除却套用光动力收费名目，无光敏剂却单独收取光照费用，完全违背《氨基酮戊酸光动力疗法皮肤科临床应用指南（2021版）》操作规范，存在分解收费、自立收费项目。</w:t>
      </w:r>
    </w:p>
    <w:p w14:paraId="3779D9B2">
      <w:pPr>
        <w:spacing w:after="60" w:line="360" w:lineRule="auto"/>
        <w:ind w:firstLine="480"/>
      </w:pPr>
      <w:r>
        <w:rPr>
          <w:rFonts w:ascii="宋体" w:hAnsi="宋体" w:eastAsia="宋体"/>
          <w:sz w:val="24"/>
        </w:rPr>
        <w:t>2. 超高违规收费：医生口头报价500余元/颗疣体，远超省级医疗指导价，对比三甲皮肤病医院同项目收费差价巨大，超额收取诊疗费用。</w:t>
      </w:r>
    </w:p>
    <w:p w14:paraId="0DABE774">
      <w:pPr>
        <w:spacing w:after="60" w:line="360" w:lineRule="auto"/>
        <w:ind w:firstLine="480"/>
      </w:pPr>
      <w:r>
        <w:rPr>
          <w:rFonts w:ascii="宋体" w:hAnsi="宋体" w:eastAsia="宋体"/>
          <w:sz w:val="24"/>
        </w:rPr>
        <w:t>3. 误导医保报销政策：虚假告知患者激光祛疣不能医保报销，隐瞒项目医保报销资格，侵害患者医保使用权益。</w:t>
      </w:r>
    </w:p>
    <w:p w14:paraId="0D98A8F4">
      <w:pPr>
        <w:spacing w:after="60" w:line="360" w:lineRule="auto"/>
        <w:ind w:firstLine="480"/>
      </w:pPr>
      <w:r>
        <w:rPr>
          <w:rFonts w:ascii="宋体" w:hAnsi="宋体" w:eastAsia="宋体"/>
          <w:sz w:val="24"/>
        </w:rPr>
        <w:t>4. 违规引导院外购药：推荐牛脾肽冻干粉，不通过院内药房开方，诱导患者院外自费消费。</w:t>
      </w:r>
    </w:p>
    <w:p w14:paraId="5BD08D9F">
      <w:pPr>
        <w:spacing w:after="60" w:line="360" w:lineRule="auto"/>
        <w:ind w:firstLine="480"/>
      </w:pPr>
      <w:r>
        <w:rPr>
          <w:rFonts w:ascii="宋体" w:hAnsi="宋体" w:eastAsia="宋体"/>
          <w:sz w:val="24"/>
        </w:rPr>
        <w:t>5. 不实病情告知、诊疗服务态度恶劣：故意告知疣体无法临床痊愈，与医学结论相悖，言语消极、态度不耐烦，给患者造成严重心理压力，不符合医患沟通诊疗规范。</w:t>
      </w:r>
    </w:p>
    <w:p w14:paraId="3A30E81F">
      <w:pPr>
        <w:spacing w:before="240" w:after="120"/>
      </w:pPr>
      <w:r>
        <w:rPr>
          <w:rFonts w:ascii="黑体" w:hAnsi="黑体" w:eastAsia="黑体"/>
          <w:b/>
          <w:sz w:val="30"/>
        </w:rPr>
        <w:t>三、本人明确诉求（恳请主管部门逐项核查处置）</w:t>
      </w:r>
    </w:p>
    <w:p w14:paraId="3EF5DACD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恳请平台将工单分派至番禺区卫生健康局、番禺区医保局、番禺区市场监督管理局联合核查处理：</w:t>
      </w:r>
    </w:p>
    <w:p w14:paraId="6BA3D691">
      <w:pPr>
        <w:spacing w:after="60" w:line="360" w:lineRule="auto"/>
        <w:ind w:firstLine="480"/>
      </w:pPr>
      <w:r>
        <w:rPr>
          <w:rFonts w:ascii="宋体" w:hAnsi="宋体" w:eastAsia="宋体"/>
          <w:sz w:val="24"/>
        </w:rPr>
        <w:t>1. 核查本人2026年4月6日、6月7日两次就诊全部收费明细，对照《氨基酮戊酸光动力疗法皮肤科临床应用指南（2021版）》，核实"可见光照射治疗"无对应诊疗、无光敏剂配套却高额收费的违规事实，全额退还2424元虚假计费款项。</w:t>
      </w:r>
    </w:p>
    <w:p w14:paraId="520C4EAF">
      <w:pPr>
        <w:spacing w:after="60" w:line="360" w:lineRule="auto"/>
        <w:ind w:firstLine="480"/>
      </w:pPr>
      <w:r>
        <w:rPr>
          <w:rFonts w:ascii="宋体" w:hAnsi="宋体" w:eastAsia="宋体"/>
          <w:sz w:val="24"/>
        </w:rPr>
        <w:t>2. 核查该院激光祛疣项目定价标准，对比广东省公立医疗机构统一收费指导价、南方医科大学皮肤病医院同病种收费标准，核算所有超额、违规多收取的全部费用，督促医院全额退还。</w:t>
      </w:r>
    </w:p>
    <w:p w14:paraId="7B25A2BD">
      <w:pPr>
        <w:spacing w:after="60" w:line="360" w:lineRule="auto"/>
        <w:ind w:firstLine="480"/>
      </w:pPr>
      <w:r>
        <w:rPr>
          <w:rFonts w:ascii="宋体" w:hAnsi="宋体" w:eastAsia="宋体"/>
          <w:sz w:val="24"/>
        </w:rPr>
        <w:t>3. 核查主治医生谎称激光祛疣不能医保报销的违规行为，核实该项目医保报销政策，对医院误导患者自费行为作出整改、追责。</w:t>
      </w:r>
    </w:p>
    <w:p w14:paraId="7F66BAAC">
      <w:pPr>
        <w:spacing w:after="60" w:line="360" w:lineRule="auto"/>
        <w:ind w:firstLine="480"/>
      </w:pPr>
      <w:r>
        <w:rPr>
          <w:rFonts w:ascii="宋体" w:hAnsi="宋体" w:eastAsia="宋体"/>
          <w:sz w:val="24"/>
        </w:rPr>
        <w:t>4. 核查医生指引我拍照、院外自行购买牛脾肽冻干粉的违规诊疗行为，按照医疗管理规范作出相应处理。</w:t>
      </w:r>
    </w:p>
    <w:p w14:paraId="4F81FF2A">
      <w:pPr>
        <w:spacing w:after="60" w:line="360" w:lineRule="auto"/>
        <w:ind w:firstLine="480"/>
      </w:pPr>
      <w:r>
        <w:rPr>
          <w:rFonts w:ascii="宋体" w:hAnsi="宋体" w:eastAsia="宋体"/>
          <w:sz w:val="24"/>
        </w:rPr>
        <w:t>5. 核查主治医师虚假告知"疣体永远无法治好"、诊疗态度恶劣的问题，对涉事医生开展医德医风教育、院内整改。</w:t>
      </w:r>
    </w:p>
    <w:p w14:paraId="741F2D28">
      <w:pPr>
        <w:spacing w:after="60" w:line="360" w:lineRule="auto"/>
        <w:ind w:firstLine="480"/>
      </w:pPr>
      <w:r>
        <w:rPr>
          <w:rFonts w:ascii="宋体" w:hAnsi="宋体" w:eastAsia="宋体"/>
          <w:sz w:val="24"/>
        </w:rPr>
        <w:t>6. 要求涉事医院针对本次乱收费、诊疗不规范、医患沟通失当等全部问题出具书面整改方案，并在院内落实整改。</w:t>
      </w:r>
    </w:p>
    <w:p w14:paraId="01DB503D">
      <w:pPr>
        <w:spacing w:after="60" w:line="360" w:lineRule="auto"/>
        <w:ind w:firstLine="480"/>
      </w:pPr>
      <w:r>
        <w:rPr>
          <w:rFonts w:ascii="宋体" w:hAnsi="宋体" w:eastAsia="宋体"/>
          <w:sz w:val="24"/>
        </w:rPr>
        <w:t>7. 完整向我书面反馈本次核查全过程、查实的违规事实、退费金额、对医院及涉事医生的处理处罚结果。</w:t>
      </w:r>
    </w:p>
    <w:p w14:paraId="01B0529D">
      <w:pPr>
        <w:spacing w:before="240" w:after="120"/>
      </w:pPr>
      <w:r>
        <w:rPr>
          <w:rFonts w:ascii="黑体" w:hAnsi="黑体" w:eastAsia="黑体"/>
          <w:b/>
          <w:sz w:val="30"/>
        </w:rPr>
        <w:t>四、本人留存完整证据清单</w:t>
      </w:r>
    </w:p>
    <w:p w14:paraId="24246603">
      <w:pPr>
        <w:spacing w:after="60" w:line="360" w:lineRule="auto"/>
        <w:ind w:firstLine="480"/>
      </w:pPr>
      <w:r>
        <w:rPr>
          <w:rFonts w:ascii="宋体" w:hAnsi="宋体" w:eastAsia="宋体"/>
          <w:sz w:val="24"/>
        </w:rPr>
        <w:t>1. 番禺区第六人民医院两次</w:t>
      </w:r>
      <w:r>
        <w:rPr>
          <w:rFonts w:hint="eastAsia"/>
          <w:sz w:val="24"/>
          <w:lang w:val="en-US" w:eastAsia="zh-CN"/>
        </w:rPr>
        <w:t>检查病例、</w:t>
      </w:r>
      <w:r>
        <w:rPr>
          <w:rFonts w:ascii="宋体" w:hAnsi="宋体" w:eastAsia="宋体"/>
          <w:sz w:val="24"/>
        </w:rPr>
        <w:t>缴费支付截图、完整费用明细清单（含违规2424元可见光照射收费）；</w:t>
      </w:r>
    </w:p>
    <w:p w14:paraId="2FEEA96B">
      <w:pPr>
        <w:spacing w:after="60" w:line="360" w:lineRule="auto"/>
        <w:ind w:firstLine="480"/>
      </w:pPr>
      <w:r>
        <w:rPr>
          <w:rFonts w:ascii="宋体" w:hAnsi="宋体" w:eastAsia="宋体"/>
          <w:sz w:val="24"/>
        </w:rPr>
        <w:t>2. 调取病历时医生承认"可见光照射即祛疣操作"的现场录音；</w:t>
      </w:r>
    </w:p>
    <w:p w14:paraId="07FD5362">
      <w:pPr>
        <w:spacing w:after="60" w:line="360" w:lineRule="auto"/>
        <w:ind w:firstLine="480"/>
      </w:pPr>
      <w:r>
        <w:rPr>
          <w:rFonts w:ascii="宋体" w:hAnsi="宋体" w:eastAsia="宋体"/>
          <w:sz w:val="24"/>
        </w:rPr>
        <w:t>3. 2026年8月14日南方医科大学皮肤病医院同款疣体治疗缴费凭证、医保可报销凭证；</w:t>
      </w:r>
    </w:p>
    <w:p w14:paraId="38BBFB42">
      <w:pPr>
        <w:spacing w:after="60" w:line="360" w:lineRule="auto"/>
        <w:ind w:firstLine="480"/>
      </w:pPr>
      <w:r>
        <w:rPr>
          <w:rFonts w:ascii="宋体" w:hAnsi="宋体" w:eastAsia="宋体"/>
          <w:sz w:val="24"/>
        </w:rPr>
        <w:t>4. 院内开具京万红软膏处方单据，佐证实际仅实施激光烧灼手术；</w:t>
      </w:r>
    </w:p>
    <w:p w14:paraId="5193F3B6">
      <w:pPr>
        <w:spacing w:after="60" w:line="360" w:lineRule="auto"/>
        <w:ind w:firstLine="480"/>
      </w:pPr>
      <w:r>
        <w:rPr>
          <w:rFonts w:ascii="宋体" w:hAnsi="宋体" w:eastAsia="宋体"/>
          <w:sz w:val="24"/>
        </w:rPr>
        <w:t>5. 医生推荐牛脾肽冻干粉的相关记录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拍摄于就诊室办公桌鼠标垫照片</w:t>
      </w:r>
      <w:r>
        <w:rPr>
          <w:rFonts w:ascii="宋体" w:hAnsi="宋体" w:eastAsia="宋体"/>
          <w:sz w:val="24"/>
        </w:rPr>
        <w:t>；</w:t>
      </w:r>
    </w:p>
    <w:p w14:paraId="41F30880">
      <w:pPr>
        <w:spacing w:after="60" w:line="360" w:lineRule="auto"/>
        <w:ind w:firstLine="480"/>
      </w:pPr>
      <w:r>
        <w:rPr>
          <w:rFonts w:ascii="宋体" w:hAnsi="宋体" w:eastAsia="宋体"/>
          <w:sz w:val="24"/>
        </w:rPr>
        <w:t>6. 网络公开《氨基酮戊酸光动力疗法皮肤科临床应用指南（2021版）》原文链接，作为诊疗规范依据。</w:t>
      </w:r>
    </w:p>
    <w:p w14:paraId="68DDD694"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所有票据、录音、单据、指南原文均可随时上传平台核验。</w:t>
      </w:r>
    </w:p>
    <w:p w14:paraId="5AC300F2">
      <w:pPr>
        <w:spacing w:after="40" w:line="360" w:lineRule="auto"/>
      </w:pPr>
    </w:p>
    <w:p w14:paraId="5E350590">
      <w:pPr>
        <w:spacing w:after="40" w:line="360" w:lineRule="auto"/>
      </w:pPr>
    </w:p>
    <w:p w14:paraId="1874FC93">
      <w:pPr>
        <w:wordWrap w:val="0"/>
        <w:jc w:val="right"/>
        <w:rPr>
          <w:rFonts w:hint="default"/>
          <w:lang w:val="en-US"/>
        </w:rPr>
      </w:pPr>
      <w:r>
        <w:rPr>
          <w:rFonts w:ascii="宋体" w:hAnsi="宋体" w:eastAsia="宋体"/>
          <w:sz w:val="24"/>
        </w:rPr>
        <w:t>投诉人：</w:t>
      </w:r>
      <w:r>
        <w:rPr>
          <w:rFonts w:hint="eastAsia"/>
          <w:sz w:val="24"/>
          <w:u w:val="single"/>
          <w:lang w:val="en-US" w:eastAsia="zh-CN"/>
        </w:rPr>
        <w:t xml:space="preserve">贺文涛            </w:t>
      </w:r>
    </w:p>
    <w:p w14:paraId="07159103">
      <w:pPr>
        <w:wordWrap w:val="0"/>
        <w:jc w:val="right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sz w:val="24"/>
        </w:rPr>
        <w:t>联系电话：</w:t>
      </w:r>
      <w:r>
        <w:rPr>
          <w:rFonts w:hint="eastAsia"/>
          <w:sz w:val="24"/>
          <w:u w:val="single"/>
          <w:lang w:val="en-US" w:eastAsia="zh-CN"/>
        </w:rPr>
        <w:t xml:space="preserve">16609377940     </w:t>
      </w:r>
    </w:p>
    <w:p w14:paraId="7B731A41">
      <w:pPr>
        <w:jc w:val="right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提交日期：2026年08月14日</w:t>
      </w:r>
    </w:p>
    <w:p w14:paraId="3A8DBF39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br w:type="page"/>
      </w:r>
    </w:p>
    <w:p w14:paraId="5E90C1B4">
      <w:p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附件：</w:t>
      </w:r>
    </w:p>
    <w:p w14:paraId="40861405">
      <w:pPr>
        <w:jc w:val="left"/>
        <w:rPr>
          <w:rFonts w:hint="default" w:eastAsia="宋体"/>
          <w:sz w:val="24"/>
          <w:lang w:val="en-US" w:eastAsia="zh-CN"/>
        </w:rPr>
      </w:pPr>
      <w:r>
        <w:rPr>
          <w:rFonts w:ascii="宋体" w:hAnsi="宋体" w:eastAsia="宋体"/>
          <w:sz w:val="24"/>
        </w:rPr>
        <w:t>氨基酮戊酸光动力疗法皮肤科临床应用指南（2021版）</w:t>
      </w:r>
      <w:r>
        <w:rPr>
          <w:rFonts w:hint="eastAsia"/>
          <w:sz w:val="24"/>
          <w:lang w:val="en-US" w:eastAsia="zh-CN"/>
        </w:rPr>
        <w:t>原文链接</w:t>
      </w:r>
    </w:p>
    <w:p w14:paraId="6E62824A">
      <w:pPr>
        <w:jc w:val="lef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fldChar w:fldCharType="begin"/>
      </w:r>
      <w:r>
        <w:rPr>
          <w:rFonts w:hint="eastAsia" w:ascii="宋体" w:hAnsi="宋体" w:eastAsia="宋体"/>
          <w:sz w:val="24"/>
        </w:rPr>
        <w:instrText xml:space="preserve"> HYPERLINK "https://www.qqhryxyfsdyyy.org.cn/_upload/article/files/61/98/77646d57406785425d0f6dcd506c/e19a6679-e181-4afe-bcf0-adb209a90eac.pdf" </w:instrText>
      </w:r>
      <w:r>
        <w:rPr>
          <w:rFonts w:hint="eastAsia" w:ascii="宋体" w:hAnsi="宋体" w:eastAsia="宋体"/>
          <w:sz w:val="24"/>
        </w:rPr>
        <w:fldChar w:fldCharType="separate"/>
      </w:r>
      <w:r>
        <w:rPr>
          <w:rStyle w:val="135"/>
          <w:rFonts w:hint="eastAsia" w:ascii="宋体" w:hAnsi="宋体" w:eastAsia="宋体"/>
          <w:sz w:val="24"/>
        </w:rPr>
        <w:t>https://www.qqhryxyfsdyyy.org.cn/_upload/article/files/61/98/77646d57406785425d0f6dcd506c/e19a6679-e181-4afe-bcf0-adb209a90eac.pdf</w:t>
      </w:r>
      <w:r>
        <w:rPr>
          <w:rFonts w:hint="eastAsia" w:ascii="宋体" w:hAnsi="宋体" w:eastAsia="宋体"/>
          <w:sz w:val="24"/>
        </w:rPr>
        <w:fldChar w:fldCharType="end"/>
      </w:r>
    </w:p>
    <w:p w14:paraId="7704132E">
      <w:pPr>
        <w:jc w:val="left"/>
        <w:rPr>
          <w:rFonts w:hint="eastAsia" w:ascii="宋体" w:hAnsi="宋体" w:eastAsia="宋体"/>
          <w:sz w:val="24"/>
        </w:rPr>
      </w:pPr>
    </w:p>
    <w:p w14:paraId="38EB6815">
      <w:pPr>
        <w:jc w:val="left"/>
        <w:rPr>
          <w:rFonts w:hint="eastAsia" w:ascii="宋体" w:hAnsi="宋体" w:eastAsia="宋体"/>
          <w:sz w:val="24"/>
        </w:rPr>
      </w:pPr>
    </w:p>
    <w:p w14:paraId="0F6CD4B3">
      <w:pPr>
        <w:jc w:val="left"/>
        <w:rPr>
          <w:rFonts w:hint="eastAsia" w:ascii="宋体" w:hAnsi="宋体" w:eastAsia="宋体"/>
          <w:sz w:val="24"/>
        </w:rPr>
      </w:pPr>
    </w:p>
    <w:p w14:paraId="6884D331">
      <w:pPr>
        <w:jc w:val="left"/>
        <w:rPr>
          <w:rFonts w:hint="eastAsia" w:ascii="宋体" w:hAnsi="宋体" w:eastAsia="宋体"/>
          <w:sz w:val="24"/>
        </w:rPr>
      </w:pPr>
    </w:p>
    <w:p w14:paraId="2460C4B9">
      <w:p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drawing>
          <wp:inline distT="0" distB="0" distL="114300" distR="114300">
            <wp:extent cx="5751830" cy="4313555"/>
            <wp:effectExtent l="0" t="0" r="1270" b="10795"/>
            <wp:docPr id="5" name="图片 5" descr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490D">
      <w:p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drawing>
          <wp:inline distT="0" distB="0" distL="114300" distR="114300">
            <wp:extent cx="5873750" cy="4405630"/>
            <wp:effectExtent l="0" t="0" r="12700" b="13970"/>
            <wp:docPr id="4" name="图片 4" descr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lang w:val="en-US" w:eastAsia="zh-CN"/>
        </w:rPr>
        <w:drawing>
          <wp:inline distT="0" distB="0" distL="114300" distR="114300">
            <wp:extent cx="5760720" cy="7680960"/>
            <wp:effectExtent l="0" t="0" r="11430" b="15240"/>
            <wp:docPr id="3" name="图片 3" descr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lang w:val="en-US" w:eastAsia="zh-CN"/>
        </w:rPr>
        <w:drawing>
          <wp:inline distT="0" distB="0" distL="114300" distR="114300">
            <wp:extent cx="5760720" cy="7680960"/>
            <wp:effectExtent l="0" t="0" r="11430" b="15240"/>
            <wp:docPr id="2" name="图片 2" descr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lang w:val="en-US" w:eastAsia="zh-CN"/>
        </w:rPr>
        <w:drawing>
          <wp:inline distT="0" distB="0" distL="114300" distR="114300">
            <wp:extent cx="5755640" cy="4316095"/>
            <wp:effectExtent l="0" t="0" r="16510" b="8255"/>
            <wp:docPr id="1" name="图片 1" descr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EEDC">
      <w:p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drawing>
          <wp:inline distT="0" distB="0" distL="114300" distR="114300">
            <wp:extent cx="5751195" cy="7668895"/>
            <wp:effectExtent l="0" t="0" r="1905" b="8255"/>
            <wp:docPr id="6" name="图片 6" descr="e6601682f9b537d3a5f8965eeee7d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6601682f9b537d3a5f8965eeee7d24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766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094552"/>
    <w:rsid w:val="3B125571"/>
    <w:rsid w:val="55BB377D"/>
    <w:rsid w:val="66DB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2347</Words>
  <Characters>2744</Characters>
  <Lines>0</Lines>
  <Paragraphs>0</Paragraphs>
  <TotalTime>25</TotalTime>
  <ScaleCrop>false</ScaleCrop>
  <LinksUpToDate>false</LinksUpToDate>
  <CharactersWithSpaces>2783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Colin</cp:lastModifiedBy>
  <dcterms:modified xsi:type="dcterms:W3CDTF">2026-08-14T10:59:29Z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1117523CCFCF40878668AA21C6192B85_13</vt:lpwstr>
  </property>
  <property fmtid="{D5CDD505-2E9C-101B-9397-08002B2CF9AE}" pid="4" name="KSOTemplateDocerSaveRecord">
    <vt:lpwstr>eyJoZGlkIjoiYzFjNTUwMDMzYmE1ZmNiNTA0MGY0ZTdiYzc2MDM0NmYiLCJ1c2VySWQiOiIxMjc1NjE1MDk1In0=</vt:lpwstr>
  </property>
</Properties>
</file>