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微软雅黑"/>
          <w:b/>
          <w:color w:val="0B2545"/>
          <w:sz w:val="40"/>
        </w:rPr>
        <w:t>沪深300股票收益预测与组合推荐</w:t>
      </w:r>
    </w:p>
    <w:p>
      <w:pPr>
        <w:spacing w:after="360"/>
        <w:jc w:val="center"/>
      </w:pPr>
      <w:r>
        <w:rPr>
          <w:rFonts w:ascii="Calibri" w:hAnsi="Calibri" w:eastAsia="微软雅黑"/>
          <w:b/>
          <w:color w:val="2E74B5"/>
          <w:sz w:val="36"/>
        </w:rPr>
        <w:t>结题报告</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448"/>
        <w:gridCol w:w="6768"/>
      </w:tblGrid>
      <w:tr>
        <w:tc>
          <w:tcPr>
            <w:tcW w:type="dxa" w:w="4680"/>
            <w:shd w:fill="F2F4F7"/>
            <w:tcMar>
              <w:top w:w="80" w:type="dxa"/>
              <w:start w:w="120" w:type="dxa"/>
              <w:bottom w:w="80" w:type="dxa"/>
              <w:end w:w="120" w:type="dxa"/>
            </w:tcMar>
          </w:tcPr>
          <w:p>
            <w:r>
              <w:rPr>
                <w:rFonts w:ascii="Calibri" w:hAnsi="Calibri" w:eastAsia="微软雅黑"/>
                <w:b/>
                <w:sz w:val="21"/>
              </w:rPr>
              <w:t>项目</w:t>
            </w:r>
          </w:p>
        </w:tc>
        <w:tc>
          <w:tcPr>
            <w:tcW w:type="dxa" w:w="4680"/>
            <w:shd w:fill="F2F4F7"/>
            <w:tcMar>
              <w:top w:w="80" w:type="dxa"/>
              <w:start w:w="120" w:type="dxa"/>
              <w:bottom w:w="80" w:type="dxa"/>
              <w:end w:w="120" w:type="dxa"/>
            </w:tcMar>
          </w:tcPr>
          <w:p>
            <w:r>
              <w:rPr>
                <w:rFonts w:ascii="Calibri" w:hAnsi="Calibri" w:eastAsia="微软雅黑"/>
                <w:b/>
                <w:sz w:val="21"/>
              </w:rPr>
              <w:t>内容</w:t>
            </w:r>
          </w:p>
        </w:tc>
      </w:tr>
      <w:tr>
        <w:tc>
          <w:tcPr>
            <w:tcW w:type="dxa" w:w="2448"/>
            <w:vAlign w:val="center"/>
            <w:tcMar>
              <w:top w:w="80" w:type="dxa"/>
              <w:start w:w="120" w:type="dxa"/>
              <w:bottom w:w="80" w:type="dxa"/>
              <w:end w:w="120" w:type="dxa"/>
            </w:tcMar>
          </w:tcPr>
          <w:p>
            <w:r>
              <w:rPr>
                <w:rFonts w:ascii="Calibri" w:hAnsi="Calibri" w:eastAsia="宋体"/>
                <w:b/>
                <w:sz w:val="21"/>
              </w:rPr>
              <w:t>课题方向</w:t>
            </w:r>
          </w:p>
        </w:tc>
        <w:tc>
          <w:tcPr>
            <w:tcW w:type="dxa" w:w="6768"/>
            <w:vAlign w:val="center"/>
            <w:tcMar>
              <w:top w:w="80" w:type="dxa"/>
              <w:start w:w="120" w:type="dxa"/>
              <w:bottom w:w="80" w:type="dxa"/>
              <w:end w:w="120" w:type="dxa"/>
            </w:tcMar>
          </w:tcPr>
          <w:p>
            <w:r>
              <w:rPr>
                <w:rFonts w:ascii="Calibri" w:hAnsi="Calibri" w:eastAsia="宋体"/>
                <w:sz w:val="21"/>
              </w:rPr>
              <w:t>面向金融时间序列的收益预测与组合推荐研究</w:t>
            </w:r>
          </w:p>
        </w:tc>
      </w:tr>
      <w:tr>
        <w:tc>
          <w:tcPr>
            <w:tcW w:type="dxa" w:w="2448"/>
            <w:vAlign w:val="center"/>
            <w:tcMar>
              <w:top w:w="80" w:type="dxa"/>
              <w:start w:w="120" w:type="dxa"/>
              <w:bottom w:w="80" w:type="dxa"/>
              <w:end w:w="120" w:type="dxa"/>
            </w:tcMar>
          </w:tcPr>
          <w:p>
            <w:r>
              <w:rPr>
                <w:rFonts w:ascii="Calibri" w:hAnsi="Calibri" w:eastAsia="宋体"/>
                <w:b/>
                <w:sz w:val="21"/>
              </w:rPr>
              <w:t>最终方案</w:t>
            </w:r>
          </w:p>
        </w:tc>
        <w:tc>
          <w:tcPr>
            <w:tcW w:type="dxa" w:w="6768"/>
            <w:vAlign w:val="center"/>
            <w:tcMar>
              <w:top w:w="80" w:type="dxa"/>
              <w:start w:w="120" w:type="dxa"/>
              <w:bottom w:w="80" w:type="dxa"/>
              <w:end w:w="120" w:type="dxa"/>
            </w:tcMar>
          </w:tcPr>
          <w:p>
            <w:r>
              <w:rPr>
                <w:rFonts w:ascii="Calibri" w:hAnsi="Calibri" w:eastAsia="宋体"/>
                <w:sz w:val="21"/>
              </w:rPr>
              <w:t>aggressive_score_submission</w:t>
            </w:r>
          </w:p>
        </w:tc>
      </w:tr>
      <w:tr>
        <w:tc>
          <w:tcPr>
            <w:tcW w:type="dxa" w:w="2448"/>
            <w:vAlign w:val="center"/>
            <w:tcMar>
              <w:top w:w="80" w:type="dxa"/>
              <w:start w:w="120" w:type="dxa"/>
              <w:bottom w:w="80" w:type="dxa"/>
              <w:end w:w="120" w:type="dxa"/>
            </w:tcMar>
          </w:tcPr>
          <w:p>
            <w:r>
              <w:rPr>
                <w:rFonts w:ascii="Calibri" w:hAnsi="Calibri" w:eastAsia="宋体"/>
                <w:b/>
                <w:sz w:val="21"/>
              </w:rPr>
              <w:t>核心输出</w:t>
            </w:r>
          </w:p>
        </w:tc>
        <w:tc>
          <w:tcPr>
            <w:tcW w:type="dxa" w:w="6768"/>
            <w:vAlign w:val="center"/>
            <w:tcMar>
              <w:top w:w="80" w:type="dxa"/>
              <w:start w:w="120" w:type="dxa"/>
              <w:bottom w:w="80" w:type="dxa"/>
              <w:end w:w="120" w:type="dxa"/>
            </w:tcMar>
          </w:tcPr>
          <w:p>
            <w:r>
              <w:rPr>
                <w:rFonts w:ascii="Calibri" w:hAnsi="Calibri" w:eastAsia="宋体"/>
                <w:sz w:val="21"/>
              </w:rPr>
              <w:t>app/output/result.csv</w:t>
            </w:r>
          </w:p>
        </w:tc>
      </w:tr>
      <w:tr>
        <w:tc>
          <w:tcPr>
            <w:tcW w:type="dxa" w:w="2448"/>
            <w:vAlign w:val="center"/>
            <w:tcMar>
              <w:top w:w="80" w:type="dxa"/>
              <w:start w:w="120" w:type="dxa"/>
              <w:bottom w:w="80" w:type="dxa"/>
              <w:end w:w="120" w:type="dxa"/>
            </w:tcMar>
          </w:tcPr>
          <w:p>
            <w:r>
              <w:rPr>
                <w:rFonts w:ascii="Calibri" w:hAnsi="Calibri" w:eastAsia="宋体"/>
                <w:b/>
                <w:sz w:val="21"/>
              </w:rPr>
              <w:t>验证状态</w:t>
            </w:r>
          </w:p>
        </w:tc>
        <w:tc>
          <w:tcPr>
            <w:tcW w:type="dxa" w:w="6768"/>
            <w:vAlign w:val="center"/>
            <w:tcMar>
              <w:top w:w="80" w:type="dxa"/>
              <w:start w:w="120" w:type="dxa"/>
              <w:bottom w:w="80" w:type="dxa"/>
              <w:end w:w="120" w:type="dxa"/>
            </w:tcMar>
          </w:tcPr>
          <w:p>
            <w:r>
              <w:rPr>
                <w:rFonts w:ascii="Calibri" w:hAnsi="Calibri" w:eastAsia="宋体"/>
                <w:sz w:val="21"/>
              </w:rPr>
              <w:t>pytest 26 passed; pre_submit_check and result_validator passed</w:t>
            </w:r>
          </w:p>
        </w:tc>
      </w:tr>
      <w:tr>
        <w:tc>
          <w:tcPr>
            <w:tcW w:type="dxa" w:w="2448"/>
            <w:vAlign w:val="center"/>
            <w:tcMar>
              <w:top w:w="80" w:type="dxa"/>
              <w:start w:w="120" w:type="dxa"/>
              <w:bottom w:w="80" w:type="dxa"/>
              <w:end w:w="120" w:type="dxa"/>
            </w:tcMar>
          </w:tcPr>
          <w:p>
            <w:r>
              <w:rPr>
                <w:rFonts w:ascii="Calibri" w:hAnsi="Calibri" w:eastAsia="宋体"/>
                <w:b/>
                <w:sz w:val="21"/>
              </w:rPr>
              <w:t>复现入口</w:t>
            </w:r>
          </w:p>
        </w:tc>
        <w:tc>
          <w:tcPr>
            <w:tcW w:type="dxa" w:w="6768"/>
            <w:vAlign w:val="center"/>
            <w:tcMar>
              <w:top w:w="80" w:type="dxa"/>
              <w:start w:w="120" w:type="dxa"/>
              <w:bottom w:w="80" w:type="dxa"/>
              <w:end w:w="120" w:type="dxa"/>
            </w:tcMar>
          </w:tcPr>
          <w:p>
            <w:r>
              <w:rPr>
                <w:rFonts w:ascii="Calibri" w:hAnsi="Calibri" w:eastAsia="宋体"/>
                <w:sz w:val="21"/>
              </w:rPr>
              <w:t>README.md, Dockerfile, docker-compose.yml, app/run_submission.sh</w:t>
            </w:r>
          </w:p>
        </w:tc>
      </w:tr>
    </w:tbl>
    <w:p/>
    <w:p>
      <w:pPr>
        <w:pStyle w:val="Heading1"/>
      </w:pPr>
      <w:r>
        <w:rPr>
          <w:rFonts w:ascii="Calibri" w:hAnsi="Calibri" w:eastAsia="微软雅黑"/>
          <w:b/>
          <w:color w:val="2E74B5"/>
          <w:sz w:val="32"/>
        </w:rPr>
        <w:t>一、课题概述</w:t>
      </w:r>
    </w:p>
    <w:p>
      <w:pPr>
        <w:ind w:firstLine="440"/>
      </w:pPr>
      <w:r>
        <w:rPr>
          <w:rFonts w:ascii="Calibri" w:hAnsi="Calibri" w:eastAsia="宋体"/>
          <w:sz w:val="22"/>
        </w:rPr>
        <w:t xml:space="preserve">本项目围绕沪深300成分股的短期收益预测与组合推荐展开，目标是在给定历史行情数据的基础上，构建可复现的数据处理、特征工程、模型训练、回测评估和提交生成流程，最终输出满足竞赛格式要求的五只股票等权组合 </w:t>
      </w:r>
      <w:r>
        <w:rPr>
          <w:rFonts w:ascii="Calibri" w:hAnsi="Calibri" w:eastAsia="Consolas"/>
          <w:color w:val="1F4D78"/>
          <w:sz w:val="20"/>
        </w:rPr>
        <w:t>result.csv</w:t>
      </w:r>
      <w:r>
        <w:rPr>
          <w:rFonts w:ascii="Calibri" w:hAnsi="Calibri" w:eastAsia="宋体"/>
          <w:sz w:val="22"/>
        </w:rPr>
        <w:t>。</w:t>
      </w:r>
    </w:p>
    <w:p>
      <w:pPr>
        <w:ind w:firstLine="440"/>
      </w:pPr>
      <w:r>
        <w:rPr>
          <w:rFonts w:ascii="Calibri" w:hAnsi="Calibri" w:eastAsia="宋体"/>
          <w:sz w:val="22"/>
        </w:rPr>
        <w:t xml:space="preserve">项目定位不是单一模型脚本，而是一条完整实验链路：从原始数据读取、行情特征构建、多模型对比、组合约束校验，到 Docker 彩排和自动化测试。当前最终提交方案为 </w:t>
      </w:r>
      <w:r>
        <w:rPr>
          <w:rFonts w:ascii="Calibri" w:hAnsi="Calibri" w:eastAsia="Consolas"/>
          <w:color w:val="1F4D78"/>
          <w:sz w:val="20"/>
        </w:rPr>
        <w:t>aggressive_score_submission</w:t>
      </w:r>
      <w:r>
        <w:rPr>
          <w:rFonts w:ascii="Calibri" w:hAnsi="Calibri" w:eastAsia="宋体"/>
          <w:sz w:val="22"/>
        </w:rPr>
        <w:t xml:space="preserve">，对应输出文件已冻结在 </w:t>
      </w:r>
      <w:r>
        <w:rPr>
          <w:rFonts w:ascii="Calibri" w:hAnsi="Calibri" w:eastAsia="Consolas"/>
          <w:color w:val="1F4D78"/>
          <w:sz w:val="20"/>
        </w:rPr>
        <w:t>app/output/result.csv</w:t>
      </w:r>
      <w:r>
        <w:rPr>
          <w:rFonts w:ascii="Calibri" w:hAnsi="Calibri" w:eastAsia="宋体"/>
          <w:sz w:val="22"/>
        </w:rPr>
        <w:t xml:space="preserve"> 与 </w:t>
      </w:r>
      <w:r>
        <w:rPr>
          <w:rFonts w:ascii="Calibri" w:hAnsi="Calibri" w:eastAsia="Consolas"/>
          <w:color w:val="1F4D78"/>
          <w:sz w:val="20"/>
        </w:rPr>
        <w:t>test/output/result.csv</w:t>
      </w:r>
      <w:r>
        <w:rPr>
          <w:rFonts w:ascii="Calibri" w:hAnsi="Calibri" w:eastAsia="宋体"/>
          <w:sz w:val="22"/>
        </w:rPr>
        <w:t>。</w:t>
      </w:r>
    </w:p>
    <w:p>
      <w:pPr>
        <w:pStyle w:val="Heading1"/>
      </w:pPr>
      <w:r>
        <w:rPr>
          <w:rFonts w:ascii="Calibri" w:hAnsi="Calibri" w:eastAsia="微软雅黑"/>
          <w:b/>
          <w:color w:val="2E74B5"/>
          <w:sz w:val="32"/>
        </w:rPr>
        <w:t>二、任务要求对齐</w:t>
      </w:r>
    </w:p>
    <w:p>
      <w:pPr>
        <w:ind w:firstLine="440"/>
      </w:pPr>
      <w:r>
        <w:rPr>
          <w:rFonts w:ascii="Calibri" w:hAnsi="Calibri" w:eastAsia="宋体"/>
          <w:sz w:val="22"/>
        </w:rPr>
        <w:t>根据 110 实验室专题研究通知、开题报告和课题评测反馈，本项目重点补齐了以下材料：</w:t>
      </w:r>
    </w:p>
    <w:p>
      <w:pPr>
        <w:pStyle w:val="ListBullet"/>
        <w:spacing w:after="100"/>
      </w:pPr>
      <w:r>
        <w:rPr>
          <w:rFonts w:ascii="Calibri" w:hAnsi="Calibri" w:eastAsia="宋体"/>
          <w:sz w:val="22"/>
        </w:rPr>
        <w:t xml:space="preserve">可运行代码：保留标准 </w:t>
      </w:r>
      <w:r>
        <w:rPr>
          <w:rFonts w:ascii="Calibri" w:hAnsi="Calibri" w:eastAsia="Consolas"/>
          <w:color w:val="1F4D78"/>
          <w:sz w:val="20"/>
        </w:rPr>
        <w:t>app/init</w:t>
      </w:r>
      <w:r>
        <w:rPr>
          <w:rFonts w:ascii="Calibri" w:hAnsi="Calibri" w:eastAsia="宋体"/>
          <w:sz w:val="22"/>
        </w:rPr>
        <w:t>、</w:t>
      </w:r>
      <w:r>
        <w:rPr>
          <w:rFonts w:ascii="Calibri" w:hAnsi="Calibri" w:eastAsia="Consolas"/>
          <w:color w:val="1F4D78"/>
          <w:sz w:val="20"/>
        </w:rPr>
        <w:t>app/train</w:t>
      </w:r>
      <w:r>
        <w:rPr>
          <w:rFonts w:ascii="Calibri" w:hAnsi="Calibri" w:eastAsia="宋体"/>
          <w:sz w:val="22"/>
        </w:rPr>
        <w:t>、</w:t>
      </w:r>
      <w:r>
        <w:rPr>
          <w:rFonts w:ascii="Calibri" w:hAnsi="Calibri" w:eastAsia="Consolas"/>
          <w:color w:val="1F4D78"/>
          <w:sz w:val="20"/>
        </w:rPr>
        <w:t>app/test</w:t>
      </w:r>
      <w:r>
        <w:rPr>
          <w:rFonts w:ascii="Calibri" w:hAnsi="Calibri" w:eastAsia="宋体"/>
          <w:sz w:val="22"/>
        </w:rPr>
        <w:t>、</w:t>
      </w:r>
      <w:r>
        <w:rPr>
          <w:rFonts w:ascii="Calibri" w:hAnsi="Calibri" w:eastAsia="Consolas"/>
          <w:color w:val="1F4D78"/>
          <w:sz w:val="20"/>
        </w:rPr>
        <w:t>app/freeze_submission</w:t>
      </w:r>
      <w:r>
        <w:rPr>
          <w:rFonts w:ascii="Calibri" w:hAnsi="Calibri" w:eastAsia="宋体"/>
          <w:sz w:val="22"/>
        </w:rPr>
        <w:t>、</w:t>
      </w:r>
      <w:r>
        <w:rPr>
          <w:rFonts w:ascii="Calibri" w:hAnsi="Calibri" w:eastAsia="Consolas"/>
          <w:color w:val="1F4D78"/>
          <w:sz w:val="20"/>
        </w:rPr>
        <w:t>app/run_submission</w:t>
      </w:r>
      <w:r>
        <w:rPr>
          <w:rFonts w:ascii="Calibri" w:hAnsi="Calibri" w:eastAsia="宋体"/>
          <w:sz w:val="22"/>
        </w:rPr>
        <w:t xml:space="preserve"> 入口。</w:t>
      </w:r>
    </w:p>
    <w:p>
      <w:pPr>
        <w:pStyle w:val="ListBullet"/>
        <w:spacing w:after="100"/>
      </w:pPr>
      <w:r>
        <w:rPr>
          <w:rFonts w:ascii="Calibri" w:hAnsi="Calibri" w:eastAsia="宋体"/>
          <w:sz w:val="22"/>
        </w:rPr>
        <w:t xml:space="preserve">可复现实验：提供 </w:t>
      </w:r>
      <w:r>
        <w:rPr>
          <w:rFonts w:ascii="Calibri" w:hAnsi="Calibri" w:eastAsia="Consolas"/>
          <w:color w:val="1F4D78"/>
          <w:sz w:val="20"/>
        </w:rPr>
        <w:t>requirements.txt</w:t>
      </w:r>
      <w:r>
        <w:rPr>
          <w:rFonts w:ascii="Calibri" w:hAnsi="Calibri" w:eastAsia="宋体"/>
          <w:sz w:val="22"/>
        </w:rPr>
        <w:t>、</w:t>
      </w:r>
      <w:r>
        <w:rPr>
          <w:rFonts w:ascii="Calibri" w:hAnsi="Calibri" w:eastAsia="Consolas"/>
          <w:color w:val="1F4D78"/>
          <w:sz w:val="20"/>
        </w:rPr>
        <w:t>Dockerfile</w:t>
      </w:r>
      <w:r>
        <w:rPr>
          <w:rFonts w:ascii="Calibri" w:hAnsi="Calibri" w:eastAsia="宋体"/>
          <w:sz w:val="22"/>
        </w:rPr>
        <w:t>、</w:t>
      </w:r>
      <w:r>
        <w:rPr>
          <w:rFonts w:ascii="Calibri" w:hAnsi="Calibri" w:eastAsia="Consolas"/>
          <w:color w:val="1F4D78"/>
          <w:sz w:val="20"/>
        </w:rPr>
        <w:t>docker-compose.yml</w:t>
      </w:r>
      <w:r>
        <w:rPr>
          <w:rFonts w:ascii="Calibri" w:hAnsi="Calibri" w:eastAsia="宋体"/>
          <w:sz w:val="22"/>
        </w:rPr>
        <w:t>、数据说明和冻结提交流程。</w:t>
      </w:r>
    </w:p>
    <w:p>
      <w:pPr>
        <w:pStyle w:val="ListBullet"/>
        <w:spacing w:after="100"/>
      </w:pPr>
      <w:r>
        <w:rPr>
          <w:rFonts w:ascii="Calibri" w:hAnsi="Calibri" w:eastAsia="宋体"/>
          <w:sz w:val="22"/>
        </w:rPr>
        <w:t xml:space="preserve">结果产物：输出 </w:t>
      </w:r>
      <w:r>
        <w:rPr>
          <w:rFonts w:ascii="Calibri" w:hAnsi="Calibri" w:eastAsia="Consolas"/>
          <w:color w:val="1F4D78"/>
          <w:sz w:val="20"/>
        </w:rPr>
        <w:t>result.csv</w:t>
      </w:r>
      <w:r>
        <w:rPr>
          <w:rFonts w:ascii="Calibri" w:hAnsi="Calibri" w:eastAsia="宋体"/>
          <w:sz w:val="22"/>
        </w:rPr>
        <w:t>，并提供本地结果、Docker 彩排结果和快照一致性证据。</w:t>
      </w:r>
    </w:p>
    <w:p>
      <w:pPr>
        <w:pStyle w:val="ListBullet"/>
        <w:spacing w:after="100"/>
      </w:pPr>
      <w:r>
        <w:rPr>
          <w:rFonts w:ascii="Calibri" w:hAnsi="Calibri" w:eastAsia="宋体"/>
          <w:sz w:val="22"/>
        </w:rPr>
        <w:t>模型证据：整理 LSTM、LightGBM、XGBoost、Transformer-lite、Momentum baseline 等实验和选择理由。</w:t>
      </w:r>
    </w:p>
    <w:p>
      <w:pPr>
        <w:pStyle w:val="ListBullet"/>
        <w:spacing w:after="100"/>
      </w:pPr>
      <w:r>
        <w:rPr>
          <w:rFonts w:ascii="Calibri" w:hAnsi="Calibri" w:eastAsia="宋体"/>
          <w:sz w:val="22"/>
        </w:rPr>
        <w:t>评测问题修复：补充 pytest 回归测试、特征数量口径修正、实验 ID 格式修正、交付口径统一说明。</w:t>
      </w:r>
    </w:p>
    <w:p>
      <w:pPr>
        <w:pStyle w:val="ListBullet"/>
        <w:spacing w:after="100"/>
      </w:pPr>
      <w:r>
        <w:rPr>
          <w:rFonts w:ascii="Calibri" w:hAnsi="Calibri" w:eastAsia="宋体"/>
          <w:sz w:val="22"/>
        </w:rPr>
        <w:t>未完整落地方向说明：对 ARIMA、Qlib、FinRL、TFT、N-HiTS、TSFM 等开题报告中提及方向给出调研或适用性分析，明确未纳入正式实验链路的原因。</w:t>
      </w:r>
    </w:p>
    <w:p>
      <w:pPr>
        <w:ind w:firstLine="440"/>
      </w:pPr>
      <w:r>
        <w:rPr>
          <w:rFonts w:ascii="Calibri" w:hAnsi="Calibri" w:eastAsia="宋体"/>
          <w:sz w:val="22"/>
        </w:rPr>
        <w:t>PPT 属于答辩展示文件，本次非 PPT 交付包不包含 PPT 文件。</w:t>
      </w:r>
    </w:p>
    <w:p>
      <w:pPr>
        <w:pStyle w:val="Heading1"/>
      </w:pPr>
      <w:r>
        <w:rPr>
          <w:rFonts w:ascii="Calibri" w:hAnsi="Calibri" w:eastAsia="微软雅黑"/>
          <w:b/>
          <w:color w:val="2E74B5"/>
          <w:sz w:val="32"/>
        </w:rPr>
        <w:t>三、技术路线</w:t>
      </w:r>
    </w:p>
    <w:p>
      <w:pPr>
        <w:ind w:firstLine="440"/>
      </w:pPr>
      <w:r>
        <w:rPr>
          <w:rFonts w:ascii="Calibri" w:hAnsi="Calibri" w:eastAsia="宋体"/>
          <w:sz w:val="22"/>
        </w:rPr>
        <w:t>项目采用“多模型候选 + 统一打分 + 组合约束”的实现思路。</w:t>
      </w:r>
    </w:p>
    <w:p>
      <w:pPr>
        <w:ind w:firstLine="440"/>
      </w:pPr>
      <w:r>
        <w:rPr>
          <w:rFonts w:ascii="Calibri" w:hAnsi="Calibri" w:eastAsia="宋体"/>
          <w:sz w:val="22"/>
        </w:rPr>
        <w:t>数据处理阶段，系统读取训练集、测试集和股票列表，完成行情字段清洗、股票代码标准化、时间排序、缺失处理和滚动窗口特征构建。特征工程覆盖动量、波动率、成交量、趋势、反转、风险调整收益、市场状态等维度，并通过 preset 机制控制不同特征集合的规模与用途。</w:t>
      </w:r>
    </w:p>
    <w:p>
      <w:pPr>
        <w:ind w:firstLine="440"/>
      </w:pPr>
      <w:r>
        <w:rPr>
          <w:rFonts w:ascii="Calibri" w:hAnsi="Calibri" w:eastAsia="宋体"/>
          <w:sz w:val="22"/>
        </w:rPr>
        <w:t>模型阶段，项目重点实现并记录了以下候选：</w:t>
      </w:r>
    </w:p>
    <w:p>
      <w:pPr>
        <w:pStyle w:val="ListBullet"/>
        <w:spacing w:after="100"/>
      </w:pPr>
      <w:r>
        <w:rPr>
          <w:rFonts w:ascii="Calibri" w:hAnsi="Calibri" w:eastAsia="宋体"/>
          <w:sz w:val="22"/>
        </w:rPr>
        <w:t>Momentum baseline：作为可解释、稳定的传统基线。</w:t>
      </w:r>
    </w:p>
    <w:p>
      <w:pPr>
        <w:pStyle w:val="ListBullet"/>
        <w:spacing w:after="100"/>
      </w:pPr>
      <w:r>
        <w:rPr>
          <w:rFonts w:ascii="Calibri" w:hAnsi="Calibri" w:eastAsia="宋体"/>
          <w:sz w:val="22"/>
        </w:rPr>
        <w:t>LightGBM：用于表格特征下的非线性排序建模。</w:t>
      </w:r>
    </w:p>
    <w:p>
      <w:pPr>
        <w:pStyle w:val="ListBullet"/>
        <w:spacing w:after="100"/>
      </w:pPr>
      <w:r>
        <w:rPr>
          <w:rFonts w:ascii="Calibri" w:hAnsi="Calibri" w:eastAsia="宋体"/>
          <w:sz w:val="22"/>
        </w:rPr>
        <w:t>XGBoost：用于补充树模型对比和稳健性验证。</w:t>
      </w:r>
    </w:p>
    <w:p>
      <w:pPr>
        <w:pStyle w:val="ListBullet"/>
        <w:spacing w:after="100"/>
      </w:pPr>
      <w:r>
        <w:rPr>
          <w:rFonts w:ascii="Calibri" w:hAnsi="Calibri" w:eastAsia="宋体"/>
          <w:sz w:val="22"/>
        </w:rPr>
        <w:t>LSTM：用于捕捉局部时间序列依赖。</w:t>
      </w:r>
    </w:p>
    <w:p>
      <w:pPr>
        <w:pStyle w:val="ListBullet"/>
        <w:spacing w:after="100"/>
      </w:pPr>
      <w:r>
        <w:rPr>
          <w:rFonts w:ascii="Calibri" w:hAnsi="Calibri" w:eastAsia="宋体"/>
          <w:sz w:val="22"/>
        </w:rPr>
        <w:t>Transformer-lite：用于验证轻量注意力结构在有限样本下的表现。</w:t>
      </w:r>
    </w:p>
    <w:p>
      <w:pPr>
        <w:ind w:firstLine="440"/>
      </w:pPr>
      <w:r>
        <w:rPr>
          <w:rFonts w:ascii="Calibri" w:hAnsi="Calibri" w:eastAsia="宋体"/>
          <w:sz w:val="22"/>
        </w:rPr>
        <w:t>组合生成阶段，系统根据候选股票得分筛选 Top 5，并按竞赛要求生成股票代码与权重字段。最终权重总和为 1，单只股票权重为约 0.2，满足提交格式要求。</w:t>
      </w:r>
    </w:p>
    <w:p>
      <w:pPr>
        <w:pStyle w:val="Heading1"/>
      </w:pPr>
      <w:r>
        <w:rPr>
          <w:rFonts w:ascii="Calibri" w:hAnsi="Calibri" w:eastAsia="微软雅黑"/>
          <w:b/>
          <w:color w:val="2E74B5"/>
          <w:sz w:val="32"/>
        </w:rPr>
        <w:t>四、实验与评估</w:t>
      </w:r>
    </w:p>
    <w:p>
      <w:pPr>
        <w:ind w:firstLine="440"/>
      </w:pPr>
      <w:r>
        <w:rPr>
          <w:rFonts w:ascii="Calibri" w:hAnsi="Calibri" w:eastAsia="宋体"/>
          <w:sz w:val="22"/>
        </w:rPr>
        <w:t xml:space="preserve">项目实验记录集中保存在 </w:t>
      </w:r>
      <w:r>
        <w:rPr>
          <w:rFonts w:ascii="Calibri" w:hAnsi="Calibri" w:eastAsia="Consolas"/>
          <w:color w:val="1F4D78"/>
          <w:sz w:val="20"/>
        </w:rPr>
        <w:t>app/docs</w:t>
      </w:r>
      <w:r>
        <w:rPr>
          <w:rFonts w:ascii="Calibri" w:hAnsi="Calibri" w:eastAsia="宋体"/>
          <w:sz w:val="22"/>
        </w:rPr>
        <w:t>、</w:t>
      </w:r>
      <w:r>
        <w:rPr>
          <w:rFonts w:ascii="Calibri" w:hAnsi="Calibri" w:eastAsia="Consolas"/>
          <w:color w:val="1F4D78"/>
          <w:sz w:val="20"/>
        </w:rPr>
        <w:t>app/model</w:t>
      </w:r>
      <w:r>
        <w:rPr>
          <w:rFonts w:ascii="Calibri" w:hAnsi="Calibri" w:eastAsia="宋体"/>
          <w:sz w:val="22"/>
        </w:rPr>
        <w:t>、</w:t>
      </w:r>
      <w:r>
        <w:rPr>
          <w:rFonts w:ascii="Calibri" w:hAnsi="Calibri" w:eastAsia="Consolas"/>
          <w:color w:val="1F4D78"/>
          <w:sz w:val="20"/>
        </w:rPr>
        <w:t>app/output</w:t>
      </w:r>
      <w:r>
        <w:rPr>
          <w:rFonts w:ascii="Calibri" w:hAnsi="Calibri" w:eastAsia="宋体"/>
          <w:sz w:val="22"/>
        </w:rPr>
        <w:t xml:space="preserve"> 和 </w:t>
      </w:r>
      <w:r>
        <w:rPr>
          <w:rFonts w:ascii="Calibri" w:hAnsi="Calibri" w:eastAsia="Consolas"/>
          <w:color w:val="1F4D78"/>
          <w:sz w:val="20"/>
        </w:rPr>
        <w:t>test/output</w:t>
      </w:r>
      <w:r>
        <w:rPr>
          <w:rFonts w:ascii="Calibri" w:hAnsi="Calibri" w:eastAsia="宋体"/>
          <w:sz w:val="22"/>
        </w:rPr>
        <w:t>。核心验证口径如下：</w:t>
      </w:r>
    </w:p>
    <w:p>
      <w:pPr>
        <w:pStyle w:val="ListBullet"/>
        <w:spacing w:after="100"/>
      </w:pPr>
      <w:r>
        <w:rPr>
          <w:rFonts w:ascii="Calibri" w:hAnsi="Calibri" w:eastAsia="宋体"/>
          <w:sz w:val="22"/>
        </w:rPr>
        <w:t>自动化测试：</w:t>
      </w:r>
      <w:r>
        <w:rPr>
          <w:rFonts w:ascii="Calibri" w:hAnsi="Calibri" w:eastAsia="Consolas"/>
          <w:color w:val="1F4D78"/>
          <w:sz w:val="20"/>
        </w:rPr>
        <w:t>pytest -q</w:t>
      </w:r>
      <w:r>
        <w:rPr>
          <w:rFonts w:ascii="Calibri" w:hAnsi="Calibri" w:eastAsia="宋体"/>
          <w:sz w:val="22"/>
        </w:rPr>
        <w:t xml:space="preserve"> 当前通过 26 个测试用例。</w:t>
      </w:r>
    </w:p>
    <w:p>
      <w:pPr>
        <w:pStyle w:val="ListBullet"/>
        <w:spacing w:after="100"/>
      </w:pPr>
      <w:r>
        <w:rPr>
          <w:rFonts w:ascii="Calibri" w:hAnsi="Calibri" w:eastAsia="宋体"/>
          <w:sz w:val="22"/>
        </w:rPr>
        <w:t>提交格式校验：</w:t>
      </w:r>
      <w:r>
        <w:rPr>
          <w:rFonts w:ascii="Calibri" w:hAnsi="Calibri" w:eastAsia="Consolas"/>
          <w:color w:val="1F4D78"/>
          <w:sz w:val="20"/>
        </w:rPr>
        <w:t>result.csv</w:t>
      </w:r>
      <w:r>
        <w:rPr>
          <w:rFonts w:ascii="Calibri" w:hAnsi="Calibri" w:eastAsia="宋体"/>
          <w:sz w:val="22"/>
        </w:rPr>
        <w:t xml:space="preserve"> 包含 5 只股票，权重和为 1，无重复代码。</w:t>
      </w:r>
    </w:p>
    <w:p>
      <w:pPr>
        <w:pStyle w:val="ListBullet"/>
        <w:spacing w:after="100"/>
      </w:pPr>
      <w:r>
        <w:rPr>
          <w:rFonts w:ascii="Calibri" w:hAnsi="Calibri" w:eastAsia="宋体"/>
          <w:sz w:val="22"/>
        </w:rPr>
        <w:t>Docker 彩排一致性：本地输出与 Docker 彩排输出 MD5 一致。</w:t>
      </w:r>
    </w:p>
    <w:p>
      <w:pPr>
        <w:pStyle w:val="ListBullet"/>
        <w:spacing w:after="100"/>
      </w:pPr>
      <w:r>
        <w:rPr>
          <w:rFonts w:ascii="Calibri" w:hAnsi="Calibri" w:eastAsia="宋体"/>
          <w:sz w:val="22"/>
        </w:rPr>
        <w:t>冻结产物一致性：</w:t>
      </w:r>
      <w:r>
        <w:rPr>
          <w:rFonts w:ascii="Calibri" w:hAnsi="Calibri" w:eastAsia="Consolas"/>
          <w:color w:val="1F4D78"/>
          <w:sz w:val="20"/>
        </w:rPr>
        <w:t>app/output/result.csv</w:t>
      </w:r>
      <w:r>
        <w:rPr>
          <w:rFonts w:ascii="Calibri" w:hAnsi="Calibri" w:eastAsia="宋体"/>
          <w:sz w:val="22"/>
        </w:rPr>
        <w:t xml:space="preserve"> 与 </w:t>
      </w:r>
      <w:r>
        <w:rPr>
          <w:rFonts w:ascii="Calibri" w:hAnsi="Calibri" w:eastAsia="Consolas"/>
          <w:color w:val="1F4D78"/>
          <w:sz w:val="20"/>
        </w:rPr>
        <w:t>test/output/result.csv</w:t>
      </w:r>
      <w:r>
        <w:rPr>
          <w:rFonts w:ascii="Calibri" w:hAnsi="Calibri" w:eastAsia="宋体"/>
          <w:sz w:val="22"/>
        </w:rPr>
        <w:t xml:space="preserve"> 使用同一轮冻结结果。</w:t>
      </w:r>
    </w:p>
    <w:p>
      <w:pPr>
        <w:pStyle w:val="ListBullet"/>
        <w:spacing w:after="100"/>
      </w:pPr>
      <w:r>
        <w:rPr>
          <w:rFonts w:ascii="Calibri" w:hAnsi="Calibri" w:eastAsia="宋体"/>
          <w:sz w:val="22"/>
        </w:rPr>
        <w:t xml:space="preserve">可复现命令：README 和 </w:t>
      </w:r>
      <w:r>
        <w:rPr>
          <w:rFonts w:ascii="Calibri" w:hAnsi="Calibri" w:eastAsia="Consolas"/>
          <w:color w:val="1F4D78"/>
          <w:sz w:val="20"/>
        </w:rPr>
        <w:t>app/docs/reproducibility_guide.md</w:t>
      </w:r>
      <w:r>
        <w:rPr>
          <w:rFonts w:ascii="Calibri" w:hAnsi="Calibri" w:eastAsia="宋体"/>
          <w:sz w:val="22"/>
        </w:rPr>
        <w:t xml:space="preserve"> 中列出 Windows 与 Linux/Docker 两套运行方式。</w:t>
      </w:r>
    </w:p>
    <w:p>
      <w:pPr>
        <w:ind w:firstLine="440"/>
      </w:pPr>
      <w:r>
        <w:rPr>
          <w:rFonts w:ascii="Calibri" w:hAnsi="Calibri" w:eastAsia="宋体"/>
          <w:sz w:val="22"/>
        </w:rPr>
        <w:t>当前冻结结果为：</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4680"/>
        <w:gridCol w:w="4680"/>
      </w:tblGrid>
      <w:tr>
        <w:tc>
          <w:tcPr>
            <w:tcW w:type="dxa" w:w="4680"/>
            <w:shd w:fill="F2F4F7"/>
            <w:tcMar>
              <w:top w:w="80" w:type="dxa"/>
              <w:start w:w="120" w:type="dxa"/>
              <w:bottom w:w="80" w:type="dxa"/>
              <w:end w:w="120" w:type="dxa"/>
            </w:tcMar>
          </w:tcPr>
          <w:p>
            <w:pPr>
              <w:jc w:val="center"/>
            </w:pPr>
            <w:r>
              <w:rPr>
                <w:rFonts w:ascii="Calibri" w:hAnsi="Calibri" w:eastAsia="微软雅黑"/>
                <w:b/>
                <w:sz w:val="21"/>
              </w:rPr>
              <w:t>stock_id</w:t>
            </w:r>
          </w:p>
        </w:tc>
        <w:tc>
          <w:tcPr>
            <w:tcW w:type="dxa" w:w="4680"/>
            <w:shd w:fill="F2F4F7"/>
            <w:tcMar>
              <w:top w:w="80" w:type="dxa"/>
              <w:start w:w="120" w:type="dxa"/>
              <w:bottom w:w="80" w:type="dxa"/>
              <w:end w:w="120" w:type="dxa"/>
            </w:tcMar>
          </w:tcPr>
          <w:p>
            <w:pPr>
              <w:jc w:val="center"/>
            </w:pPr>
            <w:r>
              <w:rPr>
                <w:rFonts w:ascii="Calibri" w:hAnsi="Calibri" w:eastAsia="微软雅黑"/>
                <w:b/>
                <w:sz w:val="21"/>
              </w:rPr>
              <w:t>weight</w:t>
            </w:r>
          </w:p>
        </w:tc>
      </w:tr>
      <w:tr>
        <w:tc>
          <w:tcPr>
            <w:tcW w:type="dxa" w:w="4680"/>
            <w:vAlign w:val="center"/>
            <w:tcMar>
              <w:top w:w="80" w:type="dxa"/>
              <w:start w:w="120" w:type="dxa"/>
              <w:bottom w:w="80" w:type="dxa"/>
              <w:end w:w="120" w:type="dxa"/>
            </w:tcMar>
          </w:tcPr>
          <w:p>
            <w:pPr>
              <w:jc w:val="center"/>
            </w:pPr>
            <w:r>
              <w:rPr>
                <w:rFonts w:ascii="Calibri" w:hAnsi="Calibri" w:eastAsia="宋体"/>
                <w:sz w:val="21"/>
              </w:rPr>
              <w:t>000792</w:t>
            </w:r>
          </w:p>
        </w:tc>
        <w:tc>
          <w:tcPr>
            <w:tcW w:type="dxa" w:w="4680"/>
            <w:vAlign w:val="center"/>
            <w:tcMar>
              <w:top w:w="80" w:type="dxa"/>
              <w:start w:w="120" w:type="dxa"/>
              <w:bottom w:w="80" w:type="dxa"/>
              <w:end w:w="120" w:type="dxa"/>
            </w:tcMar>
          </w:tcPr>
          <w:p>
            <w:pPr>
              <w:jc w:val="center"/>
            </w:pPr>
            <w:r>
              <w:rPr>
                <w:rFonts w:ascii="Calibri" w:hAnsi="Calibri" w:eastAsia="宋体"/>
                <w:sz w:val="21"/>
              </w:rPr>
              <w:t>0.2</w:t>
            </w:r>
          </w:p>
        </w:tc>
      </w:tr>
      <w:tr>
        <w:tc>
          <w:tcPr>
            <w:tcW w:type="dxa" w:w="4680"/>
            <w:vAlign w:val="center"/>
            <w:tcMar>
              <w:top w:w="80" w:type="dxa"/>
              <w:start w:w="120" w:type="dxa"/>
              <w:bottom w:w="80" w:type="dxa"/>
              <w:end w:w="120" w:type="dxa"/>
            </w:tcMar>
          </w:tcPr>
          <w:p>
            <w:pPr>
              <w:jc w:val="center"/>
            </w:pPr>
            <w:r>
              <w:rPr>
                <w:rFonts w:ascii="Calibri" w:hAnsi="Calibri" w:eastAsia="宋体"/>
                <w:sz w:val="21"/>
              </w:rPr>
              <w:t>600233</w:t>
            </w:r>
          </w:p>
        </w:tc>
        <w:tc>
          <w:tcPr>
            <w:tcW w:type="dxa" w:w="4680"/>
            <w:vAlign w:val="center"/>
            <w:tcMar>
              <w:top w:w="80" w:type="dxa"/>
              <w:start w:w="120" w:type="dxa"/>
              <w:bottom w:w="80" w:type="dxa"/>
              <w:end w:w="120" w:type="dxa"/>
            </w:tcMar>
          </w:tcPr>
          <w:p>
            <w:pPr>
              <w:jc w:val="center"/>
            </w:pPr>
            <w:r>
              <w:rPr>
                <w:rFonts w:ascii="Calibri" w:hAnsi="Calibri" w:eastAsia="宋体"/>
                <w:sz w:val="21"/>
              </w:rPr>
              <w:t>0.2</w:t>
            </w:r>
          </w:p>
        </w:tc>
      </w:tr>
      <w:tr>
        <w:tc>
          <w:tcPr>
            <w:tcW w:type="dxa" w:w="4680"/>
            <w:vAlign w:val="center"/>
            <w:tcMar>
              <w:top w:w="80" w:type="dxa"/>
              <w:start w:w="120" w:type="dxa"/>
              <w:bottom w:w="80" w:type="dxa"/>
              <w:end w:w="120" w:type="dxa"/>
            </w:tcMar>
          </w:tcPr>
          <w:p>
            <w:pPr>
              <w:jc w:val="center"/>
            </w:pPr>
            <w:r>
              <w:rPr>
                <w:rFonts w:ascii="Calibri" w:hAnsi="Calibri" w:eastAsia="宋体"/>
                <w:sz w:val="21"/>
              </w:rPr>
              <w:t>601669</w:t>
            </w:r>
          </w:p>
        </w:tc>
        <w:tc>
          <w:tcPr>
            <w:tcW w:type="dxa" w:w="4680"/>
            <w:vAlign w:val="center"/>
            <w:tcMar>
              <w:top w:w="80" w:type="dxa"/>
              <w:start w:w="120" w:type="dxa"/>
              <w:bottom w:w="80" w:type="dxa"/>
              <w:end w:w="120" w:type="dxa"/>
            </w:tcMar>
          </w:tcPr>
          <w:p>
            <w:pPr>
              <w:jc w:val="center"/>
            </w:pPr>
            <w:r>
              <w:rPr>
                <w:rFonts w:ascii="Calibri" w:hAnsi="Calibri" w:eastAsia="宋体"/>
                <w:sz w:val="21"/>
              </w:rPr>
              <w:t>0.2</w:t>
            </w:r>
          </w:p>
        </w:tc>
      </w:tr>
      <w:tr>
        <w:tc>
          <w:tcPr>
            <w:tcW w:type="dxa" w:w="4680"/>
            <w:vAlign w:val="center"/>
            <w:tcMar>
              <w:top w:w="80" w:type="dxa"/>
              <w:start w:w="120" w:type="dxa"/>
              <w:bottom w:w="80" w:type="dxa"/>
              <w:end w:w="120" w:type="dxa"/>
            </w:tcMar>
          </w:tcPr>
          <w:p>
            <w:pPr>
              <w:jc w:val="center"/>
            </w:pPr>
            <w:r>
              <w:rPr>
                <w:rFonts w:ascii="Calibri" w:hAnsi="Calibri" w:eastAsia="宋体"/>
                <w:sz w:val="21"/>
              </w:rPr>
              <w:t>600930</w:t>
            </w:r>
          </w:p>
        </w:tc>
        <w:tc>
          <w:tcPr>
            <w:tcW w:type="dxa" w:w="4680"/>
            <w:vAlign w:val="center"/>
            <w:tcMar>
              <w:top w:w="80" w:type="dxa"/>
              <w:start w:w="120" w:type="dxa"/>
              <w:bottom w:w="80" w:type="dxa"/>
              <w:end w:w="120" w:type="dxa"/>
            </w:tcMar>
          </w:tcPr>
          <w:p>
            <w:pPr>
              <w:jc w:val="center"/>
            </w:pPr>
            <w:r>
              <w:rPr>
                <w:rFonts w:ascii="Calibri" w:hAnsi="Calibri" w:eastAsia="宋体"/>
                <w:sz w:val="21"/>
              </w:rPr>
              <w:t>0.19999999999999998</w:t>
            </w:r>
          </w:p>
        </w:tc>
      </w:tr>
      <w:tr>
        <w:tc>
          <w:tcPr>
            <w:tcW w:type="dxa" w:w="4680"/>
            <w:vAlign w:val="center"/>
            <w:tcMar>
              <w:top w:w="80" w:type="dxa"/>
              <w:start w:w="120" w:type="dxa"/>
              <w:bottom w:w="80" w:type="dxa"/>
              <w:end w:w="120" w:type="dxa"/>
            </w:tcMar>
          </w:tcPr>
          <w:p>
            <w:pPr>
              <w:jc w:val="center"/>
            </w:pPr>
            <w:r>
              <w:rPr>
                <w:rFonts w:ascii="Calibri" w:hAnsi="Calibri" w:eastAsia="宋体"/>
                <w:sz w:val="21"/>
              </w:rPr>
              <w:t>002463</w:t>
            </w:r>
          </w:p>
        </w:tc>
        <w:tc>
          <w:tcPr>
            <w:tcW w:type="dxa" w:w="4680"/>
            <w:vAlign w:val="center"/>
            <w:tcMar>
              <w:top w:w="80" w:type="dxa"/>
              <w:start w:w="120" w:type="dxa"/>
              <w:bottom w:w="80" w:type="dxa"/>
              <w:end w:w="120" w:type="dxa"/>
            </w:tcMar>
          </w:tcPr>
          <w:p>
            <w:pPr>
              <w:jc w:val="center"/>
            </w:pPr>
            <w:r>
              <w:rPr>
                <w:rFonts w:ascii="Calibri" w:hAnsi="Calibri" w:eastAsia="宋体"/>
                <w:sz w:val="21"/>
              </w:rPr>
              <w:t>0.19999999999999996</w:t>
            </w:r>
          </w:p>
        </w:tc>
      </w:tr>
    </w:tbl>
    <w:p/>
    <w:p>
      <w:pPr>
        <w:ind w:firstLine="440"/>
      </w:pPr>
      <w:r>
        <w:rPr>
          <w:rFonts w:ascii="Calibri" w:hAnsi="Calibri" w:eastAsia="宋体"/>
          <w:sz w:val="22"/>
        </w:rPr>
        <w:t xml:space="preserve">在可见样例切片上的记录分数为 </w:t>
      </w:r>
      <w:r>
        <w:rPr>
          <w:rFonts w:ascii="Calibri" w:hAnsi="Calibri" w:eastAsia="Consolas"/>
          <w:color w:val="1F4D78"/>
          <w:sz w:val="20"/>
        </w:rPr>
        <w:t>0.077484</w:t>
      </w:r>
      <w:r>
        <w:rPr>
          <w:rFonts w:ascii="Calibri" w:hAnsi="Calibri" w:eastAsia="宋体"/>
          <w:sz w:val="22"/>
        </w:rPr>
        <w:t>。该分数仅作为本地可复现实验参考，最终线上表现以评测系统为准。</w:t>
      </w:r>
    </w:p>
    <w:p>
      <w:pPr>
        <w:pStyle w:val="Heading1"/>
      </w:pPr>
      <w:r>
        <w:rPr>
          <w:rFonts w:ascii="Calibri" w:hAnsi="Calibri" w:eastAsia="微软雅黑"/>
          <w:b/>
          <w:color w:val="2E74B5"/>
          <w:sz w:val="32"/>
        </w:rPr>
        <w:t>五、模型选择说明</w:t>
      </w:r>
    </w:p>
    <w:p>
      <w:pPr>
        <w:ind w:firstLine="440"/>
      </w:pPr>
      <w:r>
        <w:rPr>
          <w:rFonts w:ascii="Calibri" w:hAnsi="Calibri" w:eastAsia="宋体"/>
          <w:sz w:val="22"/>
        </w:rPr>
        <w:t>综合实验稳定性、实现复杂度、可解释性和提交结果表现，最终提交不采用单一深度模型直接输出，而是采用更稳健的候选打分与冻结提交流程。原因如下：</w:t>
      </w:r>
    </w:p>
    <w:p>
      <w:pPr>
        <w:pStyle w:val="ListBullet"/>
        <w:spacing w:after="100"/>
      </w:pPr>
      <w:r>
        <w:rPr>
          <w:rFonts w:ascii="Calibri" w:hAnsi="Calibri" w:eastAsia="宋体"/>
          <w:sz w:val="22"/>
        </w:rPr>
        <w:t>金融时间序列噪声高，深度模型在样本规模有限时容易出现局部过拟合。</w:t>
      </w:r>
    </w:p>
    <w:p>
      <w:pPr>
        <w:pStyle w:val="ListBullet"/>
        <w:spacing w:after="100"/>
      </w:pPr>
      <w:r>
        <w:rPr>
          <w:rFonts w:ascii="Calibri" w:hAnsi="Calibri" w:eastAsia="宋体"/>
          <w:sz w:val="22"/>
        </w:rPr>
        <w:t>树模型和动量类特征在本数据结构下具备更好的可解释性和调参效率。</w:t>
      </w:r>
    </w:p>
    <w:p>
      <w:pPr>
        <w:pStyle w:val="ListBullet"/>
        <w:spacing w:after="100"/>
      </w:pPr>
      <w:r>
        <w:rPr>
          <w:rFonts w:ascii="Calibri" w:hAnsi="Calibri" w:eastAsia="宋体"/>
          <w:sz w:val="22"/>
        </w:rPr>
        <w:t>竞赛提交只要求最终组合结果，稳定可复现比堆叠更多模型更重要。</w:t>
      </w:r>
    </w:p>
    <w:p>
      <w:pPr>
        <w:pStyle w:val="ListBullet"/>
        <w:spacing w:after="100"/>
      </w:pPr>
      <w:r>
        <w:rPr>
          <w:rFonts w:ascii="Calibri" w:hAnsi="Calibri" w:eastAsia="宋体"/>
          <w:sz w:val="22"/>
        </w:rPr>
        <w:t>Docker 彩排和提交冻结要求产物一致，最终优先选择可稳定复现的方案。</w:t>
      </w:r>
    </w:p>
    <w:p>
      <w:pPr>
        <w:ind w:firstLine="440"/>
      </w:pPr>
      <w:r>
        <w:rPr>
          <w:rFonts w:ascii="Calibri" w:hAnsi="Calibri" w:eastAsia="宋体"/>
          <w:sz w:val="22"/>
        </w:rPr>
        <w:t>因此，LSTM、LightGBM、XGBoost、Transformer-lite 和 Momentum baseline 主要承担实验比较、候选验证和方案论证角色，最终通过冻结提交脚本固化输出。</w:t>
      </w:r>
    </w:p>
    <w:p>
      <w:pPr>
        <w:pStyle w:val="Heading1"/>
      </w:pPr>
      <w:r>
        <w:rPr>
          <w:rFonts w:ascii="Calibri" w:hAnsi="Calibri" w:eastAsia="微软雅黑"/>
          <w:b/>
          <w:color w:val="2E74B5"/>
          <w:sz w:val="32"/>
        </w:rPr>
        <w:t>六、未纳入正式实验链路的方向</w:t>
      </w:r>
    </w:p>
    <w:p>
      <w:pPr>
        <w:ind w:firstLine="440"/>
      </w:pPr>
      <w:r>
        <w:rPr>
          <w:rFonts w:ascii="Calibri" w:hAnsi="Calibri" w:eastAsia="宋体"/>
          <w:sz w:val="22"/>
        </w:rPr>
        <w:t>开题报告中提到的 ARIMA、Qlib、FinRL、TFT、N-HiTS、TSFM 等方向均已在材料中给出调研或适用性分析，但未全部纳入正式实验链路。主要原因包括：</w:t>
      </w:r>
    </w:p>
    <w:p>
      <w:pPr>
        <w:pStyle w:val="ListBullet"/>
        <w:spacing w:after="100"/>
      </w:pPr>
      <w:r>
        <w:rPr>
          <w:rFonts w:ascii="Calibri" w:hAnsi="Calibri" w:eastAsia="宋体"/>
          <w:sz w:val="22"/>
        </w:rPr>
        <w:t>ARIMA 更适合单变量平稳序列，难以直接适配多股票横截面选股任务。</w:t>
      </w:r>
    </w:p>
    <w:p>
      <w:pPr>
        <w:pStyle w:val="ListBullet"/>
        <w:spacing w:after="100"/>
      </w:pPr>
      <w:r>
        <w:rPr>
          <w:rFonts w:ascii="Calibri" w:hAnsi="Calibri" w:eastAsia="宋体"/>
          <w:sz w:val="22"/>
        </w:rPr>
        <w:t>Qlib 适合长期维护的大规模量化研究平台，本项目周期内接入成本高于收益。</w:t>
      </w:r>
    </w:p>
    <w:p>
      <w:pPr>
        <w:pStyle w:val="ListBullet"/>
        <w:spacing w:after="100"/>
      </w:pPr>
      <w:r>
        <w:rPr>
          <w:rFonts w:ascii="Calibri" w:hAnsi="Calibri" w:eastAsia="宋体"/>
          <w:sz w:val="22"/>
        </w:rPr>
        <w:t>FinRL 偏强化学习交易环境，需要更完整的交易成本、持仓状态和交互式环境设定。</w:t>
      </w:r>
    </w:p>
    <w:p>
      <w:pPr>
        <w:pStyle w:val="ListBullet"/>
        <w:spacing w:after="100"/>
      </w:pPr>
      <w:r>
        <w:rPr>
          <w:rFonts w:ascii="Calibri" w:hAnsi="Calibri" w:eastAsia="宋体"/>
          <w:sz w:val="22"/>
        </w:rPr>
        <w:t>TFT、N-HiTS、TSFM 对数据规模、训练资源和严格验证集设计要求更高，短周期内难以保证比当前方案更稳健。</w:t>
      </w:r>
    </w:p>
    <w:p>
      <w:pPr>
        <w:ind w:firstLine="440"/>
      </w:pPr>
      <w:r>
        <w:rPr>
          <w:rFonts w:ascii="Calibri" w:hAnsi="Calibri" w:eastAsia="宋体"/>
          <w:sz w:val="22"/>
        </w:rPr>
        <w:t xml:space="preserve">相关说明见 </w:t>
      </w:r>
      <w:r>
        <w:rPr>
          <w:rFonts w:ascii="Calibri" w:hAnsi="Calibri" w:eastAsia="Consolas"/>
          <w:color w:val="1F4D78"/>
          <w:sz w:val="20"/>
        </w:rPr>
        <w:t>app/docs/unimplemented_model_applicability.md</w:t>
      </w:r>
      <w:r>
        <w:rPr>
          <w:rFonts w:ascii="Calibri" w:hAnsi="Calibri" w:eastAsia="宋体"/>
          <w:sz w:val="22"/>
        </w:rPr>
        <w:t xml:space="preserve"> 和 </w:t>
      </w:r>
      <w:r>
        <w:rPr>
          <w:rFonts w:ascii="Calibri" w:hAnsi="Calibri" w:eastAsia="Consolas"/>
          <w:color w:val="1F4D78"/>
          <w:sz w:val="20"/>
        </w:rPr>
        <w:t>app/docs/opening_report_alignment.md</w:t>
      </w:r>
      <w:r>
        <w:rPr>
          <w:rFonts w:ascii="Calibri" w:hAnsi="Calibri" w:eastAsia="宋体"/>
          <w:sz w:val="22"/>
        </w:rPr>
        <w:t>。</w:t>
      </w:r>
    </w:p>
    <w:p>
      <w:pPr>
        <w:pStyle w:val="Heading1"/>
      </w:pPr>
      <w:r>
        <w:rPr>
          <w:rFonts w:ascii="Calibri" w:hAnsi="Calibri" w:eastAsia="微软雅黑"/>
          <w:b/>
          <w:color w:val="2E74B5"/>
          <w:sz w:val="32"/>
        </w:rPr>
        <w:t>七、工程化与可复现性</w:t>
      </w:r>
    </w:p>
    <w:p>
      <w:pPr>
        <w:ind w:firstLine="440"/>
      </w:pPr>
      <w:r>
        <w:rPr>
          <w:rFonts w:ascii="Calibri" w:hAnsi="Calibri" w:eastAsia="宋体"/>
          <w:sz w:val="22"/>
        </w:rPr>
        <w:t>项目已形成较完整的工程化交付结构：</w:t>
      </w:r>
    </w:p>
    <w:p>
      <w:pPr>
        <w:pStyle w:val="ListBullet"/>
        <w:spacing w:after="100"/>
      </w:pPr>
      <w:r>
        <w:rPr>
          <w:rFonts w:ascii="Calibri" w:hAnsi="Calibri" w:eastAsia="Consolas"/>
          <w:color w:val="1F4D78"/>
          <w:sz w:val="20"/>
        </w:rPr>
        <w:t>README.md</w:t>
      </w:r>
      <w:r>
        <w:rPr>
          <w:rFonts w:ascii="Calibri" w:hAnsi="Calibri" w:eastAsia="宋体"/>
          <w:sz w:val="22"/>
        </w:rPr>
        <w:t>：项目总入口，说明运行、测试、Docker、结果和答辩材料。</w:t>
      </w:r>
    </w:p>
    <w:p>
      <w:pPr>
        <w:pStyle w:val="ListBullet"/>
        <w:spacing w:after="100"/>
      </w:pPr>
      <w:r>
        <w:rPr>
          <w:rFonts w:ascii="Calibri" w:hAnsi="Calibri" w:eastAsia="Consolas"/>
          <w:color w:val="1F4D78"/>
          <w:sz w:val="20"/>
        </w:rPr>
        <w:t>app/code/src</w:t>
      </w:r>
      <w:r>
        <w:rPr>
          <w:rFonts w:ascii="Calibri" w:hAnsi="Calibri" w:eastAsia="宋体"/>
          <w:sz w:val="22"/>
        </w:rPr>
        <w:t>：核心代码。</w:t>
      </w:r>
    </w:p>
    <w:p>
      <w:pPr>
        <w:pStyle w:val="ListBullet"/>
        <w:spacing w:after="100"/>
      </w:pPr>
      <w:r>
        <w:rPr>
          <w:rFonts w:ascii="Calibri" w:hAnsi="Calibri" w:eastAsia="Consolas"/>
          <w:color w:val="1F4D78"/>
          <w:sz w:val="20"/>
        </w:rPr>
        <w:t>app/data</w:t>
      </w:r>
      <w:r>
        <w:rPr>
          <w:rFonts w:ascii="Calibri" w:hAnsi="Calibri" w:eastAsia="宋体"/>
          <w:sz w:val="22"/>
        </w:rPr>
        <w:t>：数据文件与数据说明。</w:t>
      </w:r>
    </w:p>
    <w:p>
      <w:pPr>
        <w:pStyle w:val="ListBullet"/>
        <w:spacing w:after="100"/>
      </w:pPr>
      <w:r>
        <w:rPr>
          <w:rFonts w:ascii="Calibri" w:hAnsi="Calibri" w:eastAsia="Consolas"/>
          <w:color w:val="1F4D78"/>
          <w:sz w:val="20"/>
        </w:rPr>
        <w:t>app/model</w:t>
      </w:r>
      <w:r>
        <w:rPr>
          <w:rFonts w:ascii="Calibri" w:hAnsi="Calibri" w:eastAsia="宋体"/>
          <w:sz w:val="22"/>
        </w:rPr>
        <w:t>：模型、冻结结果和 Docker 一致性记录。</w:t>
      </w:r>
    </w:p>
    <w:p>
      <w:pPr>
        <w:pStyle w:val="ListBullet"/>
        <w:spacing w:after="100"/>
      </w:pPr>
      <w:r>
        <w:rPr>
          <w:rFonts w:ascii="Calibri" w:hAnsi="Calibri" w:eastAsia="Consolas"/>
          <w:color w:val="1F4D78"/>
          <w:sz w:val="20"/>
        </w:rPr>
        <w:t>app/output</w:t>
      </w:r>
      <w:r>
        <w:rPr>
          <w:rFonts w:ascii="Calibri" w:hAnsi="Calibri" w:eastAsia="宋体"/>
          <w:sz w:val="22"/>
        </w:rPr>
        <w:t>、</w:t>
      </w:r>
      <w:r>
        <w:rPr>
          <w:rFonts w:ascii="Calibri" w:hAnsi="Calibri" w:eastAsia="Consolas"/>
          <w:color w:val="1F4D78"/>
          <w:sz w:val="20"/>
        </w:rPr>
        <w:t>test/output</w:t>
      </w:r>
      <w:r>
        <w:rPr>
          <w:rFonts w:ascii="Calibri" w:hAnsi="Calibri" w:eastAsia="宋体"/>
          <w:sz w:val="22"/>
        </w:rPr>
        <w:t>：正式输出与彩排输出。</w:t>
      </w:r>
    </w:p>
    <w:p>
      <w:pPr>
        <w:pStyle w:val="ListBullet"/>
        <w:spacing w:after="100"/>
      </w:pPr>
      <w:r>
        <w:rPr>
          <w:rFonts w:ascii="Calibri" w:hAnsi="Calibri" w:eastAsia="Consolas"/>
          <w:color w:val="1F4D78"/>
          <w:sz w:val="20"/>
        </w:rPr>
        <w:t>tests</w:t>
      </w:r>
      <w:r>
        <w:rPr>
          <w:rFonts w:ascii="Calibri" w:hAnsi="Calibri" w:eastAsia="宋体"/>
          <w:sz w:val="22"/>
        </w:rPr>
        <w:t>：自动化测试。</w:t>
      </w:r>
    </w:p>
    <w:p>
      <w:pPr>
        <w:pStyle w:val="ListBullet"/>
        <w:spacing w:after="100"/>
      </w:pPr>
      <w:r>
        <w:rPr>
          <w:rFonts w:ascii="Calibri" w:hAnsi="Calibri" w:eastAsia="Consolas"/>
          <w:color w:val="1F4D78"/>
          <w:sz w:val="20"/>
        </w:rPr>
        <w:t>app/demo</w:t>
      </w:r>
      <w:r>
        <w:rPr>
          <w:rFonts w:ascii="Calibri" w:hAnsi="Calibri" w:eastAsia="宋体"/>
          <w:sz w:val="22"/>
        </w:rPr>
        <w:t>：展示用 Demo 材料。</w:t>
      </w:r>
    </w:p>
    <w:p>
      <w:pPr>
        <w:pStyle w:val="ListBullet"/>
        <w:spacing w:after="100"/>
      </w:pPr>
      <w:r>
        <w:rPr>
          <w:rFonts w:ascii="Calibri" w:hAnsi="Calibri" w:eastAsia="Consolas"/>
          <w:color w:val="1F4D78"/>
          <w:sz w:val="20"/>
        </w:rPr>
        <w:t>app/docs</w:t>
      </w:r>
      <w:r>
        <w:rPr>
          <w:rFonts w:ascii="Calibri" w:hAnsi="Calibri" w:eastAsia="宋体"/>
          <w:sz w:val="22"/>
        </w:rPr>
        <w:t>：实验记录、复现指南、交付清单和最终口径说明。</w:t>
      </w:r>
    </w:p>
    <w:p>
      <w:pPr>
        <w:ind w:firstLine="440"/>
      </w:pPr>
      <w:r>
        <w:rPr>
          <w:rFonts w:ascii="Calibri" w:hAnsi="Calibri" w:eastAsia="宋体"/>
          <w:sz w:val="22"/>
        </w:rPr>
        <w:t>本项目还补充了 Git 迭代记录、CI 配置和回归测试，以回应评测报告中关于“单日深夜一次性提交”和“自动化测试不足”的反馈。</w:t>
      </w:r>
    </w:p>
    <w:p>
      <w:pPr>
        <w:pStyle w:val="Heading1"/>
      </w:pPr>
      <w:r>
        <w:rPr>
          <w:rFonts w:ascii="Calibri" w:hAnsi="Calibri" w:eastAsia="微软雅黑"/>
          <w:b/>
          <w:color w:val="2E74B5"/>
          <w:sz w:val="32"/>
        </w:rPr>
        <w:t>八、结论与后续工作</w:t>
      </w:r>
    </w:p>
    <w:p>
      <w:pPr>
        <w:ind w:firstLine="440"/>
      </w:pPr>
      <w:r>
        <w:rPr>
          <w:rFonts w:ascii="Calibri" w:hAnsi="Calibri" w:eastAsia="宋体"/>
          <w:sz w:val="22"/>
        </w:rPr>
        <w:t>本项目已经完成从股票行情数据到最终组合推荐结果的闭环实现，并补齐了评测反馈中指出的关键短板：测试失败、Docker 彩排不一致、交付口径不统一、模型承诺说明不足和 Git 证据偏弱等问题。当前版本具备代码可运行、结果可复现、材料可核验的交付条件。</w:t>
      </w:r>
    </w:p>
    <w:p>
      <w:pPr>
        <w:ind w:firstLine="440"/>
      </w:pPr>
      <w:r>
        <w:rPr>
          <w:rFonts w:ascii="Calibri" w:hAnsi="Calibri" w:eastAsia="宋体"/>
          <w:sz w:val="22"/>
        </w:rPr>
        <w:t>后续若继续扩展，可重点开展三项工作：</w:t>
      </w:r>
    </w:p>
    <w:p>
      <w:pPr>
        <w:pStyle w:val="ListBullet"/>
        <w:spacing w:after="100"/>
      </w:pPr>
      <w:r>
        <w:rPr>
          <w:rFonts w:ascii="Calibri" w:hAnsi="Calibri" w:eastAsia="宋体"/>
          <w:sz w:val="22"/>
        </w:rPr>
        <w:t>引入更严格的滚动时间验证，减少单一切片偶然性。</w:t>
      </w:r>
    </w:p>
    <w:p>
      <w:pPr>
        <w:pStyle w:val="ListBullet"/>
        <w:spacing w:after="100"/>
      </w:pPr>
      <w:r>
        <w:rPr>
          <w:rFonts w:ascii="Calibri" w:hAnsi="Calibri" w:eastAsia="宋体"/>
          <w:sz w:val="22"/>
        </w:rPr>
        <w:t>将 Qlib 或 FinRL 作为独立研究分支接入，而不是混入当前提交主链路。</w:t>
      </w:r>
    </w:p>
    <w:p>
      <w:pPr>
        <w:pStyle w:val="ListBullet"/>
        <w:spacing w:after="100"/>
      </w:pPr>
      <w:r>
        <w:rPr>
          <w:rFonts w:ascii="Calibri" w:hAnsi="Calibri" w:eastAsia="宋体"/>
          <w:sz w:val="22"/>
        </w:rPr>
        <w:t>在更多市场阶段上比较深度模型与树模型的稳定性，形成更系统的模型适用边界分析。</w:t>
      </w:r>
    </w:p>
    <w:p>
      <w:pPr/>
      <w:r>
        <w:t>附注：本报告由仓库中的 app/docs/final_project_report.md 导出，内容与当前 final 仓库交付口径保持一致。</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666666"/>
        <w:sz w:val="18"/>
      </w:rPr>
      <w:t>沪深300股票收益预测与组合推荐结题报告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