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540BC0">
      <w:pPr>
        <w:keepNext w:val="0"/>
        <w:keepLines w:val="0"/>
        <w:pageBreakBefore w:val="0"/>
        <w:widowControl/>
        <w:suppressLineNumbers w:val="0"/>
        <w:kinsoku/>
        <w:wordWrap/>
        <w:overflowPunct/>
        <w:topLinePunct w:val="0"/>
        <w:autoSpaceDE/>
        <w:autoSpaceDN/>
        <w:bidi w:val="0"/>
        <w:adjustRightInd/>
        <w:snapToGrid/>
        <w:spacing w:before="157" w:beforeLines="50"/>
        <w:jc w:val="center"/>
        <w:textAlignment w:val="auto"/>
        <w:rPr>
          <w:rFonts w:hint="eastAsia" w:ascii="方正公文小标宋" w:hAnsi="方正公文小标宋" w:eastAsia="方正公文小标宋" w:cs="方正公文小标宋"/>
          <w:kern w:val="0"/>
          <w:sz w:val="36"/>
          <w:szCs w:val="36"/>
          <w:lang w:val="en-US" w:eastAsia="zh-CN" w:bidi="ar"/>
        </w:rPr>
      </w:pPr>
      <w:r>
        <w:rPr>
          <w:rFonts w:hint="eastAsia" w:ascii="方正公文小标宋" w:hAnsi="方正公文小标宋" w:eastAsia="方正公文小标宋" w:cs="方正公文小标宋"/>
          <w:kern w:val="0"/>
          <w:sz w:val="36"/>
          <w:szCs w:val="36"/>
          <w:lang w:val="en-US" w:eastAsia="zh-CN" w:bidi="ar"/>
        </w:rPr>
        <w:t>110实验室前沿技术分组研究与专题汇报</w:t>
      </w:r>
    </w:p>
    <w:p w14:paraId="679702F0">
      <w:pPr>
        <w:keepNext w:val="0"/>
        <w:keepLines w:val="0"/>
        <w:widowControl/>
        <w:suppressLineNumbers w:val="0"/>
        <w:jc w:val="center"/>
        <w:rPr>
          <w:rFonts w:hint="eastAsia" w:ascii="方正公文小标宋" w:hAnsi="方正公文小标宋" w:eastAsia="方正公文小标宋" w:cs="方正公文小标宋"/>
          <w:kern w:val="0"/>
          <w:sz w:val="36"/>
          <w:szCs w:val="36"/>
          <w:lang w:val="en-US" w:eastAsia="zh-CN" w:bidi="ar"/>
        </w:rPr>
      </w:pPr>
      <w:r>
        <w:rPr>
          <w:rFonts w:hint="eastAsia" w:ascii="方正公文小标宋" w:hAnsi="方正公文小标宋" w:eastAsia="方正公文小标宋" w:cs="方正公文小标宋"/>
          <w:kern w:val="0"/>
          <w:sz w:val="36"/>
          <w:szCs w:val="36"/>
          <w:lang w:val="en-US" w:eastAsia="zh-CN" w:bidi="ar"/>
        </w:rPr>
        <w:t>开题报告</w:t>
      </w:r>
    </w:p>
    <w:tbl>
      <w:tblPr>
        <w:tblStyle w:val="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6"/>
        <w:gridCol w:w="2765"/>
        <w:gridCol w:w="2767"/>
        <w:gridCol w:w="491"/>
        <w:gridCol w:w="2283"/>
      </w:tblGrid>
      <w:tr w14:paraId="038E8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9" w:hRule="atLeast"/>
        </w:trPr>
        <w:tc>
          <w:tcPr>
            <w:tcW w:w="831" w:type="pct"/>
            <w:tcBorders>
              <w:tl2br w:val="nil"/>
              <w:tr2bl w:val="nil"/>
            </w:tcBorders>
            <w:shd w:val="clear" w:color="auto" w:fill="FFFFFF"/>
            <w:vAlign w:val="center"/>
          </w:tcPr>
          <w:p w14:paraId="35AB9E09">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rFonts w:hint="eastAsia" w:ascii="黑体" w:hAnsi="黑体" w:eastAsia="黑体" w:cs="黑体"/>
                <w:b w:val="0"/>
                <w:bCs/>
                <w:color w:val="000000"/>
                <w:kern w:val="0"/>
                <w:sz w:val="24"/>
                <w:szCs w:val="24"/>
                <w:vertAlign w:val="baseline"/>
                <w:lang w:val="en-US" w:eastAsia="zh-CN" w:bidi="ar"/>
              </w:rPr>
            </w:pPr>
            <w:r>
              <w:rPr>
                <w:rFonts w:hint="eastAsia" w:ascii="黑体" w:hAnsi="黑体" w:eastAsia="黑体" w:cs="黑体"/>
                <w:b w:val="0"/>
                <w:bCs/>
                <w:color w:val="000000"/>
                <w:kern w:val="0"/>
                <w:sz w:val="24"/>
                <w:szCs w:val="24"/>
                <w:vertAlign w:val="baseline"/>
                <w:lang w:val="en-US" w:eastAsia="zh-CN" w:bidi="ar"/>
              </w:rPr>
              <w:t>研究题目</w:t>
            </w:r>
          </w:p>
        </w:tc>
        <w:tc>
          <w:tcPr>
            <w:tcW w:w="4168" w:type="pct"/>
            <w:gridSpan w:val="4"/>
            <w:tcBorders>
              <w:tl2br w:val="nil"/>
              <w:tr2bl w:val="nil"/>
            </w:tcBorders>
            <w:shd w:val="clear" w:color="auto" w:fill="FFFFFF"/>
            <w:vAlign w:val="center"/>
          </w:tcPr>
          <w:p w14:paraId="471183DD">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rFonts w:hint="eastAsia" w:ascii="黑体" w:hAnsi="黑体" w:eastAsia="黑体" w:cs="黑体"/>
                <w:b w:val="0"/>
                <w:color w:val="000000"/>
                <w:kern w:val="0"/>
                <w:sz w:val="24"/>
                <w:szCs w:val="24"/>
                <w:vertAlign w:val="baseline"/>
                <w:lang w:val="en-US" w:eastAsia="zh-CN" w:bidi="ar"/>
              </w:rPr>
            </w:pPr>
            <w:r>
              <w:rPr>
                <w:rFonts w:hint="eastAsia" w:ascii="宋体" w:hAnsi="宋体" w:eastAsia="宋体" w:cs="宋体"/>
                <w:b w:val="0"/>
                <w:color w:val="000000"/>
                <w:sz w:val="24"/>
                <w:szCs w:val="24"/>
              </w:rPr>
              <w:t>基于机器学习与组合回测的沪深300成分股收益预测及推荐研究</w:t>
            </w:r>
          </w:p>
        </w:tc>
      </w:tr>
      <w:tr w14:paraId="207B7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9" w:hRule="atLeast"/>
        </w:trPr>
        <w:tc>
          <w:tcPr>
            <w:tcW w:w="831" w:type="pct"/>
            <w:tcBorders>
              <w:tl2br w:val="nil"/>
              <w:tr2bl w:val="nil"/>
            </w:tcBorders>
            <w:shd w:val="clear" w:color="auto" w:fill="FFFFFF"/>
            <w:vAlign w:val="center"/>
          </w:tcPr>
          <w:p w14:paraId="690F1442">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rFonts w:hint="default" w:ascii="黑体" w:hAnsi="黑体" w:eastAsia="黑体" w:cs="黑体"/>
                <w:b w:val="0"/>
                <w:bCs/>
                <w:color w:val="000000"/>
                <w:kern w:val="0"/>
                <w:sz w:val="24"/>
                <w:szCs w:val="24"/>
                <w:vertAlign w:val="baseline"/>
                <w:lang w:val="en-US" w:eastAsia="zh-CN" w:bidi="ar"/>
              </w:rPr>
            </w:pPr>
            <w:r>
              <w:rPr>
                <w:rFonts w:hint="eastAsia" w:ascii="黑体" w:hAnsi="黑体" w:eastAsia="黑体" w:cs="黑体"/>
                <w:b w:val="0"/>
                <w:bCs/>
                <w:color w:val="000000"/>
                <w:kern w:val="0"/>
                <w:sz w:val="24"/>
                <w:szCs w:val="24"/>
                <w:vertAlign w:val="baseline"/>
                <w:lang w:val="en-US" w:eastAsia="zh-CN" w:bidi="ar"/>
              </w:rPr>
              <w:t>课题类型</w:t>
            </w:r>
          </w:p>
        </w:tc>
        <w:tc>
          <w:tcPr>
            <w:tcW w:w="4168" w:type="pct"/>
            <w:gridSpan w:val="4"/>
            <w:tcBorders>
              <w:tl2br w:val="nil"/>
              <w:tr2bl w:val="nil"/>
            </w:tcBorders>
            <w:shd w:val="clear" w:color="auto" w:fill="FFFFFF"/>
            <w:vAlign w:val="center"/>
          </w:tcPr>
          <w:p w14:paraId="7F9A446E">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rFonts w:hint="eastAsia" w:ascii="黑体" w:hAnsi="黑体" w:eastAsia="黑体" w:cs="黑体"/>
                <w:b w:val="0"/>
                <w:color w:val="000000"/>
                <w:kern w:val="0"/>
                <w:sz w:val="24"/>
                <w:szCs w:val="24"/>
                <w:vertAlign w:val="baseline"/>
                <w:lang w:val="en-US" w:eastAsia="zh-CN" w:bidi="ar"/>
              </w:rPr>
            </w:pPr>
            <w:r>
              <w:rPr>
                <w:rFonts w:ascii="宋体" w:hAnsi="宋体" w:eastAsia="宋体" w:cs="宋体"/>
                <w:b w:val="0"/>
                <w:color w:val="000000"/>
                <w:sz w:val="24"/>
                <w:szCs w:val="24"/>
              </w:rPr>
              <w:t>综合应用类</w:t>
            </w:r>
          </w:p>
        </w:tc>
      </w:tr>
      <w:tr w14:paraId="78A18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9" w:hRule="atLeast"/>
        </w:trPr>
        <w:tc>
          <w:tcPr>
            <w:tcW w:w="831" w:type="pct"/>
            <w:tcBorders>
              <w:tl2br w:val="nil"/>
              <w:tr2bl w:val="nil"/>
            </w:tcBorders>
            <w:shd w:val="clear" w:color="auto" w:fill="FFFFFF"/>
            <w:vAlign w:val="center"/>
          </w:tcPr>
          <w:p w14:paraId="4F9FAA97">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rFonts w:hint="eastAsia" w:ascii="黑体" w:hAnsi="黑体" w:eastAsia="黑体" w:cs="黑体"/>
                <w:b w:val="0"/>
                <w:bCs/>
                <w:color w:val="000000"/>
                <w:kern w:val="0"/>
                <w:sz w:val="24"/>
                <w:szCs w:val="24"/>
                <w:vertAlign w:val="baseline"/>
                <w:lang w:val="en-US" w:eastAsia="zh-CN" w:bidi="ar"/>
              </w:rPr>
            </w:pPr>
            <w:r>
              <w:rPr>
                <w:rFonts w:hint="eastAsia" w:ascii="黑体" w:hAnsi="黑体" w:eastAsia="黑体" w:cs="黑体"/>
                <w:b w:val="0"/>
                <w:bCs/>
                <w:color w:val="000000"/>
                <w:kern w:val="0"/>
                <w:sz w:val="24"/>
                <w:szCs w:val="24"/>
                <w:vertAlign w:val="baseline"/>
                <w:lang w:val="en-US" w:eastAsia="zh-CN" w:bidi="ar"/>
              </w:rPr>
              <w:t>应用场景与</w:t>
            </w:r>
          </w:p>
          <w:p w14:paraId="5586EED8">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rFonts w:hint="eastAsia" w:ascii="黑体" w:hAnsi="黑体" w:eastAsia="黑体" w:cs="黑体"/>
                <w:b w:val="0"/>
                <w:bCs/>
                <w:color w:val="000000"/>
                <w:kern w:val="0"/>
                <w:sz w:val="24"/>
                <w:szCs w:val="24"/>
                <w:vertAlign w:val="baseline"/>
                <w:lang w:val="en-US" w:eastAsia="zh-CN" w:bidi="ar"/>
              </w:rPr>
            </w:pPr>
            <w:r>
              <w:rPr>
                <w:rFonts w:hint="eastAsia" w:ascii="黑体" w:hAnsi="黑体" w:eastAsia="黑体" w:cs="黑体"/>
                <w:b w:val="0"/>
                <w:bCs/>
                <w:color w:val="000000"/>
                <w:kern w:val="0"/>
                <w:sz w:val="24"/>
                <w:szCs w:val="24"/>
                <w:vertAlign w:val="baseline"/>
                <w:lang w:val="en-US" w:eastAsia="zh-CN" w:bidi="ar"/>
              </w:rPr>
              <w:t>演示方式</w:t>
            </w:r>
          </w:p>
        </w:tc>
        <w:tc>
          <w:tcPr>
            <w:tcW w:w="2776" w:type="pct"/>
            <w:gridSpan w:val="2"/>
            <w:tcBorders>
              <w:tl2br w:val="nil"/>
              <w:tr2bl w:val="nil"/>
            </w:tcBorders>
            <w:shd w:val="clear" w:color="auto" w:fill="FFFFFF"/>
            <w:vAlign w:val="center"/>
          </w:tcPr>
          <w:p w14:paraId="1DEC867D">
            <w:pPr>
              <w:keepNext w:val="0"/>
              <w:keepLines w:val="0"/>
              <w:pageBreakBefore w:val="0"/>
              <w:widowControl w:val="0"/>
              <w:suppressLineNumbers w:val="0"/>
              <w:kinsoku/>
              <w:wordWrap/>
              <w:overflowPunct/>
              <w:topLinePunct w:val="0"/>
              <w:autoSpaceDE/>
              <w:autoSpaceDN/>
              <w:bidi w:val="0"/>
              <w:adjustRightInd/>
              <w:snapToGrid/>
              <w:spacing w:afterAutospacing="0"/>
              <w:jc w:val="left"/>
              <w:textAlignment w:val="auto"/>
              <w:rPr>
                <w:rFonts w:ascii="宋体" w:hAnsi="宋体" w:eastAsia="宋体" w:cs="宋体"/>
                <w:b w:val="0"/>
                <w:color w:val="000000"/>
                <w:sz w:val="24"/>
                <w:szCs w:val="24"/>
              </w:rPr>
            </w:pPr>
            <w:r>
              <w:rPr>
                <w:rFonts w:ascii="宋体" w:hAnsi="宋体" w:eastAsia="宋体" w:cs="宋体"/>
                <w:b w:val="0"/>
                <w:color w:val="000000"/>
                <w:sz w:val="24"/>
                <w:szCs w:val="24"/>
              </w:rPr>
              <w:t>金融量化辅助分析场景；基于沪深300历史行情数据预测未来一周收益，生成Top-K股票组合推荐，并通过 Notebook/Streamlit 展示模型对比、消融实验、交易成本回测及风险收益指标。</w:t>
            </w:r>
          </w:p>
        </w:tc>
        <w:tc>
          <w:tcPr>
            <w:tcW w:w="246" w:type="pct"/>
            <w:tcBorders>
              <w:tl2br w:val="nil"/>
              <w:tr2bl w:val="nil"/>
            </w:tcBorders>
            <w:shd w:val="clear" w:color="auto" w:fill="FFFFFF"/>
            <w:vAlign w:val="center"/>
          </w:tcPr>
          <w:p w14:paraId="323D527B">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rFonts w:hint="default" w:ascii="宋体" w:hAnsi="宋体" w:eastAsia="宋体" w:cs="宋体"/>
                <w:b w:val="0"/>
                <w:color w:val="000000"/>
                <w:sz w:val="24"/>
                <w:szCs w:val="24"/>
                <w:lang w:val="en-US" w:eastAsia="zh-CN"/>
              </w:rPr>
            </w:pPr>
            <w:r>
              <w:rPr>
                <w:rFonts w:hint="eastAsia" w:ascii="黑体" w:hAnsi="黑体" w:eastAsia="黑体" w:cs="黑体"/>
                <w:b w:val="0"/>
                <w:bCs/>
                <w:color w:val="000000"/>
                <w:kern w:val="0"/>
                <w:sz w:val="24"/>
                <w:szCs w:val="24"/>
                <w:vertAlign w:val="baseline"/>
                <w:lang w:val="en-US" w:eastAsia="zh-CN" w:bidi="ar"/>
              </w:rPr>
              <w:t>指导教师</w:t>
            </w:r>
          </w:p>
        </w:tc>
        <w:tc>
          <w:tcPr>
            <w:tcW w:w="1145" w:type="pct"/>
            <w:tcBorders>
              <w:tl2br w:val="nil"/>
              <w:tr2bl w:val="nil"/>
            </w:tcBorders>
            <w:shd w:val="clear" w:color="auto" w:fill="FFFFFF"/>
            <w:vAlign w:val="center"/>
          </w:tcPr>
          <w:p w14:paraId="017CF66E">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rFonts w:hint="default"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王琼</w:t>
            </w:r>
          </w:p>
        </w:tc>
      </w:tr>
      <w:tr w14:paraId="46ABB0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9" w:hRule="atLeast"/>
        </w:trPr>
        <w:tc>
          <w:tcPr>
            <w:tcW w:w="831" w:type="pct"/>
            <w:tcBorders>
              <w:tl2br w:val="nil"/>
              <w:tr2bl w:val="nil"/>
            </w:tcBorders>
            <w:shd w:val="clear" w:color="auto" w:fill="FFFFFF"/>
            <w:vAlign w:val="center"/>
          </w:tcPr>
          <w:p w14:paraId="566AFC24">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rFonts w:hint="default" w:ascii="黑体" w:hAnsi="黑体" w:eastAsia="黑体" w:cs="黑体"/>
                <w:b w:val="0"/>
                <w:bCs/>
                <w:color w:val="000000"/>
                <w:kern w:val="0"/>
                <w:sz w:val="24"/>
                <w:szCs w:val="24"/>
                <w:vertAlign w:val="baseline"/>
                <w:lang w:val="en-US" w:eastAsia="zh-CN" w:bidi="ar"/>
              </w:rPr>
            </w:pPr>
            <w:r>
              <w:rPr>
                <w:rFonts w:hint="eastAsia" w:ascii="黑体" w:hAnsi="黑体" w:eastAsia="黑体" w:cs="黑体"/>
                <w:b w:val="0"/>
                <w:bCs/>
                <w:color w:val="000000"/>
                <w:kern w:val="0"/>
                <w:sz w:val="24"/>
                <w:szCs w:val="24"/>
                <w:vertAlign w:val="baseline"/>
                <w:lang w:val="en-US" w:eastAsia="zh-CN" w:bidi="ar"/>
              </w:rPr>
              <w:t>小组成员</w:t>
            </w:r>
          </w:p>
        </w:tc>
        <w:tc>
          <w:tcPr>
            <w:tcW w:w="1387" w:type="pct"/>
            <w:tcBorders>
              <w:tl2br w:val="nil"/>
              <w:tr2bl w:val="nil"/>
            </w:tcBorders>
            <w:shd w:val="clear" w:color="auto" w:fill="FFFFFF"/>
            <w:vAlign w:val="center"/>
          </w:tcPr>
          <w:p w14:paraId="1CF07BE3">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rFonts w:hint="eastAsia" w:ascii="黑体" w:hAnsi="黑体" w:eastAsia="黑体" w:cs="黑体"/>
                <w:b w:val="0"/>
                <w:bCs/>
                <w:color w:val="000000"/>
                <w:kern w:val="0"/>
                <w:sz w:val="24"/>
                <w:szCs w:val="24"/>
                <w:vertAlign w:val="baseline"/>
                <w:lang w:val="en-US" w:eastAsia="zh-CN" w:bidi="ar"/>
              </w:rPr>
            </w:pPr>
            <w:r>
              <w:rPr>
                <w:rFonts w:hint="eastAsia" w:ascii="黑体" w:hAnsi="黑体" w:eastAsia="黑体" w:cs="黑体"/>
                <w:b w:val="0"/>
                <w:bCs/>
                <w:color w:val="000000"/>
                <w:kern w:val="0"/>
                <w:sz w:val="24"/>
                <w:szCs w:val="24"/>
                <w:vertAlign w:val="baseline"/>
                <w:lang w:val="en-US" w:eastAsia="zh-CN" w:bidi="ar"/>
              </w:rPr>
              <w:t>姓名</w:t>
            </w:r>
          </w:p>
        </w:tc>
        <w:tc>
          <w:tcPr>
            <w:tcW w:w="1388" w:type="pct"/>
            <w:tcBorders>
              <w:tl2br w:val="nil"/>
              <w:tr2bl w:val="nil"/>
            </w:tcBorders>
            <w:shd w:val="clear" w:color="auto" w:fill="FFFFFF"/>
            <w:vAlign w:val="center"/>
          </w:tcPr>
          <w:p w14:paraId="3994A553">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rFonts w:hint="default" w:ascii="黑体" w:hAnsi="黑体" w:eastAsia="黑体" w:cs="黑体"/>
                <w:b w:val="0"/>
                <w:bCs/>
                <w:color w:val="000000"/>
                <w:kern w:val="0"/>
                <w:sz w:val="24"/>
                <w:szCs w:val="24"/>
                <w:vertAlign w:val="baseline"/>
                <w:lang w:val="en-US" w:eastAsia="zh-CN" w:bidi="ar"/>
              </w:rPr>
            </w:pPr>
            <w:r>
              <w:rPr>
                <w:rFonts w:hint="eastAsia" w:ascii="黑体" w:hAnsi="黑体" w:eastAsia="黑体" w:cs="黑体"/>
                <w:b w:val="0"/>
                <w:bCs/>
                <w:color w:val="000000"/>
                <w:kern w:val="0"/>
                <w:sz w:val="24"/>
                <w:szCs w:val="24"/>
                <w:vertAlign w:val="baseline"/>
                <w:lang w:val="en-US" w:eastAsia="zh-CN" w:bidi="ar"/>
              </w:rPr>
              <w:t>学号</w:t>
            </w:r>
          </w:p>
        </w:tc>
        <w:tc>
          <w:tcPr>
            <w:tcW w:w="1392" w:type="pct"/>
            <w:gridSpan w:val="2"/>
            <w:tcBorders>
              <w:tl2br w:val="nil"/>
              <w:tr2bl w:val="nil"/>
            </w:tcBorders>
            <w:shd w:val="clear" w:color="auto" w:fill="FFFFFF"/>
            <w:vAlign w:val="center"/>
          </w:tcPr>
          <w:p w14:paraId="311355ED">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rFonts w:hint="eastAsia" w:ascii="黑体" w:hAnsi="黑体" w:eastAsia="黑体" w:cs="黑体"/>
                <w:b w:val="0"/>
                <w:bCs/>
                <w:color w:val="000000"/>
                <w:kern w:val="0"/>
                <w:sz w:val="24"/>
                <w:szCs w:val="24"/>
                <w:vertAlign w:val="baseline"/>
                <w:lang w:val="en-US" w:eastAsia="zh-CN" w:bidi="ar"/>
              </w:rPr>
            </w:pPr>
            <w:r>
              <w:rPr>
                <w:rFonts w:hint="eastAsia" w:ascii="黑体" w:hAnsi="黑体" w:eastAsia="黑体" w:cs="黑体"/>
                <w:b w:val="0"/>
                <w:bCs/>
                <w:color w:val="000000"/>
                <w:kern w:val="0"/>
                <w:sz w:val="24"/>
                <w:szCs w:val="24"/>
                <w:vertAlign w:val="baseline"/>
                <w:lang w:val="en-US" w:eastAsia="zh-CN" w:bidi="ar"/>
              </w:rPr>
              <w:t>专业</w:t>
            </w:r>
          </w:p>
        </w:tc>
      </w:tr>
      <w:tr w14:paraId="64556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9" w:hRule="atLeast"/>
        </w:trPr>
        <w:tc>
          <w:tcPr>
            <w:tcW w:w="831" w:type="pct"/>
            <w:tcBorders>
              <w:tl2br w:val="nil"/>
              <w:tr2bl w:val="nil"/>
            </w:tcBorders>
            <w:shd w:val="clear" w:color="auto" w:fill="FFFFFF"/>
            <w:vAlign w:val="center"/>
          </w:tcPr>
          <w:p w14:paraId="792E3600">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rFonts w:hint="default" w:ascii="黑体" w:hAnsi="黑体" w:eastAsia="黑体" w:cs="黑体"/>
                <w:b w:val="0"/>
                <w:bCs/>
                <w:color w:val="000000"/>
                <w:kern w:val="0"/>
                <w:sz w:val="24"/>
                <w:szCs w:val="24"/>
                <w:vertAlign w:val="baseline"/>
                <w:lang w:val="en-US" w:eastAsia="zh-CN" w:bidi="ar"/>
              </w:rPr>
            </w:pPr>
            <w:r>
              <w:rPr>
                <w:rFonts w:hint="eastAsia" w:ascii="黑体" w:hAnsi="黑体" w:eastAsia="黑体" w:cs="黑体"/>
                <w:b w:val="0"/>
                <w:bCs/>
                <w:color w:val="000000"/>
                <w:kern w:val="0"/>
                <w:sz w:val="24"/>
                <w:szCs w:val="24"/>
                <w:vertAlign w:val="baseline"/>
                <w:lang w:val="en-US" w:eastAsia="zh-CN" w:bidi="ar"/>
              </w:rPr>
              <w:t>1</w:t>
            </w:r>
          </w:p>
        </w:tc>
        <w:tc>
          <w:tcPr>
            <w:tcW w:w="1387" w:type="pct"/>
            <w:tcBorders>
              <w:tl2br w:val="nil"/>
              <w:tr2bl w:val="nil"/>
            </w:tcBorders>
            <w:shd w:val="clear" w:color="auto" w:fill="FFFFFF"/>
            <w:vAlign w:val="center"/>
          </w:tcPr>
          <w:p w14:paraId="0B81A490">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rFonts w:hint="default"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吴冰鑫</w:t>
            </w:r>
          </w:p>
        </w:tc>
        <w:tc>
          <w:tcPr>
            <w:tcW w:w="1388" w:type="pct"/>
            <w:tcBorders>
              <w:tl2br w:val="nil"/>
              <w:tr2bl w:val="nil"/>
            </w:tcBorders>
            <w:shd w:val="clear" w:color="auto" w:fill="FFFFFF"/>
            <w:vAlign w:val="center"/>
          </w:tcPr>
          <w:p w14:paraId="549858E7">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rFonts w:hint="default" w:ascii="黑体" w:hAnsi="黑体" w:eastAsia="黑体" w:cs="黑体"/>
                <w:b w:val="0"/>
                <w:color w:val="000000"/>
                <w:kern w:val="0"/>
                <w:sz w:val="24"/>
                <w:szCs w:val="24"/>
                <w:vertAlign w:val="baseline"/>
                <w:lang w:val="en-US" w:eastAsia="zh-CN" w:bidi="ar"/>
              </w:rPr>
            </w:pPr>
            <w:r>
              <w:rPr>
                <w:rFonts w:hint="eastAsia" w:ascii="黑体" w:hAnsi="黑体" w:eastAsia="黑体" w:cs="黑体"/>
                <w:b w:val="0"/>
                <w:color w:val="000000"/>
                <w:kern w:val="0"/>
                <w:sz w:val="24"/>
                <w:szCs w:val="24"/>
                <w:vertAlign w:val="baseline"/>
                <w:lang w:val="en-US" w:eastAsia="zh-CN" w:bidi="ar"/>
              </w:rPr>
              <w:t>2024213716</w:t>
            </w:r>
          </w:p>
        </w:tc>
        <w:tc>
          <w:tcPr>
            <w:tcW w:w="1392" w:type="pct"/>
            <w:gridSpan w:val="2"/>
            <w:tcBorders>
              <w:tl2br w:val="nil"/>
              <w:tr2bl w:val="nil"/>
            </w:tcBorders>
            <w:shd w:val="clear" w:color="auto" w:fill="FFFFFF"/>
            <w:vAlign w:val="center"/>
          </w:tcPr>
          <w:p w14:paraId="6106F834">
            <w:pPr>
              <w:keepNext w:val="0"/>
              <w:keepLines w:val="0"/>
              <w:pageBreakBefore w:val="0"/>
              <w:widowControl w:val="0"/>
              <w:suppressLineNumbers w:val="0"/>
              <w:kinsoku/>
              <w:wordWrap/>
              <w:overflowPunct/>
              <w:topLinePunct w:val="0"/>
              <w:autoSpaceDE/>
              <w:autoSpaceDN/>
              <w:bidi w:val="0"/>
              <w:adjustRightInd/>
              <w:snapToGrid/>
              <w:spacing w:afterAutospacing="0"/>
              <w:jc w:val="left"/>
              <w:textAlignment w:val="auto"/>
              <w:rPr>
                <w:rFonts w:hint="default"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智能科学与技术+数学与应用数学</w:t>
            </w:r>
          </w:p>
        </w:tc>
      </w:tr>
      <w:tr w14:paraId="5C3EE9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9" w:hRule="atLeast"/>
        </w:trPr>
        <w:tc>
          <w:tcPr>
            <w:tcW w:w="831" w:type="pct"/>
            <w:tcBorders>
              <w:tl2br w:val="nil"/>
              <w:tr2bl w:val="nil"/>
            </w:tcBorders>
            <w:shd w:val="clear" w:color="auto" w:fill="FFFFFF"/>
            <w:vAlign w:val="center"/>
          </w:tcPr>
          <w:p w14:paraId="2EC1DFB9">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rFonts w:hint="default" w:ascii="黑体" w:hAnsi="黑体" w:eastAsia="黑体" w:cs="黑体"/>
                <w:b w:val="0"/>
                <w:bCs/>
                <w:color w:val="000000"/>
                <w:kern w:val="0"/>
                <w:sz w:val="24"/>
                <w:szCs w:val="24"/>
                <w:vertAlign w:val="baseline"/>
                <w:lang w:val="en-US" w:eastAsia="zh-CN" w:bidi="ar"/>
              </w:rPr>
            </w:pPr>
            <w:r>
              <w:rPr>
                <w:rFonts w:hint="eastAsia" w:ascii="黑体" w:hAnsi="黑体" w:eastAsia="黑体" w:cs="黑体"/>
                <w:b w:val="0"/>
                <w:bCs/>
                <w:color w:val="000000"/>
                <w:kern w:val="0"/>
                <w:sz w:val="24"/>
                <w:szCs w:val="24"/>
                <w:vertAlign w:val="baseline"/>
                <w:lang w:val="en-US" w:eastAsia="zh-CN" w:bidi="ar"/>
              </w:rPr>
              <w:t>2</w:t>
            </w:r>
          </w:p>
        </w:tc>
        <w:tc>
          <w:tcPr>
            <w:tcW w:w="1387" w:type="pct"/>
            <w:tcBorders>
              <w:tl2br w:val="nil"/>
              <w:tr2bl w:val="nil"/>
            </w:tcBorders>
            <w:shd w:val="clear" w:color="auto" w:fill="FFFFFF"/>
            <w:vAlign w:val="center"/>
          </w:tcPr>
          <w:p w14:paraId="45FE23EF">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丁康恩</w:t>
            </w:r>
          </w:p>
        </w:tc>
        <w:tc>
          <w:tcPr>
            <w:tcW w:w="1388" w:type="pct"/>
            <w:tcBorders>
              <w:tl2br w:val="nil"/>
              <w:tr2bl w:val="nil"/>
            </w:tcBorders>
            <w:shd w:val="clear" w:color="auto" w:fill="FFFFFF"/>
            <w:vAlign w:val="center"/>
          </w:tcPr>
          <w:p w14:paraId="16111031">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rFonts w:hint="default" w:ascii="黑体" w:hAnsi="黑体" w:eastAsia="黑体" w:cs="黑体"/>
                <w:b w:val="0"/>
                <w:color w:val="000000"/>
                <w:kern w:val="0"/>
                <w:sz w:val="24"/>
                <w:szCs w:val="24"/>
                <w:vertAlign w:val="baseline"/>
                <w:lang w:val="en-US" w:eastAsia="zh-CN" w:bidi="ar"/>
              </w:rPr>
            </w:pPr>
            <w:r>
              <w:rPr>
                <w:rFonts w:hint="eastAsia" w:ascii="黑体" w:hAnsi="黑体" w:eastAsia="黑体" w:cs="黑体"/>
                <w:b w:val="0"/>
                <w:color w:val="000000"/>
                <w:kern w:val="0"/>
                <w:sz w:val="24"/>
                <w:szCs w:val="24"/>
                <w:vertAlign w:val="baseline"/>
                <w:lang w:val="en-US" w:eastAsia="zh-CN" w:bidi="ar"/>
              </w:rPr>
              <w:t>2024213724</w:t>
            </w:r>
          </w:p>
        </w:tc>
        <w:tc>
          <w:tcPr>
            <w:tcW w:w="1392" w:type="pct"/>
            <w:gridSpan w:val="2"/>
            <w:tcBorders>
              <w:tl2br w:val="nil"/>
              <w:tr2bl w:val="nil"/>
            </w:tcBorders>
            <w:shd w:val="clear" w:color="auto" w:fill="FFFFFF"/>
            <w:vAlign w:val="center"/>
          </w:tcPr>
          <w:p w14:paraId="2A50DB0A">
            <w:pPr>
              <w:keepNext w:val="0"/>
              <w:keepLines w:val="0"/>
              <w:pageBreakBefore w:val="0"/>
              <w:widowControl w:val="0"/>
              <w:suppressLineNumbers w:val="0"/>
              <w:kinsoku/>
              <w:wordWrap/>
              <w:overflowPunct/>
              <w:topLinePunct w:val="0"/>
              <w:autoSpaceDE/>
              <w:autoSpaceDN/>
              <w:bidi w:val="0"/>
              <w:adjustRightInd/>
              <w:snapToGrid/>
              <w:spacing w:afterAutospacing="0"/>
              <w:jc w:val="left"/>
              <w:textAlignment w:val="auto"/>
              <w:rPr>
                <w:rFonts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智能科学与技术+数学与应用数学</w:t>
            </w:r>
          </w:p>
        </w:tc>
      </w:tr>
      <w:tr w14:paraId="71947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9" w:hRule="atLeast"/>
        </w:trPr>
        <w:tc>
          <w:tcPr>
            <w:tcW w:w="831" w:type="pct"/>
            <w:tcBorders>
              <w:tl2br w:val="nil"/>
              <w:tr2bl w:val="nil"/>
            </w:tcBorders>
            <w:shd w:val="clear" w:color="auto" w:fill="FFFFFF"/>
            <w:vAlign w:val="center"/>
          </w:tcPr>
          <w:p w14:paraId="51379DDA">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rFonts w:hint="default" w:ascii="黑体" w:hAnsi="黑体" w:eastAsia="黑体" w:cs="黑体"/>
                <w:b w:val="0"/>
                <w:bCs/>
                <w:color w:val="000000"/>
                <w:kern w:val="0"/>
                <w:sz w:val="24"/>
                <w:szCs w:val="24"/>
                <w:vertAlign w:val="baseline"/>
                <w:lang w:val="en-US" w:eastAsia="zh-CN" w:bidi="ar"/>
              </w:rPr>
            </w:pPr>
            <w:r>
              <w:rPr>
                <w:rFonts w:hint="eastAsia" w:ascii="黑体" w:hAnsi="黑体" w:eastAsia="黑体" w:cs="黑体"/>
                <w:b w:val="0"/>
                <w:bCs/>
                <w:color w:val="000000"/>
                <w:kern w:val="0"/>
                <w:sz w:val="24"/>
                <w:szCs w:val="24"/>
                <w:vertAlign w:val="baseline"/>
                <w:lang w:val="en-US" w:eastAsia="zh-CN" w:bidi="ar"/>
              </w:rPr>
              <w:t>3</w:t>
            </w:r>
          </w:p>
        </w:tc>
        <w:tc>
          <w:tcPr>
            <w:tcW w:w="1387" w:type="pct"/>
            <w:tcBorders>
              <w:tl2br w:val="nil"/>
              <w:tr2bl w:val="nil"/>
            </w:tcBorders>
            <w:shd w:val="clear" w:color="auto" w:fill="FFFFFF"/>
            <w:vAlign w:val="center"/>
          </w:tcPr>
          <w:p w14:paraId="18F32AE7">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rFonts w:hint="default"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庄钟楠</w:t>
            </w:r>
          </w:p>
        </w:tc>
        <w:tc>
          <w:tcPr>
            <w:tcW w:w="1388" w:type="pct"/>
            <w:tcBorders>
              <w:tl2br w:val="nil"/>
              <w:tr2bl w:val="nil"/>
            </w:tcBorders>
            <w:shd w:val="clear" w:color="auto" w:fill="FFFFFF"/>
            <w:vAlign w:val="center"/>
          </w:tcPr>
          <w:p w14:paraId="076B26E0">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rFonts w:hint="default" w:ascii="黑体" w:hAnsi="黑体" w:eastAsia="黑体" w:cs="黑体"/>
                <w:b w:val="0"/>
                <w:color w:val="000000"/>
                <w:kern w:val="0"/>
                <w:sz w:val="24"/>
                <w:szCs w:val="24"/>
                <w:vertAlign w:val="baseline"/>
                <w:lang w:val="en-US" w:eastAsia="zh-CN" w:bidi="ar"/>
              </w:rPr>
            </w:pPr>
            <w:r>
              <w:rPr>
                <w:rFonts w:hint="eastAsia" w:ascii="黑体" w:hAnsi="黑体" w:eastAsia="黑体" w:cs="黑体"/>
                <w:b w:val="0"/>
                <w:color w:val="000000"/>
                <w:kern w:val="0"/>
                <w:sz w:val="24"/>
                <w:szCs w:val="24"/>
                <w:vertAlign w:val="baseline"/>
                <w:lang w:val="en-US" w:eastAsia="zh-CN" w:bidi="ar"/>
              </w:rPr>
              <w:t>2024213721</w:t>
            </w:r>
          </w:p>
        </w:tc>
        <w:tc>
          <w:tcPr>
            <w:tcW w:w="1392" w:type="pct"/>
            <w:gridSpan w:val="2"/>
            <w:tcBorders>
              <w:tl2br w:val="nil"/>
              <w:tr2bl w:val="nil"/>
            </w:tcBorders>
            <w:shd w:val="clear" w:color="auto" w:fill="FFFFFF"/>
            <w:vAlign w:val="center"/>
          </w:tcPr>
          <w:p w14:paraId="771BD805">
            <w:pPr>
              <w:keepNext w:val="0"/>
              <w:keepLines w:val="0"/>
              <w:pageBreakBefore w:val="0"/>
              <w:widowControl w:val="0"/>
              <w:suppressLineNumbers w:val="0"/>
              <w:kinsoku/>
              <w:wordWrap/>
              <w:overflowPunct/>
              <w:topLinePunct w:val="0"/>
              <w:autoSpaceDE/>
              <w:autoSpaceDN/>
              <w:bidi w:val="0"/>
              <w:adjustRightInd/>
              <w:snapToGrid/>
              <w:spacing w:afterAutospacing="0"/>
              <w:jc w:val="left"/>
              <w:textAlignment w:val="auto"/>
              <w:rPr>
                <w:rFonts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智能科学与技术+数学与应用数学</w:t>
            </w:r>
          </w:p>
        </w:tc>
      </w:tr>
      <w:tr w14:paraId="0CE2B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52" w:hRule="atLeast"/>
        </w:trPr>
        <w:tc>
          <w:tcPr>
            <w:tcW w:w="5000" w:type="pct"/>
            <w:gridSpan w:val="5"/>
            <w:tcBorders>
              <w:tl2br w:val="nil"/>
              <w:tr2bl w:val="nil"/>
            </w:tcBorders>
            <w:shd w:val="clear" w:color="auto" w:fill="FFFFFF"/>
          </w:tcPr>
          <w:p w14:paraId="2D5AD7BC">
            <w:pPr>
              <w:keepNext w:val="0"/>
              <w:keepLines w:val="0"/>
              <w:pageBreakBefore w:val="0"/>
              <w:widowControl w:val="0"/>
              <w:suppressLineNumbers w:val="0"/>
              <w:kinsoku/>
              <w:wordWrap/>
              <w:overflowPunct/>
              <w:topLinePunct w:val="0"/>
              <w:autoSpaceDE/>
              <w:autoSpaceDN/>
              <w:bidi w:val="0"/>
              <w:adjustRightInd/>
              <w:snapToGrid/>
              <w:spacing w:before="157" w:beforeLines="50" w:afterAutospacing="0"/>
              <w:jc w:val="left"/>
              <w:textAlignment w:val="auto"/>
              <w:rPr>
                <w:rFonts w:hint="eastAsia" w:ascii="黑体" w:hAnsi="黑体" w:eastAsia="黑体" w:cs="黑体"/>
                <w:b w:val="0"/>
                <w:color w:val="000000"/>
                <w:kern w:val="0"/>
                <w:sz w:val="24"/>
                <w:szCs w:val="24"/>
                <w:vertAlign w:val="baseline"/>
                <w:lang w:val="en-US" w:eastAsia="zh-CN" w:bidi="ar"/>
              </w:rPr>
            </w:pPr>
            <w:r>
              <w:rPr>
                <w:rFonts w:hint="eastAsia" w:ascii="黑体" w:hAnsi="黑体" w:eastAsia="黑体" w:cs="黑体"/>
                <w:b w:val="0"/>
                <w:color w:val="000000"/>
                <w:kern w:val="0"/>
                <w:sz w:val="24"/>
                <w:szCs w:val="24"/>
                <w:vertAlign w:val="baseline"/>
                <w:lang w:val="en-US" w:eastAsia="zh-CN" w:bidi="ar"/>
              </w:rPr>
              <w:t>课题研究目的和意义（含国内外研究相关工作综述）：</w:t>
            </w:r>
          </w:p>
          <w:p w14:paraId="01AF7CD6">
            <w:pPr>
              <w:pStyle w:val="5"/>
              <w:keepNext w:val="0"/>
              <w:keepLines w:val="0"/>
              <w:pageBreakBefore w:val="0"/>
              <w:widowControl w:val="0"/>
              <w:suppressLineNumbers w:val="0"/>
              <w:kinsoku/>
              <w:wordWrap/>
              <w:overflowPunct/>
              <w:topLinePunct w:val="0"/>
              <w:autoSpaceDE/>
              <w:autoSpaceDN/>
              <w:bidi w:val="0"/>
              <w:adjustRightInd/>
              <w:snapToGrid/>
              <w:spacing w:beforeAutospacing="0" w:afterAutospacing="0" w:line="252" w:lineRule="auto"/>
              <w:ind w:firstLine="480" w:firstLineChars="200"/>
              <w:textAlignment w:val="auto"/>
              <w:rPr>
                <w:b w:val="0"/>
                <w:color w:val="000000"/>
              </w:rPr>
            </w:pPr>
            <w:r>
              <w:rPr>
                <w:b w:val="0"/>
                <w:color w:val="000000"/>
              </w:rPr>
              <w:t>金融时间序列预测是机器学习、数据挖掘和金融量化分析中的典型问题，在资产配置、风险控制、组合管理和市场趋势分析等场景中具有重要应用价值。股票市场数据具有高噪声、非平稳、强波动、弱信号和受外部因素影响显著等特点，单纯依靠人工经验或简单统计规则难以稳定刻画股票收益变化规律。因此，如何从历史价格、成交量、波动率和技术指标等多维信息中提取有效特征，并对未来收益表现进行预测和排序，是一个具有现实意义和研究价值的问题。</w:t>
            </w:r>
          </w:p>
          <w:p w14:paraId="2B43866D">
            <w:pPr>
              <w:pStyle w:val="5"/>
              <w:keepNext w:val="0"/>
              <w:keepLines w:val="0"/>
              <w:pageBreakBefore w:val="0"/>
              <w:widowControl w:val="0"/>
              <w:suppressLineNumbers w:val="0"/>
              <w:kinsoku/>
              <w:wordWrap/>
              <w:overflowPunct/>
              <w:topLinePunct w:val="0"/>
              <w:autoSpaceDE/>
              <w:autoSpaceDN/>
              <w:bidi w:val="0"/>
              <w:adjustRightInd/>
              <w:snapToGrid/>
              <w:spacing w:beforeAutospacing="0" w:afterAutospacing="0" w:line="252" w:lineRule="auto"/>
              <w:ind w:firstLine="480" w:firstLineChars="200"/>
              <w:textAlignment w:val="auto"/>
              <w:rPr>
                <w:b w:val="0"/>
                <w:color w:val="000000"/>
              </w:rPr>
            </w:pPr>
            <w:r>
              <w:rPr>
                <w:b w:val="0"/>
                <w:color w:val="000000"/>
              </w:rPr>
              <w:t>近年来，国内外关于金融时间序列预测的研究大致可以分为几类：一是以ARIMA等为代表的传统统计模型，主要通过时间序列自身的趋势、周期和自相关结构进行建模，优点是解释性较强，但对复杂非线性关系刻画能力有限；二是以LightGBM、XGBoost等为代表的机器学习模型，能够结合人工构造的技术指标、波动率指标和动量因子进行预测，适合处理结构化特征；三是以LSTM、Transformer、TFT、N-HiTS等为代表的深度学习模型，能够捕捉时间依赖关系和复杂非线性模式；四是近年来兴起的时间序列基础模型或预训练时序模型，如TimeGPT、TimesFM、Chronos等，尝试将</w:t>
            </w:r>
            <w:r>
              <w:rPr>
                <w:rFonts w:hint="eastAsia"/>
                <w:b w:val="0"/>
                <w:color w:val="000000"/>
                <w:lang w:eastAsia="zh-CN"/>
              </w:rPr>
              <w:t>“</w:t>
            </w:r>
            <w:r>
              <w:rPr>
                <w:b w:val="0"/>
                <w:color w:val="000000"/>
              </w:rPr>
              <w:t>预训练—迁移泛化</w:t>
            </w:r>
            <w:r>
              <w:rPr>
                <w:rFonts w:hint="eastAsia"/>
                <w:b w:val="0"/>
                <w:color w:val="000000"/>
                <w:lang w:eastAsia="zh-CN"/>
              </w:rPr>
              <w:t>”</w:t>
            </w:r>
            <w:r>
              <w:rPr>
                <w:b w:val="0"/>
                <w:color w:val="000000"/>
              </w:rPr>
              <w:t>的思想引入时间序列预测任务。课题五官方说明也指出，该方向需要比较ARIMA、LightGBM、LSTM、N-HiTS、TFT等传统模型与时间序列基础模型在不同预测长度和不同任务场景下的表现差异。</w:t>
            </w:r>
            <w:r>
              <w:rPr>
                <w:rFonts w:hint="eastAsia"/>
                <w:b w:val="0"/>
                <w:color w:val="000000"/>
                <w:lang w:val="en-US" w:eastAsia="zh-CN"/>
              </w:rPr>
              <w:t>此外，</w:t>
            </w:r>
            <w:r>
              <w:rPr>
                <w:b w:val="0"/>
                <w:color w:val="000000"/>
                <w:lang w:val="en-US" w:eastAsia="zh-CN"/>
              </w:rPr>
              <w:t>Qlib</w:t>
            </w:r>
            <w:r>
              <w:rPr>
                <w:rFonts w:hint="eastAsia"/>
                <w:b w:val="0"/>
                <w:color w:val="000000"/>
                <w:lang w:val="en-US" w:eastAsia="zh-CN"/>
              </w:rPr>
              <w:t>、</w:t>
            </w:r>
            <w:r>
              <w:rPr>
                <w:rFonts w:hint="default"/>
                <w:b w:val="0"/>
                <w:color w:val="000000"/>
                <w:lang w:val="en-US" w:eastAsia="zh-CN"/>
              </w:rPr>
              <w:t xml:space="preserve">FinRL </w:t>
            </w:r>
            <w:r>
              <w:rPr>
                <w:rFonts w:hint="eastAsia"/>
                <w:b w:val="0"/>
                <w:color w:val="000000"/>
                <w:lang w:val="en-US" w:eastAsia="zh-CN"/>
              </w:rPr>
              <w:t xml:space="preserve">等开源量化研究框架为金融数据处理、模型训练、策略回测和实验复现提供了较为完整的工程流程，可作为本课题开展 </w:t>
            </w:r>
            <w:r>
              <w:rPr>
                <w:rFonts w:hint="default"/>
                <w:b w:val="0"/>
                <w:color w:val="000000"/>
                <w:lang w:val="en-US" w:eastAsia="zh-CN"/>
              </w:rPr>
              <w:t xml:space="preserve">baseline </w:t>
            </w:r>
            <w:r>
              <w:rPr>
                <w:rFonts w:hint="eastAsia"/>
                <w:b w:val="0"/>
                <w:color w:val="000000"/>
                <w:lang w:val="en-US" w:eastAsia="zh-CN"/>
              </w:rPr>
              <w:t>对照和回测流程设计的重要参考。</w:t>
            </w:r>
          </w:p>
          <w:p w14:paraId="77EA1B32">
            <w:pPr>
              <w:pStyle w:val="5"/>
              <w:keepNext w:val="0"/>
              <w:keepLines w:val="0"/>
              <w:pageBreakBefore w:val="0"/>
              <w:widowControl w:val="0"/>
              <w:suppressLineNumbers w:val="0"/>
              <w:kinsoku/>
              <w:wordWrap/>
              <w:overflowPunct/>
              <w:topLinePunct w:val="0"/>
              <w:autoSpaceDE/>
              <w:autoSpaceDN/>
              <w:bidi w:val="0"/>
              <w:adjustRightInd/>
              <w:snapToGrid/>
              <w:spacing w:beforeAutospacing="0" w:afterAutospacing="0" w:line="252" w:lineRule="auto"/>
              <w:ind w:firstLine="480" w:firstLineChars="200"/>
              <w:textAlignment w:val="auto"/>
              <w:rPr>
                <w:rFonts w:hint="eastAsia" w:ascii="黑体" w:hAnsi="黑体" w:eastAsia="黑体" w:cs="黑体"/>
                <w:b w:val="0"/>
                <w:color w:val="000000"/>
                <w:kern w:val="0"/>
                <w:sz w:val="24"/>
                <w:szCs w:val="24"/>
                <w:vertAlign w:val="baseline"/>
                <w:lang w:val="en-US" w:eastAsia="zh-CN" w:bidi="ar"/>
              </w:rPr>
            </w:pPr>
            <w:r>
              <w:rPr>
                <w:b w:val="0"/>
                <w:color w:val="000000"/>
              </w:rPr>
              <w:t>本课题的研究意义在于：一方面，通过构建完整的数据预处理、特征工程、模型训练、收益预测、股票排序和组合回测流程，提升小组成员对金融数据分析和机器学习建模流程的理解；另一方面，通过多模型对比和组合推荐实验，分析不同方法在金融收益预测中的适用边界，尤其关注模型是否真正提升Top-K股票选择效果，而不仅仅停留在单只股票点预测误差上。该课题能够为后续从事数据分析、量化研究、风控建模、金融科技和机器学习应用开发等方向积累项目经验。</w:t>
            </w:r>
          </w:p>
        </w:tc>
      </w:tr>
      <w:tr w14:paraId="13C5E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833" w:hRule="atLeast"/>
        </w:trPr>
        <w:tc>
          <w:tcPr>
            <w:tcW w:w="5000" w:type="pct"/>
            <w:gridSpan w:val="5"/>
            <w:tcBorders>
              <w:tl2br w:val="nil"/>
              <w:tr2bl w:val="nil"/>
            </w:tcBorders>
            <w:shd w:val="clear" w:color="auto" w:fill="FFFFFF"/>
          </w:tcPr>
          <w:p w14:paraId="598CA055">
            <w:pPr>
              <w:keepNext w:val="0"/>
              <w:keepLines w:val="0"/>
              <w:pageBreakBefore w:val="0"/>
              <w:widowControl w:val="0"/>
              <w:suppressLineNumbers w:val="0"/>
              <w:kinsoku/>
              <w:wordWrap/>
              <w:overflowPunct/>
              <w:topLinePunct w:val="0"/>
              <w:autoSpaceDE/>
              <w:autoSpaceDN/>
              <w:bidi w:val="0"/>
              <w:adjustRightInd/>
              <w:snapToGrid/>
              <w:spacing w:before="157" w:beforeLines="50" w:afterAutospacing="0"/>
              <w:jc w:val="left"/>
              <w:textAlignment w:val="auto"/>
              <w:rPr>
                <w:rFonts w:hint="eastAsia" w:ascii="黑体" w:hAnsi="黑体" w:eastAsia="黑体" w:cs="黑体"/>
                <w:b w:val="0"/>
                <w:color w:val="000000"/>
                <w:kern w:val="0"/>
                <w:sz w:val="24"/>
                <w:szCs w:val="24"/>
                <w:vertAlign w:val="baseline"/>
                <w:lang w:val="en-US" w:eastAsia="zh-CN" w:bidi="ar"/>
              </w:rPr>
            </w:pPr>
            <w:r>
              <w:rPr>
                <w:rFonts w:hint="eastAsia" w:ascii="黑体" w:hAnsi="黑体" w:eastAsia="黑体" w:cs="黑体"/>
                <w:b w:val="0"/>
                <w:color w:val="000000"/>
                <w:kern w:val="0"/>
                <w:sz w:val="24"/>
                <w:szCs w:val="24"/>
                <w:vertAlign w:val="baseline"/>
                <w:lang w:val="en-US" w:eastAsia="zh-CN" w:bidi="ar"/>
              </w:rPr>
              <w:t>研究目标：</w:t>
            </w:r>
          </w:p>
          <w:p w14:paraId="6CFFEB46">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312" w:lineRule="auto"/>
              <w:ind w:firstLine="480" w:firstLineChars="200"/>
              <w:jc w:val="left"/>
              <w:textAlignment w:val="auto"/>
              <w:rPr>
                <w:rFonts w:asciiTheme="minorHAnsi" w:hAnsiTheme="minorHAnsi" w:eastAsiaTheme="minorEastAsia" w:cstheme="minorBidi"/>
                <w:b w:val="0"/>
                <w:color w:val="000000"/>
                <w:kern w:val="0"/>
                <w:sz w:val="24"/>
                <w:szCs w:val="24"/>
                <w:lang w:val="en-US" w:eastAsia="zh-CN" w:bidi="ar"/>
              </w:rPr>
            </w:pPr>
            <w:r>
              <w:rPr>
                <w:rFonts w:asciiTheme="minorHAnsi" w:hAnsiTheme="minorHAnsi" w:eastAsiaTheme="minorEastAsia" w:cstheme="minorBidi"/>
                <w:b w:val="0"/>
                <w:color w:val="000000"/>
                <w:kern w:val="0"/>
                <w:sz w:val="24"/>
                <w:szCs w:val="24"/>
                <w:lang w:val="en-US" w:eastAsia="zh-CN" w:bidi="ar"/>
              </w:rPr>
              <w:t>本课题面向沪深300成分股历史行情数据，构建金融时间序列收益预测与组合推荐实验流程，重点研究不同模型、不同特征工程方法、不同排序策略和不同组合权重方式对 Top-K 股票选择效果与组合回测表现的影响。具体目标如下：</w:t>
            </w:r>
          </w:p>
          <w:p w14:paraId="1B9FB70C">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12" w:lineRule="auto"/>
              <w:ind w:left="0" w:leftChars="0" w:right="0" w:rightChars="0" w:firstLine="480" w:firstLineChars="200"/>
              <w:textAlignment w:val="auto"/>
              <w:rPr>
                <w:rFonts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1．</w:t>
            </w:r>
            <w:r>
              <w:rPr>
                <w:rFonts w:asciiTheme="minorHAnsi" w:hAnsiTheme="minorHAnsi" w:eastAsiaTheme="minorEastAsia" w:cstheme="minorBidi"/>
                <w:b w:val="0"/>
                <w:color w:val="000000"/>
                <w:kern w:val="0"/>
                <w:sz w:val="24"/>
                <w:szCs w:val="24"/>
                <w:lang w:val="en-US" w:eastAsia="zh-CN" w:bidi="ar"/>
              </w:rPr>
              <w:t>构建规范的金融时间序列数据处理流程，完成历史行情数据的缺失值处理、复权处理、收益率计算、特征构造和时间顺序切分，并严格防止时间序列数据泄漏，保证训练集、验证集和测试集按照时间先后顺序划分。</w:t>
            </w:r>
          </w:p>
          <w:p w14:paraId="3D25FFDB">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12" w:lineRule="auto"/>
              <w:ind w:left="0" w:leftChars="0" w:right="0" w:rightChars="0" w:firstLine="480" w:firstLineChars="200"/>
              <w:textAlignment w:val="auto"/>
              <w:rPr>
                <w:rFonts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2．</w:t>
            </w:r>
            <w:r>
              <w:rPr>
                <w:rFonts w:asciiTheme="minorHAnsi" w:hAnsiTheme="minorHAnsi" w:eastAsiaTheme="minorEastAsia" w:cstheme="minorBidi"/>
                <w:b w:val="0"/>
                <w:color w:val="000000"/>
                <w:kern w:val="0"/>
                <w:sz w:val="24"/>
                <w:szCs w:val="24"/>
                <w:lang w:val="en-US" w:eastAsia="zh-CN" w:bidi="ar"/>
              </w:rPr>
              <w:t>构建多维金融特征体系，包括收益率、移动平均线、成交量变化率、波动率、动量因子、换手率等特征，并通过消融实验分析基础特征、技术指标特征和风险特征对预测效果与排序推荐效果的贡献。</w:t>
            </w:r>
          </w:p>
          <w:p w14:paraId="1967813C">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12" w:lineRule="auto"/>
              <w:ind w:left="0" w:leftChars="0" w:right="0" w:rightChars="0" w:firstLine="480" w:firstLineChars="200"/>
              <w:textAlignment w:val="auto"/>
              <w:rPr>
                <w:rFonts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3．</w:t>
            </w:r>
            <w:r>
              <w:rPr>
                <w:rFonts w:asciiTheme="minorHAnsi" w:hAnsiTheme="minorHAnsi" w:eastAsiaTheme="minorEastAsia" w:cstheme="minorBidi"/>
                <w:b w:val="0"/>
                <w:color w:val="000000"/>
                <w:kern w:val="0"/>
                <w:sz w:val="24"/>
                <w:szCs w:val="24"/>
                <w:lang w:val="en-US" w:eastAsia="zh-CN" w:bidi="ar"/>
              </w:rPr>
              <w:t>建立多模型对比实验框架，选取 ARIMA、LightGBM、XGBoost、LSTM 或 Transformer 等模型进行对比，并尝试引入 Qlib 或 FinRL 等主流开源量化框架作为流程参考或小规模 baseline，以增强实验结果的可比性和工程参考价值。</w:t>
            </w:r>
          </w:p>
          <w:p w14:paraId="4B6C7D43">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12" w:lineRule="auto"/>
              <w:ind w:left="0" w:leftChars="0" w:right="0" w:rightChars="0" w:firstLine="480" w:firstLineChars="200"/>
              <w:textAlignment w:val="auto"/>
              <w:rPr>
                <w:rFonts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4．</w:t>
            </w:r>
            <w:r>
              <w:rPr>
                <w:rFonts w:asciiTheme="minorHAnsi" w:hAnsiTheme="minorHAnsi" w:eastAsiaTheme="minorEastAsia" w:cstheme="minorBidi"/>
                <w:b w:val="0"/>
                <w:color w:val="000000"/>
                <w:kern w:val="0"/>
                <w:sz w:val="24"/>
                <w:szCs w:val="24"/>
                <w:lang w:val="en-US" w:eastAsia="zh-CN" w:bidi="ar"/>
              </w:rPr>
              <w:t>将预测任务从单纯的点预测扩展为 Top-K 股票排序推荐任务，重点评价模型对未来一周收益表现较优股票的识别能力，而不仅仅关注 MAE、RMSE 等点预测误差。</w:t>
            </w:r>
          </w:p>
          <w:p w14:paraId="5D94AF72">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12" w:lineRule="auto"/>
              <w:ind w:left="0" w:leftChars="0" w:right="0" w:rightChars="0" w:firstLine="480" w:firstLineChars="200"/>
              <w:textAlignment w:val="auto"/>
              <w:rPr>
                <w:rFonts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5．</w:t>
            </w:r>
            <w:r>
              <w:rPr>
                <w:rFonts w:asciiTheme="minorHAnsi" w:hAnsiTheme="minorHAnsi" w:eastAsiaTheme="minorEastAsia" w:cstheme="minorBidi"/>
                <w:b w:val="0"/>
                <w:color w:val="000000"/>
                <w:kern w:val="0"/>
                <w:sz w:val="24"/>
                <w:szCs w:val="24"/>
                <w:lang w:val="en-US" w:eastAsia="zh-CN" w:bidi="ar"/>
              </w:rPr>
              <w:t>设计组合构建与回测评价方法，比较等权组合、预测收益加权组合、风险约束组合等策略，并在回测中纳入交易成本、调仓频率和换手率分析，避免只展示理想条件下的组合收益。</w:t>
            </w:r>
          </w:p>
          <w:p w14:paraId="2792A1CF">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312" w:lineRule="auto"/>
              <w:ind w:left="0" w:leftChars="0" w:right="0" w:rightChars="0" w:firstLine="480" w:firstLineChars="200"/>
              <w:textAlignment w:val="auto"/>
              <w:rPr>
                <w:rFonts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6．</w:t>
            </w:r>
            <w:r>
              <w:rPr>
                <w:rFonts w:asciiTheme="minorHAnsi" w:hAnsiTheme="minorHAnsi" w:eastAsiaTheme="minorEastAsia" w:cstheme="minorBidi"/>
                <w:b w:val="0"/>
                <w:color w:val="000000"/>
                <w:kern w:val="0"/>
                <w:sz w:val="24"/>
                <w:szCs w:val="24"/>
                <w:lang w:val="en-US" w:eastAsia="zh-CN" w:bidi="ar"/>
              </w:rPr>
              <w:t>通过预测误差、排序推荐效果和组合风险收益表现三类指标综合评价模型效果，形成</w:t>
            </w:r>
            <w:r>
              <w:rPr>
                <w:rFonts w:hint="eastAsia" w:cstheme="minorBidi"/>
                <w:b w:val="0"/>
                <w:color w:val="000000"/>
                <w:kern w:val="0"/>
                <w:sz w:val="24"/>
                <w:szCs w:val="24"/>
                <w:lang w:val="en-US" w:eastAsia="zh-CN" w:bidi="ar"/>
              </w:rPr>
              <w:t>“</w:t>
            </w:r>
            <w:r>
              <w:rPr>
                <w:rFonts w:asciiTheme="minorHAnsi" w:hAnsiTheme="minorHAnsi" w:eastAsiaTheme="minorEastAsia" w:cstheme="minorBidi"/>
                <w:b w:val="0"/>
                <w:color w:val="000000"/>
                <w:kern w:val="0"/>
                <w:sz w:val="24"/>
                <w:szCs w:val="24"/>
                <w:lang w:val="en-US" w:eastAsia="zh-CN" w:bidi="ar"/>
              </w:rPr>
              <w:t>数据处理—特征工程—模型预测—排序推荐—组合回测—消融分析</w:t>
            </w:r>
            <w:r>
              <w:rPr>
                <w:rFonts w:hint="eastAsia" w:cstheme="minorBidi"/>
                <w:b w:val="0"/>
                <w:color w:val="000000"/>
                <w:kern w:val="0"/>
                <w:sz w:val="24"/>
                <w:szCs w:val="24"/>
                <w:lang w:val="en-US" w:eastAsia="zh-CN" w:bidi="ar"/>
              </w:rPr>
              <w:t>”</w:t>
            </w:r>
            <w:r>
              <w:rPr>
                <w:rFonts w:asciiTheme="minorHAnsi" w:hAnsiTheme="minorHAnsi" w:eastAsiaTheme="minorEastAsia" w:cstheme="minorBidi"/>
                <w:b w:val="0"/>
                <w:color w:val="000000"/>
                <w:kern w:val="0"/>
                <w:sz w:val="24"/>
                <w:szCs w:val="24"/>
                <w:lang w:val="en-US" w:eastAsia="zh-CN" w:bidi="ar"/>
              </w:rPr>
              <w:t>的完整研究闭环。</w:t>
            </w:r>
          </w:p>
          <w:p w14:paraId="44B7251E">
            <w:pPr>
              <w:keepNext w:val="0"/>
              <w:keepLines w:val="0"/>
              <w:pageBreakBefore w:val="0"/>
              <w:widowControl w:val="0"/>
              <w:numPr>
                <w:ilvl w:val="0"/>
                <w:numId w:val="0"/>
              </w:numPr>
              <w:suppressLineNumbers w:val="0"/>
              <w:kinsoku/>
              <w:wordWrap/>
              <w:overflowPunct/>
              <w:topLinePunct w:val="0"/>
              <w:autoSpaceDE/>
              <w:autoSpaceDN/>
              <w:bidi w:val="0"/>
              <w:adjustRightInd/>
              <w:snapToGrid/>
              <w:spacing w:afterAutospacing="0" w:line="288" w:lineRule="auto"/>
              <w:ind w:leftChars="0"/>
              <w:textAlignment w:val="auto"/>
              <w:rPr>
                <w:rFonts w:hint="eastAsia" w:ascii="黑体" w:hAnsi="黑体" w:eastAsia="黑体" w:cs="黑体"/>
                <w:b w:val="0"/>
                <w:color w:val="000000"/>
                <w:kern w:val="0"/>
                <w:sz w:val="24"/>
                <w:szCs w:val="24"/>
                <w:vertAlign w:val="baseline"/>
                <w:lang w:val="en-US" w:eastAsia="zh-CN" w:bidi="ar"/>
              </w:rPr>
            </w:pPr>
          </w:p>
        </w:tc>
      </w:tr>
      <w:tr w14:paraId="148DE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833" w:hRule="atLeast"/>
        </w:trPr>
        <w:tc>
          <w:tcPr>
            <w:tcW w:w="5000" w:type="pct"/>
            <w:gridSpan w:val="5"/>
            <w:tcBorders>
              <w:tl2br w:val="nil"/>
              <w:tr2bl w:val="nil"/>
            </w:tcBorders>
            <w:shd w:val="clear" w:color="auto" w:fill="FFFFFF"/>
          </w:tcPr>
          <w:p w14:paraId="7BA08975">
            <w:pPr>
              <w:keepNext w:val="0"/>
              <w:keepLines w:val="0"/>
              <w:pageBreakBefore w:val="0"/>
              <w:widowControl w:val="0"/>
              <w:suppressLineNumbers w:val="0"/>
              <w:kinsoku/>
              <w:wordWrap/>
              <w:overflowPunct/>
              <w:topLinePunct w:val="0"/>
              <w:autoSpaceDE/>
              <w:autoSpaceDN/>
              <w:bidi w:val="0"/>
              <w:adjustRightInd/>
              <w:snapToGrid/>
              <w:spacing w:before="157" w:beforeLines="50" w:afterAutospacing="0"/>
              <w:jc w:val="left"/>
              <w:textAlignment w:val="auto"/>
              <w:rPr>
                <w:rFonts w:hint="eastAsia" w:ascii="黑体" w:hAnsi="黑体" w:eastAsia="黑体" w:cs="黑体"/>
                <w:b w:val="0"/>
                <w:color w:val="000000"/>
                <w:kern w:val="0"/>
                <w:sz w:val="24"/>
                <w:szCs w:val="24"/>
                <w:vertAlign w:val="baseline"/>
                <w:lang w:val="en-US" w:eastAsia="zh-CN" w:bidi="ar"/>
              </w:rPr>
            </w:pPr>
            <w:r>
              <w:rPr>
                <w:rFonts w:hint="eastAsia" w:ascii="黑体" w:hAnsi="黑体" w:eastAsia="黑体" w:cs="黑体"/>
                <w:b w:val="0"/>
                <w:color w:val="000000"/>
                <w:kern w:val="0"/>
                <w:sz w:val="24"/>
                <w:szCs w:val="24"/>
                <w:vertAlign w:val="baseline"/>
                <w:lang w:val="en-US" w:eastAsia="zh-CN" w:bidi="ar"/>
              </w:rPr>
              <w:t>研究内容、技术路线与评价指标：</w:t>
            </w:r>
          </w:p>
          <w:p w14:paraId="70666451">
            <w:pPr>
              <w:keepNext w:val="0"/>
              <w:keepLines w:val="0"/>
              <w:pageBreakBefore w:val="0"/>
              <w:widowControl w:val="0"/>
              <w:numPr>
                <w:ilvl w:val="0"/>
                <w:numId w:val="0"/>
              </w:numPr>
              <w:suppressLineNumbers w:val="0"/>
              <w:kinsoku/>
              <w:wordWrap/>
              <w:overflowPunct/>
              <w:topLinePunct w:val="0"/>
              <w:autoSpaceDE/>
              <w:autoSpaceDN/>
              <w:bidi w:val="0"/>
              <w:adjustRightInd/>
              <w:snapToGrid/>
              <w:spacing w:afterAutospacing="0"/>
              <w:jc w:val="left"/>
              <w:textAlignment w:val="auto"/>
              <w:rPr>
                <w:rFonts w:ascii="宋体" w:hAnsi="宋体" w:eastAsia="宋体" w:cs="宋体"/>
                <w:b w:val="0"/>
                <w:bCs/>
                <w:color w:val="000000"/>
                <w:sz w:val="24"/>
                <w:szCs w:val="24"/>
              </w:rPr>
            </w:pPr>
            <w:r>
              <w:rPr>
                <w:rFonts w:ascii="宋体" w:hAnsi="宋体" w:eastAsia="宋体" w:cs="宋体"/>
                <w:b w:val="0"/>
                <w:bCs/>
                <w:color w:val="000000"/>
                <w:kern w:val="2"/>
                <w:sz w:val="24"/>
                <w:szCs w:val="24"/>
                <w:lang w:val="en-US" w:eastAsia="zh-CN" w:bidi="ar-SA"/>
              </w:rPr>
              <w:t>a.</w:t>
            </w:r>
            <w:r>
              <w:rPr>
                <w:rFonts w:ascii="宋体" w:hAnsi="宋体" w:eastAsia="宋体" w:cs="宋体"/>
                <w:b w:val="0"/>
                <w:bCs/>
                <w:color w:val="000000"/>
                <w:sz w:val="24"/>
                <w:szCs w:val="24"/>
              </w:rPr>
              <w:t>主要研究内容</w:t>
            </w:r>
          </w:p>
          <w:p w14:paraId="2CF6408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480" w:firstLineChars="200"/>
              <w:textAlignment w:val="auto"/>
              <w:rPr>
                <w:b w:val="0"/>
                <w:color w:val="000000"/>
              </w:rPr>
            </w:pPr>
            <w:r>
              <w:rPr>
                <w:b w:val="0"/>
                <w:color w:val="000000"/>
              </w:rPr>
              <w:t>本课题主要围绕沪深300成分股历史行情数据开展金融时间序列收益预测与组合推荐研究，研究内容包括以下几个方面：</w:t>
            </w:r>
          </w:p>
          <w:p w14:paraId="2893586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480" w:firstLineChars="200"/>
              <w:textAlignment w:val="auto"/>
              <w:rPr>
                <w:b w:val="0"/>
                <w:color w:val="000000"/>
              </w:rPr>
            </w:pPr>
            <w:r>
              <w:rPr>
                <w:b w:val="0"/>
                <w:color w:val="000000"/>
              </w:rPr>
              <w:t>第一，完成金融时间序列数据预处理。对股票历史行情数据进行清洗，处理缺失值、停牌数据、异常值和复权问题，计算日收益率、未来一周收益率等目标变量，并按照时间顺序划分训练集、验证集和测试集，严格避免未来信息进入模型训练过程。</w:t>
            </w:r>
          </w:p>
          <w:p w14:paraId="5971B69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480" w:firstLineChars="200"/>
              <w:textAlignment w:val="auto"/>
              <w:rPr>
                <w:b w:val="0"/>
                <w:color w:val="000000"/>
              </w:rPr>
            </w:pPr>
            <w:r>
              <w:rPr>
                <w:b w:val="0"/>
                <w:color w:val="000000"/>
              </w:rPr>
              <w:t>第二，构建金融特征工程体系。基于价格、成交量和收益率等基础数据，构造移动平均线、收益率滞后项、成交量变化率、波动率、动量因子、换手率、价格偏离度等特征，并进一步设计特征消融实验，比较</w:t>
            </w:r>
            <w:r>
              <w:rPr>
                <w:rFonts w:hint="eastAsia"/>
                <w:b w:val="0"/>
                <w:color w:val="000000"/>
                <w:lang w:eastAsia="zh-CN"/>
              </w:rPr>
              <w:t>“</w:t>
            </w:r>
            <w:r>
              <w:rPr>
                <w:b w:val="0"/>
                <w:color w:val="000000"/>
              </w:rPr>
              <w:t>仅使用基础行情特征</w:t>
            </w:r>
            <w:r>
              <w:rPr>
                <w:rFonts w:hint="eastAsia"/>
                <w:b w:val="0"/>
                <w:color w:val="000000"/>
                <w:lang w:eastAsia="zh-CN"/>
              </w:rPr>
              <w:t>”“</w:t>
            </w:r>
            <w:r>
              <w:rPr>
                <w:b w:val="0"/>
                <w:color w:val="000000"/>
              </w:rPr>
              <w:t>加入技术指标特征</w:t>
            </w:r>
            <w:r>
              <w:rPr>
                <w:rFonts w:hint="eastAsia"/>
                <w:b w:val="0"/>
                <w:color w:val="000000"/>
                <w:lang w:eastAsia="zh-CN"/>
              </w:rPr>
              <w:t>”“</w:t>
            </w:r>
            <w:r>
              <w:rPr>
                <w:b w:val="0"/>
                <w:color w:val="000000"/>
              </w:rPr>
              <w:t>加入风险波动特征</w:t>
            </w:r>
            <w:r>
              <w:rPr>
                <w:rFonts w:hint="eastAsia"/>
                <w:b w:val="0"/>
                <w:color w:val="000000"/>
                <w:lang w:eastAsia="zh-CN"/>
              </w:rPr>
              <w:t>”</w:t>
            </w:r>
            <w:r>
              <w:rPr>
                <w:b w:val="0"/>
                <w:color w:val="000000"/>
              </w:rPr>
              <w:t>等不同特征组合对预测和推荐效果的影响。</w:t>
            </w:r>
          </w:p>
          <w:p w14:paraId="14415B2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480" w:firstLineChars="200"/>
              <w:textAlignment w:val="auto"/>
              <w:rPr>
                <w:b w:val="0"/>
                <w:color w:val="000000"/>
              </w:rPr>
            </w:pPr>
            <w:r>
              <w:rPr>
                <w:b w:val="0"/>
                <w:color w:val="000000"/>
              </w:rPr>
              <w:t>第三，建立多模型预测与对比实验。选取传统统计模型、机器学习模型和深度学习模型进行对比，例如 ARIMA、LightGBM、XGBoost、LSTM 或 Transformer 等。同时参考 Qlib、FinRL 等主流开源量化框架的实验流程，若时间允许，选取其中一个框架完成小规模 baseline 对照实验，使实验流程更加规范，结果更具可比性。</w:t>
            </w:r>
          </w:p>
          <w:p w14:paraId="63F13DB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480" w:firstLineChars="200"/>
              <w:textAlignment w:val="auto"/>
              <w:rPr>
                <w:b w:val="0"/>
                <w:color w:val="000000"/>
              </w:rPr>
            </w:pPr>
            <w:r>
              <w:rPr>
                <w:b w:val="0"/>
                <w:color w:val="000000"/>
              </w:rPr>
              <w:t>第四，开展股票排序推荐实验。将模型预测得到的未来收益率转化为股票排序结果，筛选未来一周预测表现较优的 Top-K 股票，并比较不同排序策略的效果，例如直接按预测收益排序、按风险调整后收益排序、按模型融合得分排序等。</w:t>
            </w:r>
          </w:p>
          <w:p w14:paraId="3004B477">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480" w:firstLineChars="200"/>
              <w:textAlignment w:val="auto"/>
              <w:rPr>
                <w:b w:val="0"/>
                <w:color w:val="000000"/>
              </w:rPr>
            </w:pPr>
            <w:r>
              <w:rPr>
                <w:b w:val="0"/>
                <w:color w:val="000000"/>
              </w:rPr>
              <w:t>第五，设计投资组合构建与回测实验。基于 Top-K 股票推荐结果，构建等权组合、预测收益加权组合和风险约束组合，设置合理的调仓频率，并在回测中考虑交易成本、换手率和最大回撤等因素，分析不同组合策略在收益和风险控制方面的表现。</w:t>
            </w:r>
          </w:p>
          <w:p w14:paraId="5148FE4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480" w:firstLineChars="200"/>
              <w:textAlignment w:val="auto"/>
              <w:rPr>
                <w:b w:val="0"/>
                <w:color w:val="000000"/>
              </w:rPr>
            </w:pPr>
            <w:r>
              <w:rPr>
                <w:b w:val="0"/>
                <w:color w:val="000000"/>
              </w:rPr>
              <w:t>第六，开展消融实验与结果解释。分别验证特征工程、模型结构、排序策略和组合权重模块对最终预测效果与组合收益的贡献，分析模型在不同市场阶段下的稳定性和局限性，避免只给出单一模型的理想化结果。</w:t>
            </w:r>
          </w:p>
          <w:p w14:paraId="0C471C9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Autospacing="0" w:afterAutospacing="0" w:line="312" w:lineRule="auto"/>
              <w:ind w:firstLine="0"/>
              <w:jc w:val="left"/>
              <w:textAlignment w:val="auto"/>
              <w:rPr>
                <w:rFonts w:ascii="宋体" w:hAnsi="宋体" w:eastAsia="宋体" w:cs="宋体"/>
                <w:b w:val="0"/>
                <w:bCs/>
                <w:color w:val="000000"/>
                <w:sz w:val="24"/>
                <w:szCs w:val="24"/>
              </w:rPr>
            </w:pPr>
            <w:r>
              <w:rPr>
                <w:rFonts w:ascii="宋体" w:hAnsi="宋体" w:eastAsia="宋体" w:cs="宋体"/>
                <w:b w:val="0"/>
                <w:bCs/>
                <w:color w:val="000000"/>
                <w:sz w:val="24"/>
                <w:szCs w:val="24"/>
              </w:rPr>
              <w:t>b.关键技术路线</w:t>
            </w:r>
          </w:p>
          <w:p w14:paraId="57D98E17">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480" w:firstLineChars="200"/>
              <w:textAlignment w:val="auto"/>
              <w:rPr>
                <w:b w:val="0"/>
                <w:color w:val="000000"/>
              </w:rPr>
            </w:pPr>
            <w:r>
              <w:rPr>
                <w:b w:val="0"/>
                <w:color w:val="000000"/>
              </w:rPr>
              <w:t>本课题采用</w:t>
            </w:r>
            <w:r>
              <w:rPr>
                <w:rFonts w:hint="eastAsia"/>
                <w:b w:val="0"/>
                <w:color w:val="000000"/>
                <w:lang w:eastAsia="zh-CN"/>
              </w:rPr>
              <w:t>“</w:t>
            </w:r>
            <w:r>
              <w:rPr>
                <w:b w:val="0"/>
                <w:color w:val="000000"/>
              </w:rPr>
              <w:t>数据预处理—特征工程—多模型预测—排序推荐—组合构建—回测评价—消融分析</w:t>
            </w:r>
            <w:r>
              <w:rPr>
                <w:rFonts w:hint="eastAsia"/>
                <w:b w:val="0"/>
                <w:color w:val="000000"/>
                <w:lang w:eastAsia="zh-CN"/>
              </w:rPr>
              <w:t>”</w:t>
            </w:r>
            <w:r>
              <w:rPr>
                <w:b w:val="0"/>
                <w:color w:val="000000"/>
              </w:rPr>
              <w:t>的技术路线。</w:t>
            </w:r>
          </w:p>
          <w:p w14:paraId="676F1B6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480" w:firstLineChars="200"/>
              <w:textAlignment w:val="auto"/>
              <w:rPr>
                <w:b w:val="0"/>
                <w:color w:val="000000"/>
              </w:rPr>
            </w:pPr>
            <w:r>
              <w:rPr>
                <w:b w:val="0"/>
                <w:color w:val="000000"/>
              </w:rPr>
              <w:t>首先，获取并整理沪深300成分股历史行情数据，对原始数据进行缺失值处理、异常值处理、复权处理和收益率计算。在数据划分上，严格按照时间顺序划分训练集、验证集和测试集，不采用随机划分方式；所有标准化、缺失值填充、特征计算和参数估计均只基于当前时点及以前的数据，避免未来信息泄漏。</w:t>
            </w:r>
          </w:p>
          <w:p w14:paraId="5F76278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480" w:firstLineChars="200"/>
              <w:textAlignment w:val="auto"/>
              <w:rPr>
                <w:b w:val="0"/>
                <w:color w:val="000000"/>
              </w:rPr>
            </w:pPr>
            <w:r>
              <w:rPr>
                <w:b w:val="0"/>
                <w:color w:val="000000"/>
              </w:rPr>
              <w:t>其次，构建多类型金融特征，包括基础价格特征、收益率滞</w:t>
            </w:r>
            <w:bookmarkStart w:id="0" w:name="_GoBack"/>
            <w:bookmarkEnd w:id="0"/>
            <w:r>
              <w:rPr>
                <w:b w:val="0"/>
                <w:color w:val="000000"/>
              </w:rPr>
              <w:t>后特征、成交量特征、波动率特征、动量特征和技术指标特征。通过消融实验比较不同特征组合的有效性，分析哪些特征对未来收益预测和 Top-K 股票选择贡献较大。</w:t>
            </w:r>
          </w:p>
          <w:p w14:paraId="64C1C827">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480" w:firstLineChars="200"/>
              <w:textAlignment w:val="auto"/>
              <w:rPr>
                <w:b w:val="0"/>
                <w:color w:val="000000"/>
              </w:rPr>
            </w:pPr>
            <w:r>
              <w:rPr>
                <w:b w:val="0"/>
                <w:color w:val="000000"/>
              </w:rPr>
              <w:t>然后，分别建立传统统计模型、机器学习模型和深度学习模型进行收益预测实验。机器学习模型可选取 LightGBM、XGBoost 等，深度学习模型可选取 LSTM、Transformer 等。同时参考 Qlib 或 FinRL 的数据处理、模型训练和回测流程，构建一个简化版开源框架 baseline 或流程对照。</w:t>
            </w:r>
          </w:p>
          <w:p w14:paraId="37E5F3A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480" w:firstLineChars="200"/>
              <w:textAlignment w:val="auto"/>
              <w:rPr>
                <w:b w:val="0"/>
                <w:color w:val="000000"/>
              </w:rPr>
            </w:pPr>
            <w:r>
              <w:rPr>
                <w:b w:val="0"/>
                <w:color w:val="000000"/>
              </w:rPr>
              <w:t>接着，将预测结果转化为股票排序结果，根据预测收益、风险调整收益或融合评分生成 Top-K 股票推荐列表。为验证排序模块的有效性，设计不同排序策略的对比实验，例如单模型排序、多模型融合排序、风险调整后排序等。</w:t>
            </w:r>
          </w:p>
          <w:p w14:paraId="76806B3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480" w:firstLineChars="200"/>
              <w:textAlignment w:val="auto"/>
              <w:rPr>
                <w:b w:val="0"/>
                <w:color w:val="000000"/>
              </w:rPr>
            </w:pPr>
            <w:r>
              <w:rPr>
                <w:b w:val="0"/>
                <w:color w:val="000000"/>
              </w:rPr>
              <w:t>最后，基于 Top-K 推荐结果构建投资组合，比较等权组合、预测收益加权组合和风险约束组合的回测表现。回测过程中设置固定调仓频率，并加入交易成本和换手率分析，综合评价组合累计收益率、最大回撤、波动率和夏普比率等指标。</w:t>
            </w:r>
          </w:p>
          <w:p w14:paraId="52B91E7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Autospacing="0" w:afterAutospacing="0" w:line="312" w:lineRule="auto"/>
              <w:ind w:leftChars="0" w:firstLine="0"/>
              <w:jc w:val="left"/>
              <w:textAlignment w:val="auto"/>
              <w:rPr>
                <w:rFonts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c.</w:t>
            </w:r>
            <w:r>
              <w:rPr>
                <w:rFonts w:ascii="宋体" w:hAnsi="宋体" w:eastAsia="宋体" w:cs="宋体"/>
                <w:b w:val="0"/>
                <w:bCs/>
                <w:color w:val="000000"/>
                <w:sz w:val="24"/>
                <w:szCs w:val="24"/>
              </w:rPr>
              <w:t>实验流程</w:t>
            </w:r>
          </w:p>
          <w:p w14:paraId="7536A8B4">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b w:val="0"/>
                <w:color w:val="000000"/>
              </w:rPr>
            </w:pPr>
            <w:r>
              <w:rPr>
                <w:rFonts w:hint="default" w:asciiTheme="minorHAnsi" w:hAnsiTheme="minorHAnsi" w:eastAsiaTheme="minorEastAsia" w:cstheme="minorBidi"/>
                <w:b w:val="0"/>
                <w:color w:val="000000"/>
                <w:kern w:val="0"/>
                <w:sz w:val="24"/>
                <w:szCs w:val="24"/>
                <w:lang w:val="en-US" w:eastAsia="zh-CN" w:bidi="ar"/>
              </w:rPr>
              <w:t>1．</w:t>
            </w:r>
            <w:r>
              <w:rPr>
                <w:b w:val="0"/>
                <w:bCs/>
                <w:color w:val="000000"/>
              </w:rPr>
              <w:t>数据输入层：</w:t>
            </w:r>
            <w:r>
              <w:rPr>
                <w:b w:val="0"/>
                <w:color w:val="000000"/>
              </w:rPr>
              <w:t xml:space="preserve">输入沪深300成分股历史行情数据，包括开盘价、最高价、最低价、收盘价、成交量、成交额、换手率等字段。 </w:t>
            </w:r>
          </w:p>
          <w:p w14:paraId="350371AF">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b w:val="0"/>
                <w:color w:val="000000"/>
              </w:rPr>
            </w:pPr>
            <w:r>
              <w:rPr>
                <w:rFonts w:hint="default" w:asciiTheme="minorHAnsi" w:hAnsiTheme="minorHAnsi" w:eastAsiaTheme="minorEastAsia" w:cstheme="minorBidi"/>
                <w:b w:val="0"/>
                <w:color w:val="000000"/>
                <w:kern w:val="0"/>
                <w:sz w:val="24"/>
                <w:szCs w:val="24"/>
                <w:lang w:val="en-US" w:eastAsia="zh-CN" w:bidi="ar"/>
              </w:rPr>
              <w:t>2．</w:t>
            </w:r>
            <w:r>
              <w:rPr>
                <w:b w:val="0"/>
                <w:bCs/>
                <w:color w:val="000000"/>
              </w:rPr>
              <w:t>数据预处理层：</w:t>
            </w:r>
            <w:r>
              <w:rPr>
                <w:b w:val="0"/>
                <w:color w:val="000000"/>
              </w:rPr>
              <w:t xml:space="preserve">完成缺失值处理、异常值处理、复权处理、收益率计算和时间顺序切分。训练集、验证集和测试集严格按照时间先后划分，禁止随机划分，防止时间序列数据泄漏。 </w:t>
            </w:r>
          </w:p>
          <w:p w14:paraId="2FACD8DA">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b w:val="0"/>
                <w:color w:val="000000"/>
              </w:rPr>
            </w:pPr>
            <w:r>
              <w:rPr>
                <w:rFonts w:hint="default" w:asciiTheme="minorHAnsi" w:hAnsiTheme="minorHAnsi" w:eastAsiaTheme="minorEastAsia" w:cstheme="minorBidi"/>
                <w:b w:val="0"/>
                <w:color w:val="000000"/>
                <w:kern w:val="0"/>
                <w:sz w:val="24"/>
                <w:szCs w:val="24"/>
                <w:lang w:val="en-US" w:eastAsia="zh-CN" w:bidi="ar"/>
              </w:rPr>
              <w:t>3．</w:t>
            </w:r>
            <w:r>
              <w:rPr>
                <w:b w:val="0"/>
                <w:bCs/>
                <w:color w:val="000000"/>
              </w:rPr>
              <w:t>特征工程层：</w:t>
            </w:r>
            <w:r>
              <w:rPr>
                <w:b w:val="0"/>
                <w:color w:val="000000"/>
              </w:rPr>
              <w:t xml:space="preserve">构造基础行情特征、收益率特征、移动平均线特征、成交量变化率特征、波动率特征、动量因子和换手率特征，并设计不同特征组合的消融实验。 </w:t>
            </w:r>
          </w:p>
          <w:p w14:paraId="383B1C41">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b w:val="0"/>
                <w:color w:val="000000"/>
              </w:rPr>
            </w:pPr>
            <w:r>
              <w:rPr>
                <w:rFonts w:hint="default" w:asciiTheme="minorHAnsi" w:hAnsiTheme="minorHAnsi" w:eastAsiaTheme="minorEastAsia" w:cstheme="minorBidi"/>
                <w:b w:val="0"/>
                <w:color w:val="000000"/>
                <w:kern w:val="0"/>
                <w:sz w:val="24"/>
                <w:szCs w:val="24"/>
                <w:lang w:val="en-US" w:eastAsia="zh-CN" w:bidi="ar"/>
              </w:rPr>
              <w:t>4．</w:t>
            </w:r>
            <w:r>
              <w:rPr>
                <w:b w:val="0"/>
                <w:bCs/>
                <w:color w:val="000000"/>
              </w:rPr>
              <w:t>模型预测层：</w:t>
            </w:r>
            <w:r>
              <w:rPr>
                <w:b w:val="0"/>
                <w:color w:val="000000"/>
              </w:rPr>
              <w:t xml:space="preserve">建立 ARIMA、LightGBM、XGBoost、LSTM 或 Transformer 等模型，对未来一周收益率进行预测。若时间允许，引入 Qlib 或 FinRL 完成小规模 baseline 对照实验。 </w:t>
            </w:r>
          </w:p>
          <w:p w14:paraId="791378D2">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b w:val="0"/>
                <w:color w:val="000000"/>
              </w:rPr>
            </w:pPr>
            <w:r>
              <w:rPr>
                <w:rFonts w:hint="default" w:asciiTheme="minorHAnsi" w:hAnsiTheme="minorHAnsi" w:eastAsiaTheme="minorEastAsia" w:cstheme="minorBidi"/>
                <w:b w:val="0"/>
                <w:color w:val="000000"/>
                <w:kern w:val="0"/>
                <w:sz w:val="24"/>
                <w:szCs w:val="24"/>
                <w:lang w:val="en-US" w:eastAsia="zh-CN" w:bidi="ar"/>
              </w:rPr>
              <w:t>5．</w:t>
            </w:r>
            <w:r>
              <w:rPr>
                <w:b w:val="0"/>
                <w:bCs/>
                <w:color w:val="000000"/>
              </w:rPr>
              <w:t>排序推荐层：</w:t>
            </w:r>
            <w:r>
              <w:rPr>
                <w:b w:val="0"/>
                <w:color w:val="000000"/>
              </w:rPr>
              <w:t xml:space="preserve">根据预测收益率、风险调整收益率或多模型融合得分，对股票进行排序，生成 Top-K 股票推荐列表。 </w:t>
            </w:r>
          </w:p>
          <w:p w14:paraId="288FFDB6">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b w:val="0"/>
                <w:color w:val="000000"/>
              </w:rPr>
            </w:pPr>
            <w:r>
              <w:rPr>
                <w:rFonts w:hint="default" w:asciiTheme="minorHAnsi" w:hAnsiTheme="minorHAnsi" w:eastAsiaTheme="minorEastAsia" w:cstheme="minorBidi"/>
                <w:b w:val="0"/>
                <w:color w:val="000000"/>
                <w:kern w:val="0"/>
                <w:sz w:val="24"/>
                <w:szCs w:val="24"/>
                <w:lang w:val="en-US" w:eastAsia="zh-CN" w:bidi="ar"/>
              </w:rPr>
              <w:t>6．</w:t>
            </w:r>
            <w:r>
              <w:rPr>
                <w:b w:val="0"/>
                <w:bCs/>
                <w:color w:val="000000"/>
              </w:rPr>
              <w:t>组合构建层：</w:t>
            </w:r>
            <w:r>
              <w:rPr>
                <w:b w:val="0"/>
                <w:color w:val="000000"/>
              </w:rPr>
              <w:t xml:space="preserve">基于 Top-K 推荐结果构建等权组合、预测收益加权组合和风险约束组合，并设置不同调仓频率进行对比。 </w:t>
            </w:r>
          </w:p>
          <w:p w14:paraId="7E816DB0">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b w:val="0"/>
                <w:color w:val="000000"/>
              </w:rPr>
            </w:pPr>
            <w:r>
              <w:rPr>
                <w:rFonts w:hint="default" w:asciiTheme="minorHAnsi" w:hAnsiTheme="minorHAnsi" w:eastAsiaTheme="minorEastAsia" w:cstheme="minorBidi"/>
                <w:b w:val="0"/>
                <w:color w:val="000000"/>
                <w:kern w:val="0"/>
                <w:sz w:val="24"/>
                <w:szCs w:val="24"/>
                <w:lang w:val="en-US" w:eastAsia="zh-CN" w:bidi="ar"/>
              </w:rPr>
              <w:t>7．</w:t>
            </w:r>
            <w:r>
              <w:rPr>
                <w:b w:val="0"/>
                <w:bCs/>
                <w:color w:val="000000"/>
              </w:rPr>
              <w:t>回测评价层：</w:t>
            </w:r>
            <w:r>
              <w:rPr>
                <w:b w:val="0"/>
                <w:color w:val="000000"/>
              </w:rPr>
              <w:t xml:space="preserve">在考虑交易成本的条件下，计算组合累计收益率、最大回撤、波动率、夏普比率和换手率等指标，分析组合真实可行性。 </w:t>
            </w:r>
          </w:p>
          <w:p w14:paraId="570EFDBC">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b w:val="0"/>
                <w:color w:val="000000"/>
              </w:rPr>
            </w:pPr>
            <w:r>
              <w:rPr>
                <w:rFonts w:hint="default" w:asciiTheme="minorHAnsi" w:hAnsiTheme="minorHAnsi" w:eastAsiaTheme="minorEastAsia" w:cstheme="minorBidi"/>
                <w:b w:val="0"/>
                <w:color w:val="000000"/>
                <w:kern w:val="0"/>
                <w:sz w:val="24"/>
                <w:szCs w:val="24"/>
                <w:lang w:val="en-US" w:eastAsia="zh-CN" w:bidi="ar"/>
              </w:rPr>
              <w:t>8．</w:t>
            </w:r>
            <w:r>
              <w:rPr>
                <w:b w:val="0"/>
                <w:bCs/>
                <w:color w:val="000000"/>
              </w:rPr>
              <w:t>消融分析层：</w:t>
            </w:r>
            <w:r>
              <w:rPr>
                <w:b w:val="0"/>
                <w:color w:val="000000"/>
              </w:rPr>
              <w:t xml:space="preserve">分别去除或替换特征工程模块、模型结构模块、排序策略模块和组合权重模块，比较各模块对最终预测效果和组合收益的贡献。 </w:t>
            </w:r>
          </w:p>
          <w:p w14:paraId="1E68D379">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b w:val="0"/>
                <w:color w:val="000000"/>
              </w:rPr>
            </w:pPr>
            <w:r>
              <w:rPr>
                <w:rFonts w:hint="default" w:asciiTheme="minorHAnsi" w:hAnsiTheme="minorHAnsi" w:eastAsiaTheme="minorEastAsia" w:cstheme="minorBidi"/>
                <w:b w:val="0"/>
                <w:color w:val="000000"/>
                <w:kern w:val="0"/>
                <w:sz w:val="24"/>
                <w:szCs w:val="24"/>
                <w:lang w:val="en-US" w:eastAsia="zh-CN" w:bidi="ar"/>
              </w:rPr>
              <w:t>9．</w:t>
            </w:r>
            <w:r>
              <w:rPr>
                <w:b w:val="0"/>
                <w:bCs/>
                <w:color w:val="000000"/>
              </w:rPr>
              <w:t>结果展示层：</w:t>
            </w:r>
            <w:r>
              <w:rPr>
                <w:b w:val="0"/>
                <w:color w:val="000000"/>
              </w:rPr>
              <w:t>通过 Jupyter Notebook 或 Streamlit Demo 展示数据处理过程、模型预测结果、Top-K 推荐列表、组合收益曲线、最大回撤曲线、换手率变化和指标对比表。</w:t>
            </w:r>
          </w:p>
          <w:p w14:paraId="2E744C7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Autospacing="0" w:afterAutospacing="0" w:line="312" w:lineRule="auto"/>
              <w:ind w:leftChars="0" w:firstLine="0"/>
              <w:jc w:val="left"/>
              <w:textAlignment w:val="auto"/>
              <w:rPr>
                <w:rFonts w:ascii="宋体" w:hAnsi="宋体" w:eastAsia="宋体" w:cs="宋体"/>
                <w:b w:val="0"/>
                <w:bCs/>
                <w:color w:val="000000"/>
                <w:sz w:val="24"/>
                <w:szCs w:val="24"/>
              </w:rPr>
            </w:pPr>
            <w:r>
              <w:rPr>
                <w:rFonts w:ascii="宋体" w:hAnsi="宋体" w:eastAsia="宋体" w:cs="宋体"/>
                <w:b w:val="0"/>
                <w:bCs/>
                <w:color w:val="000000"/>
                <w:sz w:val="24"/>
                <w:szCs w:val="24"/>
              </w:rPr>
              <w:t>d.评价指标</w:t>
            </w:r>
          </w:p>
          <w:p w14:paraId="1938AACF">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default"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本课题将评价指标划分为三类：预测误差指标、排序推荐指标和组合回测指标。最终评价重点不只放在点预测误差上，而是重点关注 Top-K 股票选择能力和组合风险收益表现。</w:t>
            </w:r>
          </w:p>
          <w:p w14:paraId="1BB66224">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right="0" w:rightChars="0"/>
              <w:textAlignment w:val="auto"/>
              <w:rPr>
                <w:rFonts w:hint="default"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1. 预测误差指标</w:t>
            </w:r>
          </w:p>
          <w:p w14:paraId="0E197399">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default" w:asciiTheme="minorHAnsi" w:hAnsiTheme="minorHAnsi" w:eastAsiaTheme="minorEastAsia" w:cstheme="minorBidi"/>
                <w:b w:val="0"/>
                <w:color w:val="000000"/>
                <w:kern w:val="0"/>
                <w:sz w:val="24"/>
                <w:szCs w:val="24"/>
                <w:lang w:val="en-US" w:eastAsia="zh-CN" w:bidi="ar"/>
              </w:rPr>
            </w:pPr>
            <w:r>
              <w:rPr>
                <w:rFonts w:hint="eastAsia" w:cstheme="minorBidi"/>
                <w:b w:val="0"/>
                <w:color w:val="000000"/>
                <w:kern w:val="0"/>
                <w:sz w:val="24"/>
                <w:szCs w:val="24"/>
                <w:lang w:val="en-US" w:eastAsia="zh-CN" w:bidi="ar"/>
              </w:rPr>
              <w:t>·</w:t>
            </w:r>
            <w:r>
              <w:rPr>
                <w:rFonts w:hint="default" w:asciiTheme="minorHAnsi" w:hAnsiTheme="minorHAnsi" w:eastAsiaTheme="minorEastAsia" w:cstheme="minorBidi"/>
                <w:b w:val="0"/>
                <w:color w:val="000000"/>
                <w:kern w:val="0"/>
                <w:sz w:val="24"/>
                <w:szCs w:val="24"/>
                <w:lang w:val="en-US" w:eastAsia="zh-CN" w:bidi="ar"/>
              </w:rPr>
              <w:t>MAE：平均绝对误差，用于衡量预测收益率与真实收益率之间的平均偏差。</w:t>
            </w:r>
          </w:p>
          <w:p w14:paraId="6105F7B9">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default" w:asciiTheme="minorHAnsi" w:hAnsiTheme="minorHAnsi" w:eastAsiaTheme="minorEastAsia" w:cstheme="minorBidi"/>
                <w:b w:val="0"/>
                <w:color w:val="000000"/>
                <w:kern w:val="0"/>
                <w:sz w:val="24"/>
                <w:szCs w:val="24"/>
                <w:lang w:val="en-US" w:eastAsia="zh-CN" w:bidi="ar"/>
              </w:rPr>
            </w:pPr>
            <w:r>
              <w:rPr>
                <w:rFonts w:hint="eastAsia" w:cstheme="minorBidi"/>
                <w:b w:val="0"/>
                <w:color w:val="000000"/>
                <w:kern w:val="0"/>
                <w:sz w:val="24"/>
                <w:szCs w:val="24"/>
                <w:lang w:val="en-US" w:eastAsia="zh-CN" w:bidi="ar"/>
              </w:rPr>
              <w:t>·</w:t>
            </w:r>
            <w:r>
              <w:rPr>
                <w:rFonts w:hint="default" w:asciiTheme="minorHAnsi" w:hAnsiTheme="minorHAnsi" w:eastAsiaTheme="minorEastAsia" w:cstheme="minorBidi"/>
                <w:b w:val="0"/>
                <w:color w:val="000000"/>
                <w:kern w:val="0"/>
                <w:sz w:val="24"/>
                <w:szCs w:val="24"/>
                <w:lang w:val="en-US" w:eastAsia="zh-CN" w:bidi="ar"/>
              </w:rPr>
              <w:t>RMSE：均方根误差，用于衡量模型对较大预测误差的敏感程度。</w:t>
            </w:r>
          </w:p>
          <w:p w14:paraId="2250BE3A">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default" w:asciiTheme="minorHAnsi" w:hAnsiTheme="minorHAnsi" w:eastAsiaTheme="minorEastAsia" w:cstheme="minorBidi"/>
                <w:b w:val="0"/>
                <w:color w:val="000000"/>
                <w:kern w:val="0"/>
                <w:sz w:val="24"/>
                <w:szCs w:val="24"/>
                <w:lang w:val="en-US" w:eastAsia="zh-CN" w:bidi="ar"/>
              </w:rPr>
            </w:pPr>
            <w:r>
              <w:rPr>
                <w:rFonts w:hint="eastAsia" w:cstheme="minorBidi"/>
                <w:b w:val="0"/>
                <w:color w:val="000000"/>
                <w:kern w:val="0"/>
                <w:sz w:val="24"/>
                <w:szCs w:val="24"/>
                <w:lang w:val="en-US" w:eastAsia="zh-CN" w:bidi="ar"/>
              </w:rPr>
              <w:t>·</w:t>
            </w:r>
            <w:r>
              <w:rPr>
                <w:rFonts w:hint="default" w:asciiTheme="minorHAnsi" w:hAnsiTheme="minorHAnsi" w:eastAsiaTheme="minorEastAsia" w:cstheme="minorBidi"/>
                <w:b w:val="0"/>
                <w:color w:val="000000"/>
                <w:kern w:val="0"/>
                <w:sz w:val="24"/>
                <w:szCs w:val="24"/>
                <w:lang w:val="en-US" w:eastAsia="zh-CN" w:bidi="ar"/>
              </w:rPr>
              <w:t>方向准确率：用于衡量模型对股票未来收益正负方向判断的准确程度。</w:t>
            </w:r>
          </w:p>
          <w:p w14:paraId="55557E49">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right="0" w:rightChars="0"/>
              <w:textAlignment w:val="auto"/>
              <w:rPr>
                <w:rFonts w:hint="default"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2. 排序推荐指标</w:t>
            </w:r>
          </w:p>
          <w:p w14:paraId="47BCD3FD">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default" w:asciiTheme="minorHAnsi" w:hAnsiTheme="minorHAnsi" w:eastAsiaTheme="minorEastAsia" w:cstheme="minorBidi"/>
                <w:b w:val="0"/>
                <w:color w:val="000000"/>
                <w:kern w:val="0"/>
                <w:sz w:val="24"/>
                <w:szCs w:val="24"/>
                <w:lang w:val="en-US" w:eastAsia="zh-CN" w:bidi="ar"/>
              </w:rPr>
            </w:pPr>
            <w:r>
              <w:rPr>
                <w:rFonts w:hint="eastAsia" w:cstheme="minorBidi"/>
                <w:b w:val="0"/>
                <w:color w:val="000000"/>
                <w:kern w:val="0"/>
                <w:sz w:val="24"/>
                <w:szCs w:val="24"/>
                <w:lang w:val="en-US" w:eastAsia="zh-CN" w:bidi="ar"/>
              </w:rPr>
              <w:t>·</w:t>
            </w:r>
            <w:r>
              <w:rPr>
                <w:rFonts w:hint="default" w:asciiTheme="minorHAnsi" w:hAnsiTheme="minorHAnsi" w:eastAsiaTheme="minorEastAsia" w:cstheme="minorBidi"/>
                <w:b w:val="0"/>
                <w:color w:val="000000"/>
                <w:kern w:val="0"/>
                <w:sz w:val="24"/>
                <w:szCs w:val="24"/>
                <w:lang w:val="en-US" w:eastAsia="zh-CN" w:bidi="ar"/>
              </w:rPr>
              <w:t>RankIC：衡量预测收益排序与真实收益排序之间的相关性，用于评价模型的横截面排序能力。</w:t>
            </w:r>
          </w:p>
          <w:p w14:paraId="42B25579">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default" w:asciiTheme="minorHAnsi" w:hAnsiTheme="minorHAnsi" w:eastAsiaTheme="minorEastAsia" w:cstheme="minorBidi"/>
                <w:b w:val="0"/>
                <w:color w:val="000000"/>
                <w:kern w:val="0"/>
                <w:sz w:val="24"/>
                <w:szCs w:val="24"/>
                <w:lang w:val="en-US" w:eastAsia="zh-CN" w:bidi="ar"/>
              </w:rPr>
            </w:pPr>
            <w:r>
              <w:rPr>
                <w:rFonts w:hint="eastAsia" w:cstheme="minorBidi"/>
                <w:b w:val="0"/>
                <w:color w:val="000000"/>
                <w:kern w:val="0"/>
                <w:sz w:val="24"/>
                <w:szCs w:val="24"/>
                <w:lang w:val="en-US" w:eastAsia="zh-CN" w:bidi="ar"/>
              </w:rPr>
              <w:t>·</w:t>
            </w:r>
            <w:r>
              <w:rPr>
                <w:rFonts w:hint="default" w:asciiTheme="minorHAnsi" w:hAnsiTheme="minorHAnsi" w:eastAsiaTheme="minorEastAsia" w:cstheme="minorBidi"/>
                <w:b w:val="0"/>
                <w:color w:val="000000"/>
                <w:kern w:val="0"/>
                <w:sz w:val="24"/>
                <w:szCs w:val="24"/>
                <w:lang w:val="en-US" w:eastAsia="zh-CN" w:bidi="ar"/>
              </w:rPr>
              <w:t>NDCG@K：衡量模型推荐的前 K 只股票排序质量。</w:t>
            </w:r>
          </w:p>
          <w:p w14:paraId="7A1CE94A">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default" w:asciiTheme="minorHAnsi" w:hAnsiTheme="minorHAnsi" w:eastAsiaTheme="minorEastAsia" w:cstheme="minorBidi"/>
                <w:b w:val="0"/>
                <w:color w:val="000000"/>
                <w:kern w:val="0"/>
                <w:sz w:val="24"/>
                <w:szCs w:val="24"/>
                <w:lang w:val="en-US" w:eastAsia="zh-CN" w:bidi="ar"/>
              </w:rPr>
            </w:pPr>
            <w:r>
              <w:rPr>
                <w:rFonts w:hint="eastAsia" w:cstheme="minorBidi"/>
                <w:b w:val="0"/>
                <w:color w:val="000000"/>
                <w:kern w:val="0"/>
                <w:sz w:val="24"/>
                <w:szCs w:val="24"/>
                <w:lang w:val="en-US" w:eastAsia="zh-CN" w:bidi="ar"/>
              </w:rPr>
              <w:t>·</w:t>
            </w:r>
            <w:r>
              <w:rPr>
                <w:rFonts w:hint="default" w:asciiTheme="minorHAnsi" w:hAnsiTheme="minorHAnsi" w:eastAsiaTheme="minorEastAsia" w:cstheme="minorBidi"/>
                <w:b w:val="0"/>
                <w:color w:val="000000"/>
                <w:kern w:val="0"/>
                <w:sz w:val="24"/>
                <w:szCs w:val="24"/>
                <w:lang w:val="en-US" w:eastAsia="zh-CN" w:bidi="ar"/>
              </w:rPr>
              <w:t>Top-K 命中率：衡量预测排名靠前的股票中，实际收益表现较优股票的占比。</w:t>
            </w:r>
          </w:p>
          <w:p w14:paraId="30C45B06">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default" w:asciiTheme="minorHAnsi" w:hAnsiTheme="minorHAnsi" w:eastAsiaTheme="minorEastAsia" w:cstheme="minorBidi"/>
                <w:b w:val="0"/>
                <w:color w:val="000000"/>
                <w:kern w:val="0"/>
                <w:sz w:val="24"/>
                <w:szCs w:val="24"/>
                <w:lang w:val="en-US" w:eastAsia="zh-CN" w:bidi="ar"/>
              </w:rPr>
            </w:pPr>
            <w:r>
              <w:rPr>
                <w:rFonts w:hint="eastAsia" w:cstheme="minorBidi"/>
                <w:b w:val="0"/>
                <w:color w:val="000000"/>
                <w:kern w:val="0"/>
                <w:sz w:val="24"/>
                <w:szCs w:val="24"/>
                <w:lang w:val="en-US" w:eastAsia="zh-CN" w:bidi="ar"/>
              </w:rPr>
              <w:t>·</w:t>
            </w:r>
            <w:r>
              <w:rPr>
                <w:rFonts w:hint="default" w:asciiTheme="minorHAnsi" w:hAnsiTheme="minorHAnsi" w:eastAsiaTheme="minorEastAsia" w:cstheme="minorBidi"/>
                <w:b w:val="0"/>
                <w:color w:val="000000"/>
                <w:kern w:val="0"/>
                <w:sz w:val="24"/>
                <w:szCs w:val="24"/>
                <w:lang w:val="en-US" w:eastAsia="zh-CN" w:bidi="ar"/>
              </w:rPr>
              <w:t>Precision@K：衡量模型推荐股票列表中有效股票的比例。</w:t>
            </w:r>
          </w:p>
          <w:p w14:paraId="28E88923">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right="0" w:rightChars="0"/>
              <w:textAlignment w:val="auto"/>
              <w:rPr>
                <w:rFonts w:hint="default"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3. 组合回测指标</w:t>
            </w:r>
          </w:p>
          <w:p w14:paraId="5B1AE5EA">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default" w:asciiTheme="minorHAnsi" w:hAnsiTheme="minorHAnsi" w:eastAsiaTheme="minorEastAsia" w:cstheme="minorBidi"/>
                <w:b w:val="0"/>
                <w:color w:val="000000"/>
                <w:kern w:val="0"/>
                <w:sz w:val="24"/>
                <w:szCs w:val="24"/>
                <w:lang w:val="en-US" w:eastAsia="zh-CN" w:bidi="ar"/>
              </w:rPr>
            </w:pPr>
            <w:r>
              <w:rPr>
                <w:rFonts w:hint="eastAsia" w:cstheme="minorBidi"/>
                <w:b w:val="0"/>
                <w:color w:val="000000"/>
                <w:kern w:val="0"/>
                <w:sz w:val="24"/>
                <w:szCs w:val="24"/>
                <w:lang w:val="en-US" w:eastAsia="zh-CN" w:bidi="ar"/>
              </w:rPr>
              <w:t>·</w:t>
            </w:r>
            <w:r>
              <w:rPr>
                <w:rFonts w:hint="default" w:asciiTheme="minorHAnsi" w:hAnsiTheme="minorHAnsi" w:eastAsiaTheme="minorEastAsia" w:cstheme="minorBidi"/>
                <w:b w:val="0"/>
                <w:color w:val="000000"/>
                <w:kern w:val="0"/>
                <w:sz w:val="24"/>
                <w:szCs w:val="24"/>
                <w:lang w:val="en-US" w:eastAsia="zh-CN" w:bidi="ar"/>
              </w:rPr>
              <w:t>累计收益率：衡量投资组合在回测区间内的整体收益表现。</w:t>
            </w:r>
          </w:p>
          <w:p w14:paraId="750D15EC">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default" w:asciiTheme="minorHAnsi" w:hAnsiTheme="minorHAnsi" w:eastAsiaTheme="minorEastAsia" w:cstheme="minorBidi"/>
                <w:b w:val="0"/>
                <w:color w:val="000000"/>
                <w:kern w:val="0"/>
                <w:sz w:val="24"/>
                <w:szCs w:val="24"/>
                <w:lang w:val="en-US" w:eastAsia="zh-CN" w:bidi="ar"/>
              </w:rPr>
            </w:pPr>
            <w:r>
              <w:rPr>
                <w:rFonts w:hint="eastAsia" w:cstheme="minorBidi"/>
                <w:b w:val="0"/>
                <w:color w:val="000000"/>
                <w:kern w:val="0"/>
                <w:sz w:val="24"/>
                <w:szCs w:val="24"/>
                <w:lang w:val="en-US" w:eastAsia="zh-CN" w:bidi="ar"/>
              </w:rPr>
              <w:t>·</w:t>
            </w:r>
            <w:r>
              <w:rPr>
                <w:rFonts w:hint="default" w:asciiTheme="minorHAnsi" w:hAnsiTheme="minorHAnsi" w:eastAsiaTheme="minorEastAsia" w:cstheme="minorBidi"/>
                <w:b w:val="0"/>
                <w:color w:val="000000"/>
                <w:kern w:val="0"/>
                <w:sz w:val="24"/>
                <w:szCs w:val="24"/>
                <w:lang w:val="en-US" w:eastAsia="zh-CN" w:bidi="ar"/>
              </w:rPr>
              <w:t>年化收益率：衡量组合收益水平。</w:t>
            </w:r>
          </w:p>
          <w:p w14:paraId="1E001B51">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default" w:asciiTheme="minorHAnsi" w:hAnsiTheme="minorHAnsi" w:eastAsiaTheme="minorEastAsia" w:cstheme="minorBidi"/>
                <w:b w:val="0"/>
                <w:color w:val="000000"/>
                <w:kern w:val="0"/>
                <w:sz w:val="24"/>
                <w:szCs w:val="24"/>
                <w:lang w:val="en-US" w:eastAsia="zh-CN" w:bidi="ar"/>
              </w:rPr>
            </w:pPr>
            <w:r>
              <w:rPr>
                <w:rFonts w:hint="eastAsia" w:cstheme="minorBidi"/>
                <w:b w:val="0"/>
                <w:color w:val="000000"/>
                <w:kern w:val="0"/>
                <w:sz w:val="24"/>
                <w:szCs w:val="24"/>
                <w:lang w:val="en-US" w:eastAsia="zh-CN" w:bidi="ar"/>
              </w:rPr>
              <w:t>·</w:t>
            </w:r>
            <w:r>
              <w:rPr>
                <w:rFonts w:hint="default" w:asciiTheme="minorHAnsi" w:hAnsiTheme="minorHAnsi" w:eastAsiaTheme="minorEastAsia" w:cstheme="minorBidi"/>
                <w:b w:val="0"/>
                <w:color w:val="000000"/>
                <w:kern w:val="0"/>
                <w:sz w:val="24"/>
                <w:szCs w:val="24"/>
                <w:lang w:val="en-US" w:eastAsia="zh-CN" w:bidi="ar"/>
              </w:rPr>
              <w:t>最大回撤：衡量组合在不利行情下可能遭受的最大亏损风险。</w:t>
            </w:r>
          </w:p>
          <w:p w14:paraId="009873AC">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default" w:asciiTheme="minorHAnsi" w:hAnsiTheme="minorHAnsi" w:eastAsiaTheme="minorEastAsia" w:cstheme="minorBidi"/>
                <w:b w:val="0"/>
                <w:color w:val="000000"/>
                <w:kern w:val="0"/>
                <w:sz w:val="24"/>
                <w:szCs w:val="24"/>
                <w:lang w:val="en-US" w:eastAsia="zh-CN" w:bidi="ar"/>
              </w:rPr>
            </w:pPr>
            <w:r>
              <w:rPr>
                <w:rFonts w:hint="eastAsia" w:cstheme="minorBidi"/>
                <w:b w:val="0"/>
                <w:color w:val="000000"/>
                <w:kern w:val="0"/>
                <w:sz w:val="24"/>
                <w:szCs w:val="24"/>
                <w:lang w:val="en-US" w:eastAsia="zh-CN" w:bidi="ar"/>
              </w:rPr>
              <w:t>·</w:t>
            </w:r>
            <w:r>
              <w:rPr>
                <w:rFonts w:hint="default" w:asciiTheme="minorHAnsi" w:hAnsiTheme="minorHAnsi" w:eastAsiaTheme="minorEastAsia" w:cstheme="minorBidi"/>
                <w:b w:val="0"/>
                <w:color w:val="000000"/>
                <w:kern w:val="0"/>
                <w:sz w:val="24"/>
                <w:szCs w:val="24"/>
                <w:lang w:val="en-US" w:eastAsia="zh-CN" w:bidi="ar"/>
              </w:rPr>
              <w:t>波动率：衡量组合收益的波动程度。</w:t>
            </w:r>
          </w:p>
          <w:p w14:paraId="7259226C">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default" w:asciiTheme="minorHAnsi" w:hAnsiTheme="minorHAnsi" w:eastAsiaTheme="minorEastAsia" w:cstheme="minorBidi"/>
                <w:b w:val="0"/>
                <w:color w:val="000000"/>
                <w:kern w:val="0"/>
                <w:sz w:val="24"/>
                <w:szCs w:val="24"/>
                <w:lang w:val="en-US" w:eastAsia="zh-CN" w:bidi="ar"/>
              </w:rPr>
            </w:pPr>
            <w:r>
              <w:rPr>
                <w:rFonts w:hint="eastAsia" w:cstheme="minorBidi"/>
                <w:b w:val="0"/>
                <w:color w:val="000000"/>
                <w:kern w:val="0"/>
                <w:sz w:val="24"/>
                <w:szCs w:val="24"/>
                <w:lang w:val="en-US" w:eastAsia="zh-CN" w:bidi="ar"/>
              </w:rPr>
              <w:t>·</w:t>
            </w:r>
            <w:r>
              <w:rPr>
                <w:rFonts w:hint="default" w:asciiTheme="minorHAnsi" w:hAnsiTheme="minorHAnsi" w:eastAsiaTheme="minorEastAsia" w:cstheme="minorBidi"/>
                <w:b w:val="0"/>
                <w:color w:val="000000"/>
                <w:kern w:val="0"/>
                <w:sz w:val="24"/>
                <w:szCs w:val="24"/>
                <w:lang w:val="en-US" w:eastAsia="zh-CN" w:bidi="ar"/>
              </w:rPr>
              <w:t>夏普比率：衡量单位风险下的收益能力。</w:t>
            </w:r>
          </w:p>
          <w:p w14:paraId="38DD67AB">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default" w:asciiTheme="minorHAnsi" w:hAnsiTheme="minorHAnsi" w:eastAsiaTheme="minorEastAsia" w:cstheme="minorBidi"/>
                <w:b w:val="0"/>
                <w:color w:val="000000"/>
                <w:kern w:val="0"/>
                <w:sz w:val="24"/>
                <w:szCs w:val="24"/>
                <w:lang w:val="en-US" w:eastAsia="zh-CN" w:bidi="ar"/>
              </w:rPr>
            </w:pPr>
            <w:r>
              <w:rPr>
                <w:rFonts w:hint="eastAsia" w:cstheme="minorBidi"/>
                <w:b w:val="0"/>
                <w:color w:val="000000"/>
                <w:kern w:val="0"/>
                <w:sz w:val="24"/>
                <w:szCs w:val="24"/>
                <w:lang w:val="en-US" w:eastAsia="zh-CN" w:bidi="ar"/>
              </w:rPr>
              <w:t>·</w:t>
            </w:r>
            <w:r>
              <w:rPr>
                <w:rFonts w:hint="default" w:asciiTheme="minorHAnsi" w:hAnsiTheme="minorHAnsi" w:eastAsiaTheme="minorEastAsia" w:cstheme="minorBidi"/>
                <w:b w:val="0"/>
                <w:color w:val="000000"/>
                <w:kern w:val="0"/>
                <w:sz w:val="24"/>
                <w:szCs w:val="24"/>
                <w:lang w:val="en-US" w:eastAsia="zh-CN" w:bidi="ar"/>
              </w:rPr>
              <w:t>换手率：衡量组合调仓频繁程度，用于评估策略交易稳定性。</w:t>
            </w:r>
          </w:p>
          <w:p w14:paraId="0B621F63">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default" w:asciiTheme="minorHAnsi" w:hAnsiTheme="minorHAnsi" w:eastAsiaTheme="minorEastAsia" w:cstheme="minorBidi"/>
                <w:b w:val="0"/>
                <w:color w:val="000000"/>
                <w:kern w:val="0"/>
                <w:sz w:val="24"/>
                <w:szCs w:val="24"/>
                <w:lang w:val="en-US" w:eastAsia="zh-CN" w:bidi="ar"/>
              </w:rPr>
            </w:pPr>
            <w:r>
              <w:rPr>
                <w:rFonts w:hint="eastAsia" w:cstheme="minorBidi"/>
                <w:b w:val="0"/>
                <w:color w:val="000000"/>
                <w:kern w:val="0"/>
                <w:sz w:val="24"/>
                <w:szCs w:val="24"/>
                <w:lang w:val="en-US" w:eastAsia="zh-CN" w:bidi="ar"/>
              </w:rPr>
              <w:t>·</w:t>
            </w:r>
            <w:r>
              <w:rPr>
                <w:rFonts w:hint="default" w:asciiTheme="minorHAnsi" w:hAnsiTheme="minorHAnsi" w:eastAsiaTheme="minorEastAsia" w:cstheme="minorBidi"/>
                <w:b w:val="0"/>
                <w:color w:val="000000"/>
                <w:kern w:val="0"/>
                <w:sz w:val="24"/>
                <w:szCs w:val="24"/>
                <w:lang w:val="en-US" w:eastAsia="zh-CN" w:bidi="ar"/>
              </w:rPr>
              <w:t>交易成本后收益率：在扣除手续费、滑点等交易成本后的组合收益，用于评估策略在更真实条件下的表现。</w:t>
            </w:r>
          </w:p>
          <w:p w14:paraId="46B1B506">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right="0" w:rightChars="0"/>
              <w:textAlignment w:val="auto"/>
              <w:rPr>
                <w:rFonts w:hint="default"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4. 消融实验评价</w:t>
            </w:r>
          </w:p>
          <w:p w14:paraId="785FC474">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default"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为验证各模块贡献，将分别设置以下消融实验：</w:t>
            </w:r>
          </w:p>
          <w:p w14:paraId="08013AD6">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default" w:asciiTheme="minorHAnsi" w:hAnsiTheme="minorHAnsi" w:eastAsiaTheme="minorEastAsia" w:cstheme="minorBidi"/>
                <w:b w:val="0"/>
                <w:color w:val="000000"/>
                <w:kern w:val="0"/>
                <w:sz w:val="24"/>
                <w:szCs w:val="24"/>
                <w:lang w:val="en-US" w:eastAsia="zh-CN" w:bidi="ar"/>
              </w:rPr>
            </w:pPr>
            <w:r>
              <w:rPr>
                <w:rFonts w:hint="eastAsia" w:asciiTheme="minorHAnsi" w:hAnsiTheme="minorHAnsi" w:eastAsiaTheme="minorEastAsia" w:cstheme="minorBidi"/>
                <w:b w:val="0"/>
                <w:color w:val="000000"/>
                <w:kern w:val="0"/>
                <w:sz w:val="24"/>
                <w:szCs w:val="24"/>
                <w:lang w:val="en-US" w:eastAsia="zh-CN" w:bidi="ar"/>
              </w:rPr>
              <w:t>第一，</w:t>
            </w:r>
            <w:r>
              <w:rPr>
                <w:rFonts w:hint="default" w:asciiTheme="minorHAnsi" w:hAnsiTheme="minorHAnsi" w:eastAsiaTheme="minorEastAsia" w:cstheme="minorBidi"/>
                <w:b w:val="0"/>
                <w:color w:val="000000"/>
                <w:kern w:val="0"/>
                <w:sz w:val="24"/>
                <w:szCs w:val="24"/>
                <w:lang w:val="en-US" w:eastAsia="zh-CN" w:bidi="ar"/>
              </w:rPr>
              <w:t>特征消融：比较基础行情特征、技术指标特征、波动率特征和动量特征对模型效果的影响。</w:t>
            </w:r>
          </w:p>
          <w:p w14:paraId="1D2AE867">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right="0" w:rightChars="0" w:firstLine="480" w:firstLineChars="200"/>
              <w:textAlignment w:val="auto"/>
              <w:rPr>
                <w:rFonts w:hint="default"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第二，模型消融：比较单模型预测、多模型融合预测以及开源框架 baseline 的表现差异。</w:t>
            </w:r>
          </w:p>
          <w:p w14:paraId="755543C5">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right="0" w:rightChars="0" w:firstLine="480" w:firstLineChars="200"/>
              <w:textAlignment w:val="auto"/>
              <w:rPr>
                <w:rFonts w:hint="default"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第三，排序策略消融：比较按预测收益排序、按风险调整收益排序和按融合得分排序的 Top-K 推荐效果。</w:t>
            </w:r>
          </w:p>
          <w:p w14:paraId="223BB0BA">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right="0" w:rightChars="0" w:firstLine="480" w:firstLineChars="200"/>
              <w:textAlignment w:val="auto"/>
              <w:rPr>
                <w:rFonts w:hint="default"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第四，组合权重消融：比较等权组合、预测收益加权组合和风险约束组合的收益与风险差异。</w:t>
            </w:r>
          </w:p>
          <w:p w14:paraId="3CAF2771">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right="0" w:rightChars="0" w:firstLine="480" w:firstLineChars="200"/>
              <w:textAlignment w:val="auto"/>
              <w:rPr>
                <w:rFonts w:hint="default"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第五，交易成本消融：比较不考虑交易成本和考虑交易成本后的回测收益差异。</w:t>
            </w:r>
          </w:p>
          <w:p w14:paraId="5BA2A00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firstLine="0" w:firstLineChars="0"/>
              <w:jc w:val="left"/>
              <w:textAlignment w:val="auto"/>
              <w:rPr>
                <w:rFonts w:hint="eastAsia" w:ascii="宋体" w:hAnsi="宋体" w:eastAsia="宋体" w:cs="宋体"/>
                <w:b w:val="0"/>
                <w:color w:val="000000"/>
                <w:sz w:val="24"/>
                <w:szCs w:val="24"/>
                <w:lang w:val="en-US" w:eastAsia="zh-CN"/>
              </w:rPr>
            </w:pPr>
          </w:p>
        </w:tc>
      </w:tr>
      <w:tr w14:paraId="603C8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833" w:hRule="atLeast"/>
        </w:trPr>
        <w:tc>
          <w:tcPr>
            <w:tcW w:w="5000" w:type="pct"/>
            <w:gridSpan w:val="5"/>
            <w:tcBorders>
              <w:tl2br w:val="nil"/>
              <w:tr2bl w:val="nil"/>
            </w:tcBorders>
            <w:shd w:val="clear" w:color="auto" w:fill="FFFFFF"/>
          </w:tcPr>
          <w:p w14:paraId="124E1A11">
            <w:pPr>
              <w:keepNext w:val="0"/>
              <w:keepLines w:val="0"/>
              <w:pageBreakBefore w:val="0"/>
              <w:widowControl w:val="0"/>
              <w:suppressLineNumbers w:val="0"/>
              <w:kinsoku/>
              <w:wordWrap/>
              <w:overflowPunct/>
              <w:topLinePunct w:val="0"/>
              <w:autoSpaceDE/>
              <w:autoSpaceDN/>
              <w:bidi w:val="0"/>
              <w:adjustRightInd/>
              <w:snapToGrid/>
              <w:spacing w:before="157" w:beforeLines="50" w:afterAutospacing="0"/>
              <w:jc w:val="left"/>
              <w:textAlignment w:val="auto"/>
              <w:rPr>
                <w:rFonts w:hint="eastAsia" w:ascii="黑体" w:hAnsi="黑体" w:eastAsia="黑体" w:cs="黑体"/>
                <w:b w:val="0"/>
                <w:color w:val="000000"/>
                <w:kern w:val="0"/>
                <w:sz w:val="24"/>
                <w:szCs w:val="24"/>
                <w:vertAlign w:val="baseline"/>
                <w:lang w:val="en-US" w:eastAsia="zh-CN" w:bidi="ar"/>
              </w:rPr>
            </w:pPr>
            <w:r>
              <w:rPr>
                <w:rFonts w:hint="eastAsia" w:ascii="黑体" w:hAnsi="黑体" w:eastAsia="黑体" w:cs="黑体"/>
                <w:b w:val="0"/>
                <w:color w:val="000000"/>
                <w:kern w:val="0"/>
                <w:sz w:val="24"/>
                <w:szCs w:val="24"/>
                <w:vertAlign w:val="baseline"/>
                <w:lang w:val="en-US" w:eastAsia="zh-CN" w:bidi="ar"/>
              </w:rPr>
              <w:t>任务分工与进度安排：</w:t>
            </w:r>
          </w:p>
          <w:p w14:paraId="2BE2B527">
            <w:pPr>
              <w:pStyle w:val="2"/>
              <w:keepNext w:val="0"/>
              <w:keepLines w:val="0"/>
              <w:pageBreakBefore w:val="0"/>
              <w:widowControl w:val="0"/>
              <w:suppressLineNumbers w:val="0"/>
              <w:kinsoku/>
              <w:wordWrap/>
              <w:overflowPunct/>
              <w:topLinePunct w:val="0"/>
              <w:autoSpaceDE/>
              <w:autoSpaceDN/>
              <w:bidi w:val="0"/>
              <w:adjustRightInd/>
              <w:snapToGrid/>
              <w:spacing w:beforeAutospacing="0" w:afterAutospacing="0" w:line="312" w:lineRule="auto"/>
              <w:textAlignment w:val="auto"/>
              <w:rPr>
                <w:rFonts w:hint="default" w:ascii="宋体" w:hAnsi="宋体" w:eastAsia="宋体" w:cs="宋体"/>
                <w:b w:val="0"/>
                <w:bCs/>
                <w:color w:val="000000"/>
                <w:kern w:val="2"/>
                <w:sz w:val="24"/>
                <w:szCs w:val="24"/>
                <w:lang w:val="en-US" w:eastAsia="zh-CN" w:bidi="ar-SA"/>
              </w:rPr>
            </w:pPr>
            <w:r>
              <w:rPr>
                <w:rFonts w:hint="default" w:ascii="宋体" w:hAnsi="宋体" w:eastAsia="宋体" w:cs="宋体"/>
                <w:b w:val="0"/>
                <w:bCs/>
                <w:color w:val="000000"/>
                <w:kern w:val="2"/>
                <w:sz w:val="24"/>
                <w:szCs w:val="24"/>
                <w:lang w:val="en-US" w:eastAsia="zh-CN" w:bidi="ar-SA"/>
              </w:rPr>
              <w:t>任务分工</w:t>
            </w:r>
          </w:p>
          <w:p w14:paraId="77CBF259">
            <w:pPr>
              <w:pStyle w:val="5"/>
              <w:keepNext w:val="0"/>
              <w:keepLines w:val="0"/>
              <w:pageBreakBefore w:val="0"/>
              <w:widowControl w:val="0"/>
              <w:suppressLineNumbers w:val="0"/>
              <w:kinsoku/>
              <w:wordWrap/>
              <w:overflowPunct/>
              <w:topLinePunct w:val="0"/>
              <w:autoSpaceDE/>
              <w:autoSpaceDN/>
              <w:bidi w:val="0"/>
              <w:adjustRightInd/>
              <w:snapToGrid/>
              <w:spacing w:beforeAutospacing="0" w:afterAutospacing="0" w:line="312" w:lineRule="auto"/>
              <w:textAlignment w:val="auto"/>
              <w:rPr>
                <w:rStyle w:val="9"/>
                <w:b w:val="0"/>
                <w:color w:val="000000"/>
              </w:rPr>
            </w:pPr>
            <w:r>
              <w:rPr>
                <w:rStyle w:val="9"/>
                <w:b w:val="0"/>
                <w:color w:val="000000"/>
              </w:rPr>
              <w:t>成员</w:t>
            </w:r>
            <w:r>
              <w:rPr>
                <w:rStyle w:val="9"/>
                <w:rFonts w:hint="eastAsia"/>
                <w:b w:val="0"/>
                <w:color w:val="000000"/>
                <w:lang w:val="en-US" w:eastAsia="zh-CN"/>
              </w:rPr>
              <w:t>1</w:t>
            </w:r>
            <w:r>
              <w:rPr>
                <w:rStyle w:val="9"/>
                <w:b w:val="0"/>
                <w:color w:val="000000"/>
              </w:rPr>
              <w:t>：数据处理与特征工程负责人</w:t>
            </w:r>
          </w:p>
          <w:p w14:paraId="74FB261D">
            <w:pPr>
              <w:pStyle w:val="5"/>
              <w:keepNext w:val="0"/>
              <w:keepLines w:val="0"/>
              <w:pageBreakBefore w:val="0"/>
              <w:widowControl w:val="0"/>
              <w:suppressLineNumbers w:val="0"/>
              <w:kinsoku/>
              <w:wordWrap/>
              <w:overflowPunct/>
              <w:topLinePunct w:val="0"/>
              <w:autoSpaceDE/>
              <w:autoSpaceDN/>
              <w:bidi w:val="0"/>
              <w:adjustRightInd/>
              <w:snapToGrid/>
              <w:spacing w:beforeAutospacing="0" w:afterAutospacing="0" w:line="312" w:lineRule="auto"/>
              <w:ind w:firstLine="480" w:firstLineChars="200"/>
              <w:textAlignment w:val="auto"/>
              <w:rPr>
                <w:b w:val="0"/>
                <w:color w:val="000000"/>
              </w:rPr>
            </w:pPr>
            <w:r>
              <w:rPr>
                <w:b w:val="0"/>
                <w:color w:val="000000"/>
              </w:rPr>
              <w:t>负责沪深300历史行情数据的获取、清洗、复权处理、缺失值处理、收益率计算和时间顺序切分；负责构建基础行情特征、技术指标特征、波动率特征和动量特征；负责特征消融实验，分析不同特征组合对预测误差和 Top-K 推荐效果的影响。</w:t>
            </w:r>
          </w:p>
          <w:p w14:paraId="22EA6C4C">
            <w:pPr>
              <w:pStyle w:val="5"/>
              <w:keepNext w:val="0"/>
              <w:keepLines w:val="0"/>
              <w:pageBreakBefore w:val="0"/>
              <w:widowControl w:val="0"/>
              <w:suppressLineNumbers w:val="0"/>
              <w:kinsoku/>
              <w:wordWrap/>
              <w:overflowPunct/>
              <w:topLinePunct w:val="0"/>
              <w:autoSpaceDE/>
              <w:autoSpaceDN/>
              <w:bidi w:val="0"/>
              <w:adjustRightInd/>
              <w:snapToGrid/>
              <w:spacing w:beforeAutospacing="0" w:afterAutospacing="0" w:line="312" w:lineRule="auto"/>
              <w:textAlignment w:val="auto"/>
              <w:rPr>
                <w:rStyle w:val="9"/>
                <w:b w:val="0"/>
                <w:color w:val="000000"/>
              </w:rPr>
            </w:pPr>
            <w:r>
              <w:rPr>
                <w:rStyle w:val="9"/>
                <w:b w:val="0"/>
                <w:color w:val="000000"/>
              </w:rPr>
              <w:t>成员</w:t>
            </w:r>
            <w:r>
              <w:rPr>
                <w:rStyle w:val="9"/>
                <w:rFonts w:hint="eastAsia"/>
                <w:b w:val="0"/>
                <w:color w:val="000000"/>
                <w:lang w:val="en-US" w:eastAsia="zh-CN"/>
              </w:rPr>
              <w:t>2</w:t>
            </w:r>
            <w:r>
              <w:rPr>
                <w:rStyle w:val="9"/>
                <w:b w:val="0"/>
                <w:color w:val="000000"/>
              </w:rPr>
              <w:t>：模型构建与基线对比负责人</w:t>
            </w:r>
          </w:p>
          <w:p w14:paraId="7877DEA1">
            <w:pPr>
              <w:pStyle w:val="5"/>
              <w:keepNext w:val="0"/>
              <w:keepLines w:val="0"/>
              <w:pageBreakBefore w:val="0"/>
              <w:widowControl w:val="0"/>
              <w:suppressLineNumbers w:val="0"/>
              <w:kinsoku/>
              <w:wordWrap/>
              <w:overflowPunct/>
              <w:topLinePunct w:val="0"/>
              <w:autoSpaceDE/>
              <w:autoSpaceDN/>
              <w:bidi w:val="0"/>
              <w:adjustRightInd/>
              <w:snapToGrid/>
              <w:spacing w:beforeAutospacing="0" w:afterAutospacing="0" w:line="312" w:lineRule="auto"/>
              <w:ind w:firstLine="480" w:firstLineChars="200"/>
              <w:textAlignment w:val="auto"/>
              <w:rPr>
                <w:b w:val="0"/>
                <w:color w:val="000000"/>
              </w:rPr>
            </w:pPr>
            <w:r>
              <w:rPr>
                <w:b w:val="0"/>
                <w:color w:val="000000"/>
              </w:rPr>
              <w:t>负责 ARIMA、LightGBM、XGBoost、LSTM 或 Transformer 等模型的搭建、训练和调参；负责多模型对比实验和模型结构消融实验；负责调研 Qlib、FinRL 等开源量化框架，并根据时间情况选取其中一个完成小规模 baseline 对照实验。</w:t>
            </w:r>
          </w:p>
          <w:p w14:paraId="3718D25F">
            <w:pPr>
              <w:pStyle w:val="5"/>
              <w:keepNext w:val="0"/>
              <w:keepLines w:val="0"/>
              <w:pageBreakBefore w:val="0"/>
              <w:widowControl w:val="0"/>
              <w:suppressLineNumbers w:val="0"/>
              <w:kinsoku/>
              <w:wordWrap/>
              <w:overflowPunct/>
              <w:topLinePunct w:val="0"/>
              <w:autoSpaceDE/>
              <w:autoSpaceDN/>
              <w:bidi w:val="0"/>
              <w:adjustRightInd/>
              <w:snapToGrid/>
              <w:spacing w:beforeAutospacing="0" w:afterAutospacing="0" w:line="312" w:lineRule="auto"/>
              <w:textAlignment w:val="auto"/>
              <w:rPr>
                <w:rStyle w:val="9"/>
                <w:b w:val="0"/>
                <w:color w:val="000000"/>
              </w:rPr>
            </w:pPr>
            <w:r>
              <w:rPr>
                <w:rStyle w:val="9"/>
                <w:b w:val="0"/>
                <w:color w:val="000000"/>
              </w:rPr>
              <w:t>成员</w:t>
            </w:r>
            <w:r>
              <w:rPr>
                <w:rStyle w:val="9"/>
                <w:rFonts w:hint="eastAsia"/>
                <w:b w:val="0"/>
                <w:color w:val="000000"/>
                <w:lang w:val="en-US" w:eastAsia="zh-CN"/>
              </w:rPr>
              <w:t>3</w:t>
            </w:r>
            <w:r>
              <w:rPr>
                <w:rStyle w:val="9"/>
                <w:b w:val="0"/>
                <w:color w:val="000000"/>
              </w:rPr>
              <w:t>：排序推荐、组合回测与可视化负责人</w:t>
            </w:r>
          </w:p>
          <w:p w14:paraId="205152EB">
            <w:pPr>
              <w:pStyle w:val="5"/>
              <w:keepNext w:val="0"/>
              <w:keepLines w:val="0"/>
              <w:pageBreakBefore w:val="0"/>
              <w:widowControl w:val="0"/>
              <w:suppressLineNumbers w:val="0"/>
              <w:kinsoku/>
              <w:wordWrap/>
              <w:overflowPunct/>
              <w:topLinePunct w:val="0"/>
              <w:autoSpaceDE/>
              <w:autoSpaceDN/>
              <w:bidi w:val="0"/>
              <w:adjustRightInd/>
              <w:snapToGrid/>
              <w:spacing w:beforeAutospacing="0" w:afterAutospacing="0" w:line="312" w:lineRule="auto"/>
              <w:ind w:firstLine="480" w:firstLineChars="200"/>
              <w:textAlignment w:val="auto"/>
              <w:rPr>
                <w:b w:val="0"/>
                <w:color w:val="000000"/>
              </w:rPr>
            </w:pPr>
            <w:r>
              <w:rPr>
                <w:b w:val="0"/>
                <w:color w:val="000000"/>
              </w:rPr>
              <w:t>负责将预测收益转化为 Top-K 股票推荐结果，设计按预测收益排序、风险调整收益排序和模型融合排序等策略；负责构建等权组合、预测收益加权组合和风险约束组合；负责加入交易成本、调仓频率和换手率分析，绘制组合收益曲线、最大回撤曲线和指标对比图。</w:t>
            </w:r>
          </w:p>
          <w:p w14:paraId="05F55EF6">
            <w:pPr>
              <w:pStyle w:val="5"/>
              <w:keepNext w:val="0"/>
              <w:keepLines w:val="0"/>
              <w:pageBreakBefore w:val="0"/>
              <w:widowControl w:val="0"/>
              <w:suppressLineNumbers w:val="0"/>
              <w:kinsoku/>
              <w:wordWrap/>
              <w:overflowPunct/>
              <w:topLinePunct w:val="0"/>
              <w:autoSpaceDE/>
              <w:autoSpaceDN/>
              <w:bidi w:val="0"/>
              <w:adjustRightInd/>
              <w:snapToGrid/>
              <w:spacing w:beforeAutospacing="0" w:afterAutospacing="0" w:line="312" w:lineRule="auto"/>
              <w:textAlignment w:val="auto"/>
              <w:rPr>
                <w:rStyle w:val="9"/>
                <w:b w:val="0"/>
                <w:color w:val="000000"/>
              </w:rPr>
            </w:pPr>
            <w:r>
              <w:rPr>
                <w:rStyle w:val="9"/>
                <w:b w:val="0"/>
                <w:color w:val="000000"/>
              </w:rPr>
              <w:t>共同任务：</w:t>
            </w:r>
          </w:p>
          <w:p w14:paraId="31021D02">
            <w:pPr>
              <w:pStyle w:val="5"/>
              <w:keepNext w:val="0"/>
              <w:keepLines w:val="0"/>
              <w:pageBreakBefore w:val="0"/>
              <w:widowControl w:val="0"/>
              <w:suppressLineNumbers w:val="0"/>
              <w:kinsoku/>
              <w:wordWrap/>
              <w:overflowPunct/>
              <w:topLinePunct w:val="0"/>
              <w:autoSpaceDE/>
              <w:autoSpaceDN/>
              <w:bidi w:val="0"/>
              <w:adjustRightInd/>
              <w:snapToGrid/>
              <w:spacing w:beforeAutospacing="0" w:afterAutospacing="0" w:line="312" w:lineRule="auto"/>
              <w:ind w:firstLine="480" w:firstLineChars="200"/>
              <w:textAlignment w:val="auto"/>
              <w:rPr>
                <w:b w:val="0"/>
                <w:color w:val="000000"/>
              </w:rPr>
            </w:pPr>
            <w:r>
              <w:rPr>
                <w:b w:val="0"/>
                <w:color w:val="000000"/>
              </w:rPr>
              <w:t>三名成员共同完成文献调研、开题报告、实验记录、结果分析、结题报告、PPT 制作、代码仓库整理和现场答辩演示，确保项目过程可复现、结果可解释、分工可追溯。</w:t>
            </w:r>
          </w:p>
          <w:p w14:paraId="6756702C">
            <w:pPr>
              <w:pStyle w:val="2"/>
              <w:keepNext w:val="0"/>
              <w:keepLines w:val="0"/>
              <w:pageBreakBefore w:val="0"/>
              <w:widowControl w:val="0"/>
              <w:suppressLineNumbers w:val="0"/>
              <w:kinsoku/>
              <w:wordWrap/>
              <w:overflowPunct/>
              <w:topLinePunct w:val="0"/>
              <w:autoSpaceDE/>
              <w:autoSpaceDN/>
              <w:bidi w:val="0"/>
              <w:adjustRightInd/>
              <w:snapToGrid/>
              <w:spacing w:beforeAutospacing="0" w:afterAutospacing="0" w:line="312" w:lineRule="auto"/>
              <w:textAlignment w:val="auto"/>
              <w:rPr>
                <w:rFonts w:hint="default"/>
                <w:b w:val="0"/>
                <w:color w:val="000000"/>
                <w:lang w:val="en-US"/>
              </w:rPr>
            </w:pPr>
            <w:r>
              <w:rPr>
                <w:rFonts w:hint="eastAsia" w:cs="宋体"/>
                <w:b w:val="0"/>
                <w:bCs/>
                <w:color w:val="000000"/>
                <w:kern w:val="2"/>
                <w:sz w:val="24"/>
                <w:szCs w:val="24"/>
                <w:lang w:val="en-US" w:eastAsia="zh-CN" w:bidi="ar-SA"/>
              </w:rPr>
              <w:t>进度安排</w:t>
            </w:r>
          </w:p>
          <w:tbl>
            <w:tblPr>
              <w:tblStyle w:val="7"/>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39"/>
              <w:gridCol w:w="2234"/>
              <w:gridCol w:w="3973"/>
            </w:tblGrid>
            <w:tr w14:paraId="6C12E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CCDA09F">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阶段</w:t>
                  </w:r>
                </w:p>
              </w:tc>
              <w:tc>
                <w:tcPr>
                  <w:tcW w:w="223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4576CD">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时间安排</w:t>
                  </w:r>
                </w:p>
              </w:tc>
              <w:tc>
                <w:tcPr>
                  <w:tcW w:w="39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2349DB">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主要任务</w:t>
                  </w:r>
                </w:p>
              </w:tc>
            </w:tr>
            <w:tr w14:paraId="021CC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0B7C5D">
                  <w:pPr>
                    <w:keepNext w:val="0"/>
                    <w:keepLines w:val="0"/>
                    <w:pageBreakBefore w:val="0"/>
                    <w:widowControl w:val="0"/>
                    <w:suppressLineNumbers w:val="0"/>
                    <w:kinsoku/>
                    <w:wordWrap/>
                    <w:overflowPunct/>
                    <w:topLinePunct w:val="0"/>
                    <w:autoSpaceDE/>
                    <w:autoSpaceDN/>
                    <w:bidi w:val="0"/>
                    <w:adjustRightInd/>
                    <w:snapToGrid/>
                    <w:spacing w:afterAutospacing="0"/>
                    <w:jc w:val="both"/>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第一阶段：开题与调研</w:t>
                  </w:r>
                </w:p>
              </w:tc>
              <w:tc>
                <w:tcPr>
                  <w:tcW w:w="223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35BCDC">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5月4日-5月7日</w:t>
                  </w:r>
                </w:p>
              </w:tc>
              <w:tc>
                <w:tcPr>
                  <w:tcW w:w="39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B88B5C">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完成开题报告，调研金融时间序列预测、Top-K 股票推荐、组合回测、Qlib 与 FinRL 等相关方法</w:t>
                  </w:r>
                </w:p>
              </w:tc>
            </w:tr>
            <w:tr w14:paraId="6E1E8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A37D12">
                  <w:pPr>
                    <w:keepNext w:val="0"/>
                    <w:keepLines w:val="0"/>
                    <w:pageBreakBefore w:val="0"/>
                    <w:widowControl w:val="0"/>
                    <w:suppressLineNumbers w:val="0"/>
                    <w:kinsoku/>
                    <w:wordWrap/>
                    <w:overflowPunct/>
                    <w:topLinePunct w:val="0"/>
                    <w:autoSpaceDE/>
                    <w:autoSpaceDN/>
                    <w:bidi w:val="0"/>
                    <w:adjustRightInd/>
                    <w:snapToGrid/>
                    <w:spacing w:afterAutospacing="0"/>
                    <w:jc w:val="both"/>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第二阶段：数据处理与特征工程</w:t>
                  </w:r>
                </w:p>
              </w:tc>
              <w:tc>
                <w:tcPr>
                  <w:tcW w:w="223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344632">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5月8日-5月14日</w:t>
                  </w:r>
                </w:p>
              </w:tc>
              <w:tc>
                <w:tcPr>
                  <w:tcW w:w="39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EFF1FB">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整理沪深300历史行情数据，完成缺失值处理、复权处理、收益率计算、时间切分和基础特征构造</w:t>
                  </w:r>
                </w:p>
              </w:tc>
            </w:tr>
            <w:tr w14:paraId="6EDB5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99364E">
                  <w:pPr>
                    <w:keepNext w:val="0"/>
                    <w:keepLines w:val="0"/>
                    <w:pageBreakBefore w:val="0"/>
                    <w:widowControl w:val="0"/>
                    <w:suppressLineNumbers w:val="0"/>
                    <w:kinsoku/>
                    <w:wordWrap/>
                    <w:overflowPunct/>
                    <w:topLinePunct w:val="0"/>
                    <w:autoSpaceDE/>
                    <w:autoSpaceDN/>
                    <w:bidi w:val="0"/>
                    <w:adjustRightInd/>
                    <w:snapToGrid/>
                    <w:spacing w:afterAutospacing="0"/>
                    <w:jc w:val="both"/>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第三阶段：基线模型与开源框架调研</w:t>
                  </w:r>
                </w:p>
              </w:tc>
              <w:tc>
                <w:tcPr>
                  <w:tcW w:w="223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E44831">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5月15日-5月21日</w:t>
                  </w:r>
                </w:p>
              </w:tc>
              <w:tc>
                <w:tcPr>
                  <w:tcW w:w="39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FB72C8">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建立 ARIMA、LightGBM、XGBoost 等基线模型；调研 Qlib 或 FinRL，尝试完成小规模 baseline 流程</w:t>
                  </w:r>
                </w:p>
              </w:tc>
            </w:tr>
            <w:tr w14:paraId="1F720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5DDAD2">
                  <w:pPr>
                    <w:keepNext w:val="0"/>
                    <w:keepLines w:val="0"/>
                    <w:pageBreakBefore w:val="0"/>
                    <w:widowControl w:val="0"/>
                    <w:suppressLineNumbers w:val="0"/>
                    <w:kinsoku/>
                    <w:wordWrap/>
                    <w:overflowPunct/>
                    <w:topLinePunct w:val="0"/>
                    <w:autoSpaceDE/>
                    <w:autoSpaceDN/>
                    <w:bidi w:val="0"/>
                    <w:adjustRightInd/>
                    <w:snapToGrid/>
                    <w:spacing w:afterAutospacing="0"/>
                    <w:jc w:val="both"/>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第四阶段：深度模型与排序推荐</w:t>
                  </w:r>
                </w:p>
              </w:tc>
              <w:tc>
                <w:tcPr>
                  <w:tcW w:w="223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E1EFAB">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5月22日-5月31日</w:t>
                  </w:r>
                </w:p>
              </w:tc>
              <w:tc>
                <w:tcPr>
                  <w:tcW w:w="39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14A0E1">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尝试 LSTM、Transformer 等模型，完成 Top-K 股票排序推荐实验，比较不同排序策略效果</w:t>
                  </w:r>
                </w:p>
              </w:tc>
            </w:tr>
            <w:tr w14:paraId="60EC9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B2EACC">
                  <w:pPr>
                    <w:keepNext w:val="0"/>
                    <w:keepLines w:val="0"/>
                    <w:pageBreakBefore w:val="0"/>
                    <w:widowControl w:val="0"/>
                    <w:suppressLineNumbers w:val="0"/>
                    <w:kinsoku/>
                    <w:wordWrap/>
                    <w:overflowPunct/>
                    <w:topLinePunct w:val="0"/>
                    <w:autoSpaceDE/>
                    <w:autoSpaceDN/>
                    <w:bidi w:val="0"/>
                    <w:adjustRightInd/>
                    <w:snapToGrid/>
                    <w:spacing w:afterAutospacing="0"/>
                    <w:jc w:val="both"/>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第五阶段：组合回测与交易成本分析</w:t>
                  </w:r>
                </w:p>
              </w:tc>
              <w:tc>
                <w:tcPr>
                  <w:tcW w:w="223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95BFC6">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6月1日-6月7日</w:t>
                  </w:r>
                </w:p>
              </w:tc>
              <w:tc>
                <w:tcPr>
                  <w:tcW w:w="39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0AA243">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构建等权、预测收益加权和风险约束组合，加入交易成本、调仓频率和换手率分析</w:t>
                  </w:r>
                </w:p>
              </w:tc>
            </w:tr>
            <w:tr w14:paraId="232D2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79FF9A">
                  <w:pPr>
                    <w:keepNext w:val="0"/>
                    <w:keepLines w:val="0"/>
                    <w:pageBreakBefore w:val="0"/>
                    <w:widowControl w:val="0"/>
                    <w:suppressLineNumbers w:val="0"/>
                    <w:kinsoku/>
                    <w:wordWrap/>
                    <w:overflowPunct/>
                    <w:topLinePunct w:val="0"/>
                    <w:autoSpaceDE/>
                    <w:autoSpaceDN/>
                    <w:bidi w:val="0"/>
                    <w:adjustRightInd/>
                    <w:snapToGrid/>
                    <w:spacing w:afterAutospacing="0"/>
                    <w:jc w:val="both"/>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第六阶段：消融实验与结果分析</w:t>
                  </w:r>
                </w:p>
              </w:tc>
              <w:tc>
                <w:tcPr>
                  <w:tcW w:w="223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06A390">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6月8日-6月12日</w:t>
                  </w:r>
                </w:p>
              </w:tc>
              <w:tc>
                <w:tcPr>
                  <w:tcW w:w="39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B5EB54">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完成特征工程、模型结构、排序策略和组合权重模块的消融实验，分析各模块贡献</w:t>
                  </w:r>
                </w:p>
              </w:tc>
            </w:tr>
            <w:tr w14:paraId="08B06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F7455E">
                  <w:pPr>
                    <w:keepNext w:val="0"/>
                    <w:keepLines w:val="0"/>
                    <w:pageBreakBefore w:val="0"/>
                    <w:widowControl w:val="0"/>
                    <w:suppressLineNumbers w:val="0"/>
                    <w:kinsoku/>
                    <w:wordWrap/>
                    <w:overflowPunct/>
                    <w:topLinePunct w:val="0"/>
                    <w:autoSpaceDE/>
                    <w:autoSpaceDN/>
                    <w:bidi w:val="0"/>
                    <w:adjustRightInd/>
                    <w:snapToGrid/>
                    <w:spacing w:afterAutospacing="0"/>
                    <w:jc w:val="both"/>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第七阶段：材料整理与答辩准备</w:t>
                  </w:r>
                </w:p>
              </w:tc>
              <w:tc>
                <w:tcPr>
                  <w:tcW w:w="223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9818A2">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6月13日-正式答辩前</w:t>
                  </w:r>
                </w:p>
              </w:tc>
              <w:tc>
                <w:tcPr>
                  <w:tcW w:w="397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C19128">
                  <w:pPr>
                    <w:keepNext w:val="0"/>
                    <w:keepLines w:val="0"/>
                    <w:pageBreakBefore w:val="0"/>
                    <w:widowControl w:val="0"/>
                    <w:suppressLineNumbers w:val="0"/>
                    <w:kinsoku/>
                    <w:wordWrap/>
                    <w:overflowPunct/>
                    <w:topLinePunct w:val="0"/>
                    <w:autoSpaceDE/>
                    <w:autoSpaceDN/>
                    <w:bidi w:val="0"/>
                    <w:adjustRightInd/>
                    <w:snapToGrid/>
                    <w:spacing w:afterAutospacing="0"/>
                    <w:jc w:val="center"/>
                    <w:textAlignment w:val="auto"/>
                    <w:rPr>
                      <w:b w:val="0"/>
                      <w:color w:val="000000"/>
                      <w:sz w:val="21"/>
                      <w:szCs w:val="21"/>
                    </w:rPr>
                  </w:pPr>
                  <w:r>
                    <w:rPr>
                      <w:rFonts w:hint="eastAsia" w:ascii="黑体" w:hAnsi="黑体" w:eastAsia="黑体" w:cs="黑体"/>
                      <w:b w:val="0"/>
                      <w:color w:val="000000"/>
                      <w:kern w:val="0"/>
                      <w:sz w:val="21"/>
                      <w:szCs w:val="21"/>
                      <w:vertAlign w:val="baseline"/>
                      <w:lang w:val="en-US" w:eastAsia="zh-CN" w:bidi="ar"/>
                    </w:rPr>
                    <w:t>整理代码、运行说明、实验图表、结题报告、PPT和Notebook/Streamlit演示材料</w:t>
                  </w:r>
                </w:p>
              </w:tc>
            </w:tr>
          </w:tbl>
          <w:p w14:paraId="574E7A3B">
            <w:pPr>
              <w:keepNext w:val="0"/>
              <w:keepLines w:val="0"/>
              <w:pageBreakBefore w:val="0"/>
              <w:widowControl w:val="0"/>
              <w:suppressLineNumbers w:val="0"/>
              <w:kinsoku/>
              <w:wordWrap/>
              <w:overflowPunct/>
              <w:topLinePunct w:val="0"/>
              <w:autoSpaceDE/>
              <w:autoSpaceDN/>
              <w:bidi w:val="0"/>
              <w:adjustRightInd/>
              <w:snapToGrid/>
              <w:spacing w:before="157" w:beforeLines="50" w:afterAutospacing="0"/>
              <w:jc w:val="left"/>
              <w:textAlignment w:val="auto"/>
              <w:rPr>
                <w:rFonts w:hint="eastAsia" w:ascii="黑体" w:hAnsi="黑体" w:eastAsia="黑体" w:cs="黑体"/>
                <w:b w:val="0"/>
                <w:color w:val="000000"/>
                <w:kern w:val="0"/>
                <w:sz w:val="24"/>
                <w:szCs w:val="24"/>
                <w:vertAlign w:val="baseline"/>
                <w:lang w:val="en-US" w:eastAsia="zh-CN" w:bidi="ar"/>
              </w:rPr>
            </w:pPr>
          </w:p>
        </w:tc>
      </w:tr>
      <w:tr w14:paraId="3FEDA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833" w:hRule="atLeast"/>
        </w:trPr>
        <w:tc>
          <w:tcPr>
            <w:tcW w:w="5000" w:type="pct"/>
            <w:gridSpan w:val="5"/>
            <w:tcBorders>
              <w:tl2br w:val="nil"/>
              <w:tr2bl w:val="nil"/>
            </w:tcBorders>
            <w:shd w:val="clear" w:color="auto" w:fill="FFFFFF"/>
          </w:tcPr>
          <w:p w14:paraId="19E1719E">
            <w:pPr>
              <w:keepNext w:val="0"/>
              <w:keepLines w:val="0"/>
              <w:pageBreakBefore w:val="0"/>
              <w:widowControl w:val="0"/>
              <w:suppressLineNumbers w:val="0"/>
              <w:kinsoku/>
              <w:wordWrap/>
              <w:overflowPunct/>
              <w:topLinePunct w:val="0"/>
              <w:autoSpaceDE/>
              <w:autoSpaceDN/>
              <w:bidi w:val="0"/>
              <w:adjustRightInd/>
              <w:snapToGrid/>
              <w:spacing w:before="157" w:beforeLines="50" w:afterAutospacing="0"/>
              <w:jc w:val="left"/>
              <w:textAlignment w:val="auto"/>
              <w:rPr>
                <w:rFonts w:hint="eastAsia" w:ascii="黑体" w:hAnsi="黑体" w:eastAsia="黑体" w:cs="黑体"/>
                <w:b w:val="0"/>
                <w:color w:val="000000"/>
                <w:kern w:val="0"/>
                <w:sz w:val="24"/>
                <w:szCs w:val="24"/>
                <w:vertAlign w:val="baseline"/>
                <w:lang w:val="en-US" w:eastAsia="zh-CN" w:bidi="ar"/>
              </w:rPr>
            </w:pPr>
            <w:r>
              <w:rPr>
                <w:rFonts w:hint="eastAsia" w:ascii="黑体" w:hAnsi="黑体" w:eastAsia="黑体" w:cs="黑体"/>
                <w:b w:val="0"/>
                <w:color w:val="000000"/>
                <w:kern w:val="0"/>
                <w:sz w:val="24"/>
                <w:szCs w:val="24"/>
                <w:vertAlign w:val="baseline"/>
                <w:lang w:val="en-US" w:eastAsia="zh-CN" w:bidi="ar"/>
              </w:rPr>
              <w:t>预期成果/产出：</w:t>
            </w:r>
          </w:p>
          <w:p w14:paraId="1ABF936F">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eastAsia"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1．</w:t>
            </w:r>
            <w:r>
              <w:rPr>
                <w:rFonts w:hint="eastAsia" w:asciiTheme="minorHAnsi" w:hAnsiTheme="minorHAnsi" w:eastAsiaTheme="minorEastAsia" w:cstheme="minorBidi"/>
                <w:b w:val="0"/>
                <w:color w:val="000000"/>
                <w:kern w:val="0"/>
                <w:sz w:val="24"/>
                <w:szCs w:val="24"/>
                <w:lang w:val="en-US" w:eastAsia="zh-CN" w:bidi="ar"/>
              </w:rPr>
              <w:t xml:space="preserve">一个完整的金融时间序列收益预测与组合推荐实验项目，包含数据预处理、特征工程、模型训练、收益预测、Top-K 股票推荐、组合构建、回测评价和消融实验等模块。 </w:t>
            </w:r>
          </w:p>
          <w:p w14:paraId="2D9CCD3E">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eastAsia"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2．</w:t>
            </w:r>
            <w:r>
              <w:rPr>
                <w:rFonts w:hint="eastAsia" w:asciiTheme="minorHAnsi" w:hAnsiTheme="minorHAnsi" w:eastAsiaTheme="minorEastAsia" w:cstheme="minorBidi"/>
                <w:b w:val="0"/>
                <w:color w:val="000000"/>
                <w:kern w:val="0"/>
                <w:sz w:val="24"/>
                <w:szCs w:val="24"/>
                <w:lang w:val="en-US" w:eastAsia="zh-CN" w:bidi="ar"/>
              </w:rPr>
              <w:t xml:space="preserve">一份多模型对比实验报告，对 ARIMA、LightGBM、XGBoost、LSTM 或 Transformer 等模型在收益预测、排序推荐和组合回测任务中的表现进行比较。 </w:t>
            </w:r>
          </w:p>
          <w:p w14:paraId="2ECA2AF1">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eastAsia"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3．</w:t>
            </w:r>
            <w:r>
              <w:rPr>
                <w:rFonts w:hint="eastAsia" w:asciiTheme="minorHAnsi" w:hAnsiTheme="minorHAnsi" w:eastAsiaTheme="minorEastAsia" w:cstheme="minorBidi"/>
                <w:b w:val="0"/>
                <w:color w:val="000000"/>
                <w:kern w:val="0"/>
                <w:sz w:val="24"/>
                <w:szCs w:val="24"/>
                <w:lang w:val="en-US" w:eastAsia="zh-CN" w:bidi="ar"/>
              </w:rPr>
              <w:t xml:space="preserve">一组消融实验结果，分别分析特征工程、模型结构、排序策略和组合权重方式对预测效果与组合收益的贡献。 </w:t>
            </w:r>
          </w:p>
          <w:p w14:paraId="3804C5C2">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eastAsia"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4．</w:t>
            </w:r>
            <w:r>
              <w:rPr>
                <w:rFonts w:hint="eastAsia" w:asciiTheme="minorHAnsi" w:hAnsiTheme="minorHAnsi" w:eastAsiaTheme="minorEastAsia" w:cstheme="minorBidi"/>
                <w:b w:val="0"/>
                <w:color w:val="000000"/>
                <w:kern w:val="0"/>
                <w:sz w:val="24"/>
                <w:szCs w:val="24"/>
                <w:lang w:val="en-US" w:eastAsia="zh-CN" w:bidi="ar"/>
              </w:rPr>
              <w:t xml:space="preserve">一个参考 Qlib 或 FinRL 流程的小规模 baseline 实验，或一份关于 Qlib/FinRL 在本课题中可用性的工程分析说明。 </w:t>
            </w:r>
          </w:p>
          <w:p w14:paraId="6ED55727">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eastAsia"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5．</w:t>
            </w:r>
            <w:r>
              <w:rPr>
                <w:rFonts w:hint="eastAsia" w:asciiTheme="minorHAnsi" w:hAnsiTheme="minorHAnsi" w:eastAsiaTheme="minorEastAsia" w:cstheme="minorBidi"/>
                <w:b w:val="0"/>
                <w:color w:val="000000"/>
                <w:kern w:val="0"/>
                <w:sz w:val="24"/>
                <w:szCs w:val="24"/>
                <w:lang w:val="en-US" w:eastAsia="zh-CN" w:bidi="ar"/>
              </w:rPr>
              <w:t xml:space="preserve">一组完整的可视化结果，包括预测误差指标表、RankIC/NDCG@K/Top-K 命中率对比图、Top-K 股票推荐表、组合累计收益曲线、最大回撤曲线、换手率变化图和交易成本前后收益对比图。 </w:t>
            </w:r>
          </w:p>
          <w:p w14:paraId="637CFA3A">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eastAsia"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6．</w:t>
            </w:r>
            <w:r>
              <w:rPr>
                <w:rFonts w:hint="eastAsia" w:asciiTheme="minorHAnsi" w:hAnsiTheme="minorHAnsi" w:eastAsiaTheme="minorEastAsia" w:cstheme="minorBidi"/>
                <w:b w:val="0"/>
                <w:color w:val="000000"/>
                <w:kern w:val="0"/>
                <w:sz w:val="24"/>
                <w:szCs w:val="24"/>
                <w:lang w:val="en-US" w:eastAsia="zh-CN" w:bidi="ar"/>
              </w:rPr>
              <w:t xml:space="preserve">一套可复现的代码与材料归档，包括数据处理脚本、模型训练脚本、预测结果生成脚本、组合回测脚本、运行说明、环境依赖说明和实验记录。 </w:t>
            </w:r>
          </w:p>
          <w:p w14:paraId="063AB839">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eastAsia"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7．</w:t>
            </w:r>
            <w:r>
              <w:rPr>
                <w:rFonts w:hint="eastAsia" w:asciiTheme="minorHAnsi" w:hAnsiTheme="minorHAnsi" w:eastAsiaTheme="minorEastAsia" w:cstheme="minorBidi"/>
                <w:b w:val="0"/>
                <w:color w:val="000000"/>
                <w:kern w:val="0"/>
                <w:sz w:val="24"/>
                <w:szCs w:val="24"/>
                <w:lang w:val="en-US" w:eastAsia="zh-CN" w:bidi="ar"/>
              </w:rPr>
              <w:t xml:space="preserve">一个 Notebook 或 Streamlit 演示 Demo，用于现场展示“数据输入—特征构造—模型预测—股票推荐—组合回测—消融分析—结果展示”的完整流程。 </w:t>
            </w:r>
          </w:p>
          <w:p w14:paraId="4DA3DB8E">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right="0" w:rightChars="0" w:firstLine="480" w:firstLineChars="200"/>
              <w:textAlignment w:val="auto"/>
              <w:rPr>
                <w:rFonts w:hint="eastAsia" w:asciiTheme="minorHAnsi" w:hAnsiTheme="minorHAnsi" w:eastAsiaTheme="minorEastAsia" w:cstheme="minorBidi"/>
                <w:b w:val="0"/>
                <w:color w:val="000000"/>
                <w:kern w:val="0"/>
                <w:sz w:val="24"/>
                <w:szCs w:val="24"/>
                <w:lang w:val="en-US" w:eastAsia="zh-CN" w:bidi="ar"/>
              </w:rPr>
            </w:pPr>
            <w:r>
              <w:rPr>
                <w:rFonts w:hint="default" w:asciiTheme="minorHAnsi" w:hAnsiTheme="minorHAnsi" w:eastAsiaTheme="minorEastAsia" w:cstheme="minorBidi"/>
                <w:b w:val="0"/>
                <w:color w:val="000000"/>
                <w:kern w:val="0"/>
                <w:sz w:val="24"/>
                <w:szCs w:val="24"/>
                <w:lang w:val="en-US" w:eastAsia="zh-CN" w:bidi="ar"/>
              </w:rPr>
              <w:t>8．</w:t>
            </w:r>
            <w:r>
              <w:rPr>
                <w:rFonts w:hint="eastAsia" w:asciiTheme="minorHAnsi" w:hAnsiTheme="minorHAnsi" w:eastAsiaTheme="minorEastAsia" w:cstheme="minorBidi"/>
                <w:b w:val="0"/>
                <w:color w:val="000000"/>
                <w:kern w:val="0"/>
                <w:sz w:val="24"/>
                <w:szCs w:val="24"/>
                <w:lang w:val="en-US" w:eastAsia="zh-CN" w:bidi="ar"/>
              </w:rPr>
              <w:t>一份结题报告和项目汇报 PPT，系统说明课题背景、方法设计、实验设置、结果分析、问题总结和后续改进方向。</w:t>
            </w:r>
          </w:p>
          <w:p w14:paraId="344D41C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Autospacing="0" w:afterAutospacing="0" w:line="312" w:lineRule="auto"/>
              <w:ind w:left="0" w:leftChars="0" w:firstLine="0" w:firstLineChars="0"/>
              <w:jc w:val="left"/>
              <w:textAlignment w:val="auto"/>
              <w:rPr>
                <w:rFonts w:hint="eastAsia" w:ascii="黑体" w:hAnsi="黑体" w:eastAsia="黑体" w:cs="黑体"/>
                <w:b w:val="0"/>
                <w:color w:val="000000"/>
                <w:kern w:val="0"/>
                <w:sz w:val="24"/>
                <w:szCs w:val="24"/>
                <w:vertAlign w:val="baseline"/>
                <w:lang w:val="en-US" w:eastAsia="zh-CN" w:bidi="ar"/>
              </w:rPr>
            </w:pPr>
          </w:p>
        </w:tc>
      </w:tr>
      <w:tr w14:paraId="70AF1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833" w:hRule="atLeast"/>
        </w:trPr>
        <w:tc>
          <w:tcPr>
            <w:tcW w:w="5000" w:type="pct"/>
            <w:gridSpan w:val="5"/>
            <w:tcBorders>
              <w:tl2br w:val="nil"/>
              <w:tr2bl w:val="nil"/>
            </w:tcBorders>
            <w:shd w:val="clear" w:color="auto" w:fill="FFFFFF"/>
          </w:tcPr>
          <w:p w14:paraId="7317D0EA">
            <w:pPr>
              <w:keepNext w:val="0"/>
              <w:keepLines w:val="0"/>
              <w:pageBreakBefore w:val="0"/>
              <w:widowControl w:val="0"/>
              <w:suppressLineNumbers w:val="0"/>
              <w:kinsoku/>
              <w:wordWrap/>
              <w:overflowPunct/>
              <w:topLinePunct w:val="0"/>
              <w:autoSpaceDE/>
              <w:autoSpaceDN/>
              <w:bidi w:val="0"/>
              <w:adjustRightInd/>
              <w:snapToGrid/>
              <w:spacing w:before="157" w:beforeLines="50" w:afterAutospacing="0"/>
              <w:jc w:val="left"/>
              <w:textAlignment w:val="auto"/>
              <w:rPr>
                <w:rFonts w:hint="eastAsia" w:ascii="黑体" w:hAnsi="黑体" w:eastAsia="黑体" w:cs="黑体"/>
                <w:b w:val="0"/>
                <w:color w:val="000000"/>
                <w:kern w:val="0"/>
                <w:sz w:val="24"/>
                <w:szCs w:val="24"/>
                <w:vertAlign w:val="baseline"/>
                <w:lang w:val="en-US" w:eastAsia="zh-CN" w:bidi="ar"/>
              </w:rPr>
            </w:pPr>
            <w:r>
              <w:rPr>
                <w:rFonts w:hint="eastAsia" w:ascii="黑体" w:hAnsi="黑体" w:eastAsia="黑体" w:cs="黑体"/>
                <w:b w:val="0"/>
                <w:color w:val="000000"/>
                <w:kern w:val="0"/>
                <w:sz w:val="24"/>
                <w:szCs w:val="24"/>
                <w:vertAlign w:val="baseline"/>
                <w:lang w:val="en-US" w:eastAsia="zh-CN" w:bidi="ar"/>
              </w:rPr>
              <w:t>参考文献：</w:t>
            </w:r>
          </w:p>
          <w:p w14:paraId="5C370965">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12" w:lineRule="auto"/>
              <w:ind w:left="0" w:leftChars="0" w:firstLine="0" w:firstLineChars="0"/>
              <w:textAlignment w:val="auto"/>
              <w:rPr>
                <w:b w:val="0"/>
                <w:color w:val="000000"/>
              </w:rPr>
            </w:pPr>
            <w:r>
              <w:rPr>
                <w:rFonts w:hint="eastAsia"/>
                <w:b w:val="0"/>
                <w:color w:val="000000"/>
                <w:lang w:val="en-US" w:eastAsia="zh-CN"/>
              </w:rPr>
              <w:t xml:space="preserve"> </w:t>
            </w:r>
            <w:r>
              <w:rPr>
                <w:b w:val="0"/>
                <w:color w:val="000000"/>
              </w:rPr>
              <w:t>2026中国高校计算机大赛—大数据挑战赛官方通知与报名说明</w:t>
            </w:r>
          </w:p>
          <w:p w14:paraId="11646428">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12" w:lineRule="auto"/>
              <w:ind w:left="0" w:leftChars="0" w:firstLine="0" w:firstLineChars="0"/>
              <w:textAlignment w:val="auto"/>
              <w:rPr>
                <w:b w:val="0"/>
                <w:color w:val="000000"/>
              </w:rPr>
            </w:pPr>
            <w:r>
              <w:rPr>
                <w:rFonts w:hint="eastAsia"/>
                <w:b w:val="0"/>
                <w:color w:val="000000"/>
                <w:lang w:val="en-US" w:eastAsia="zh-CN"/>
              </w:rPr>
              <w:t xml:space="preserve"> </w:t>
            </w:r>
            <w:r>
              <w:rPr>
                <w:b w:val="0"/>
                <w:color w:val="000000"/>
              </w:rPr>
              <w:t>2026中国高校计算机大赛—大数据挑战赛赛题：基于历史数据预测未来股价收益</w:t>
            </w:r>
          </w:p>
          <w:p w14:paraId="0540C863">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12" w:lineRule="auto"/>
              <w:ind w:left="0" w:leftChars="0" w:firstLine="0" w:firstLineChars="0"/>
              <w:textAlignment w:val="auto"/>
              <w:rPr>
                <w:b w:val="0"/>
                <w:color w:val="000000"/>
              </w:rPr>
            </w:pPr>
            <w:r>
              <w:rPr>
                <w:rFonts w:hint="eastAsia"/>
                <w:b w:val="0"/>
                <w:color w:val="000000"/>
                <w:lang w:val="en-US" w:eastAsia="zh-CN"/>
              </w:rPr>
              <w:t xml:space="preserve"> </w:t>
            </w:r>
            <w:r>
              <w:rPr>
                <w:b w:val="0"/>
                <w:color w:val="000000"/>
              </w:rPr>
              <w:t>Foundation</w:t>
            </w:r>
            <w:r>
              <w:rPr>
                <w:rFonts w:hint="eastAsia"/>
                <w:b w:val="0"/>
                <w:color w:val="000000"/>
                <w:lang w:val="en-US" w:eastAsia="zh-CN"/>
              </w:rPr>
              <w:t xml:space="preserve"> </w:t>
            </w:r>
            <w:r>
              <w:rPr>
                <w:b w:val="0"/>
                <w:color w:val="000000"/>
              </w:rPr>
              <w:t>Models</w:t>
            </w:r>
            <w:r>
              <w:rPr>
                <w:rFonts w:hint="eastAsia"/>
                <w:b w:val="0"/>
                <w:color w:val="000000"/>
                <w:lang w:val="en-US" w:eastAsia="zh-CN"/>
              </w:rPr>
              <w:t xml:space="preserve"> </w:t>
            </w:r>
            <w:r>
              <w:rPr>
                <w:b w:val="0"/>
                <w:color w:val="000000"/>
              </w:rPr>
              <w:t>for</w:t>
            </w:r>
            <w:r>
              <w:rPr>
                <w:rFonts w:hint="eastAsia"/>
                <w:b w:val="0"/>
                <w:color w:val="000000"/>
                <w:lang w:val="en-US" w:eastAsia="zh-CN"/>
              </w:rPr>
              <w:t xml:space="preserve"> </w:t>
            </w:r>
            <w:r>
              <w:rPr>
                <w:b w:val="0"/>
                <w:color w:val="000000"/>
              </w:rPr>
              <w:t>Time</w:t>
            </w:r>
            <w:r>
              <w:rPr>
                <w:rFonts w:hint="eastAsia"/>
                <w:b w:val="0"/>
                <w:color w:val="000000"/>
                <w:lang w:val="en-US" w:eastAsia="zh-CN"/>
              </w:rPr>
              <w:t xml:space="preserve"> </w:t>
            </w:r>
            <w:r>
              <w:rPr>
                <w:b w:val="0"/>
                <w:color w:val="000000"/>
              </w:rPr>
              <w:t>Series:</w:t>
            </w:r>
            <w:r>
              <w:rPr>
                <w:rFonts w:hint="eastAsia"/>
                <w:b w:val="0"/>
                <w:color w:val="000000"/>
                <w:lang w:val="en-US" w:eastAsia="zh-CN"/>
              </w:rPr>
              <w:t xml:space="preserve"> </w:t>
            </w:r>
            <w:r>
              <w:rPr>
                <w:b w:val="0"/>
                <w:color w:val="000000"/>
              </w:rPr>
              <w:t>A</w:t>
            </w:r>
            <w:r>
              <w:rPr>
                <w:rFonts w:hint="eastAsia"/>
                <w:b w:val="0"/>
                <w:color w:val="000000"/>
                <w:lang w:val="en-US" w:eastAsia="zh-CN"/>
              </w:rPr>
              <w:t xml:space="preserve"> </w:t>
            </w:r>
            <w:r>
              <w:rPr>
                <w:b w:val="0"/>
                <w:color w:val="000000"/>
              </w:rPr>
              <w:t>Survey</w:t>
            </w:r>
          </w:p>
          <w:p w14:paraId="576E785B">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12" w:lineRule="auto"/>
              <w:ind w:left="0" w:leftChars="0" w:firstLine="0" w:firstLineChars="0"/>
              <w:textAlignment w:val="auto"/>
              <w:rPr>
                <w:b w:val="0"/>
                <w:color w:val="000000"/>
              </w:rPr>
            </w:pPr>
            <w:r>
              <w:rPr>
                <w:rFonts w:hint="eastAsia"/>
                <w:b w:val="0"/>
                <w:color w:val="000000"/>
                <w:lang w:val="en-US" w:eastAsia="zh-CN"/>
              </w:rPr>
              <w:t xml:space="preserve"> </w:t>
            </w:r>
            <w:r>
              <w:rPr>
                <w:b w:val="0"/>
                <w:color w:val="000000"/>
              </w:rPr>
              <w:t>TimeGPT</w:t>
            </w:r>
            <w:r>
              <w:rPr>
                <w:rFonts w:hint="eastAsia"/>
                <w:b w:val="0"/>
                <w:color w:val="000000"/>
                <w:lang w:val="en-US" w:eastAsia="zh-CN"/>
              </w:rPr>
              <w:t xml:space="preserve"> </w:t>
            </w:r>
            <w:r>
              <w:rPr>
                <w:b w:val="0"/>
                <w:color w:val="000000"/>
              </w:rPr>
              <w:t>Documentation,</w:t>
            </w:r>
            <w:r>
              <w:rPr>
                <w:rFonts w:hint="eastAsia"/>
                <w:b w:val="0"/>
                <w:color w:val="000000"/>
                <w:lang w:val="en-US" w:eastAsia="zh-CN"/>
              </w:rPr>
              <w:t xml:space="preserve"> </w:t>
            </w:r>
            <w:r>
              <w:rPr>
                <w:b w:val="0"/>
                <w:color w:val="000000"/>
              </w:rPr>
              <w:t>Nixtla</w:t>
            </w:r>
          </w:p>
          <w:p w14:paraId="0AC13DE0">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12" w:lineRule="auto"/>
              <w:ind w:left="0" w:leftChars="0" w:firstLine="0" w:firstLineChars="0"/>
              <w:textAlignment w:val="auto"/>
              <w:rPr>
                <w:b w:val="0"/>
                <w:color w:val="000000"/>
              </w:rPr>
            </w:pPr>
            <w:r>
              <w:rPr>
                <w:rFonts w:hint="eastAsia"/>
                <w:b w:val="0"/>
                <w:color w:val="000000"/>
                <w:lang w:val="en-US" w:eastAsia="zh-CN"/>
              </w:rPr>
              <w:t xml:space="preserve"> </w:t>
            </w:r>
            <w:r>
              <w:rPr>
                <w:b w:val="0"/>
                <w:color w:val="000000"/>
              </w:rPr>
              <w:t>NeuralForecast</w:t>
            </w:r>
            <w:r>
              <w:rPr>
                <w:rFonts w:hint="eastAsia"/>
                <w:b w:val="0"/>
                <w:color w:val="000000"/>
                <w:lang w:val="en-US" w:eastAsia="zh-CN"/>
              </w:rPr>
              <w:t xml:space="preserve"> </w:t>
            </w:r>
            <w:r>
              <w:rPr>
                <w:b w:val="0"/>
                <w:color w:val="000000"/>
              </w:rPr>
              <w:t>Documentation</w:t>
            </w:r>
          </w:p>
          <w:p w14:paraId="0CACB688">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12" w:lineRule="auto"/>
              <w:ind w:left="0" w:leftChars="0" w:firstLine="0" w:firstLineChars="0"/>
              <w:textAlignment w:val="auto"/>
              <w:rPr>
                <w:b w:val="0"/>
                <w:color w:val="000000"/>
              </w:rPr>
            </w:pPr>
            <w:r>
              <w:rPr>
                <w:rFonts w:hint="eastAsia"/>
                <w:b w:val="0"/>
                <w:color w:val="000000"/>
                <w:lang w:val="en-US" w:eastAsia="zh-CN"/>
              </w:rPr>
              <w:t xml:space="preserve"> </w:t>
            </w:r>
            <w:r>
              <w:rPr>
                <w:b w:val="0"/>
                <w:color w:val="000000"/>
              </w:rPr>
              <w:t>Time</w:t>
            </w:r>
            <w:r>
              <w:rPr>
                <w:rFonts w:hint="eastAsia"/>
                <w:b w:val="0"/>
                <w:color w:val="000000"/>
                <w:lang w:val="en-US" w:eastAsia="zh-CN"/>
              </w:rPr>
              <w:t xml:space="preserve"> </w:t>
            </w:r>
            <w:r>
              <w:rPr>
                <w:b w:val="0"/>
                <w:color w:val="000000"/>
              </w:rPr>
              <w:t>Series</w:t>
            </w:r>
            <w:r>
              <w:rPr>
                <w:rFonts w:hint="eastAsia"/>
                <w:b w:val="0"/>
                <w:color w:val="000000"/>
                <w:lang w:val="en-US" w:eastAsia="zh-CN"/>
              </w:rPr>
              <w:t xml:space="preserve"> </w:t>
            </w:r>
            <w:r>
              <w:rPr>
                <w:b w:val="0"/>
                <w:color w:val="000000"/>
              </w:rPr>
              <w:t>Foundation</w:t>
            </w:r>
            <w:r>
              <w:rPr>
                <w:rFonts w:hint="eastAsia"/>
                <w:b w:val="0"/>
                <w:color w:val="000000"/>
                <w:lang w:val="en-US" w:eastAsia="zh-CN"/>
              </w:rPr>
              <w:t xml:space="preserve"> </w:t>
            </w:r>
            <w:r>
              <w:rPr>
                <w:b w:val="0"/>
                <w:color w:val="000000"/>
              </w:rPr>
              <w:t>Models:</w:t>
            </w:r>
            <w:r>
              <w:rPr>
                <w:rFonts w:hint="eastAsia"/>
                <w:b w:val="0"/>
                <w:color w:val="000000"/>
                <w:lang w:val="en-US" w:eastAsia="zh-CN"/>
              </w:rPr>
              <w:t xml:space="preserve"> </w:t>
            </w:r>
            <w:r>
              <w:rPr>
                <w:b w:val="0"/>
                <w:color w:val="000000"/>
              </w:rPr>
              <w:t>Benchmarking</w:t>
            </w:r>
            <w:r>
              <w:rPr>
                <w:rFonts w:hint="eastAsia"/>
                <w:b w:val="0"/>
                <w:color w:val="000000"/>
                <w:lang w:val="en-US" w:eastAsia="zh-CN"/>
              </w:rPr>
              <w:t xml:space="preserve"> </w:t>
            </w:r>
            <w:r>
              <w:rPr>
                <w:b w:val="0"/>
                <w:color w:val="000000"/>
              </w:rPr>
              <w:t>Challenges</w:t>
            </w:r>
            <w:r>
              <w:rPr>
                <w:rFonts w:hint="eastAsia"/>
                <w:b w:val="0"/>
                <w:color w:val="000000"/>
                <w:lang w:val="en-US" w:eastAsia="zh-CN"/>
              </w:rPr>
              <w:t xml:space="preserve"> </w:t>
            </w:r>
            <w:r>
              <w:rPr>
                <w:b w:val="0"/>
                <w:color w:val="000000"/>
              </w:rPr>
              <w:t>and</w:t>
            </w:r>
            <w:r>
              <w:rPr>
                <w:rFonts w:hint="eastAsia"/>
                <w:b w:val="0"/>
                <w:color w:val="000000"/>
                <w:lang w:val="en-US" w:eastAsia="zh-CN"/>
              </w:rPr>
              <w:t xml:space="preserve"> </w:t>
            </w:r>
            <w:r>
              <w:rPr>
                <w:b w:val="0"/>
                <w:color w:val="000000"/>
              </w:rPr>
              <w:t>Requirements</w:t>
            </w:r>
          </w:p>
          <w:p w14:paraId="518D2444">
            <w:pPr>
              <w:keepNext w:val="0"/>
              <w:keepLines w:val="0"/>
              <w:pageBreakBefore w:val="0"/>
              <w:widowControl w:val="0"/>
              <w:suppressLineNumbers w:val="0"/>
              <w:kinsoku/>
              <w:wordWrap/>
              <w:overflowPunct/>
              <w:topLinePunct w:val="0"/>
              <w:autoSpaceDE/>
              <w:autoSpaceDN/>
              <w:bidi w:val="0"/>
              <w:adjustRightInd/>
              <w:snapToGrid/>
              <w:spacing w:before="157" w:beforeLines="50" w:afterAutospacing="0"/>
              <w:jc w:val="left"/>
              <w:textAlignment w:val="auto"/>
              <w:rPr>
                <w:rFonts w:hint="eastAsia" w:ascii="黑体" w:hAnsi="黑体" w:eastAsia="黑体" w:cs="黑体"/>
                <w:b w:val="0"/>
                <w:color w:val="000000"/>
                <w:kern w:val="0"/>
                <w:sz w:val="24"/>
                <w:szCs w:val="24"/>
                <w:vertAlign w:val="baseline"/>
                <w:lang w:val="en-US" w:eastAsia="zh-CN" w:bidi="ar"/>
              </w:rPr>
            </w:pPr>
          </w:p>
        </w:tc>
      </w:tr>
    </w:tbl>
    <w:p w14:paraId="3F0FD226">
      <w:pPr>
        <w:keepNext w:val="0"/>
        <w:keepLines w:val="0"/>
        <w:widowControl/>
        <w:suppressLineNumbers w:val="0"/>
        <w:jc w:val="left"/>
        <w:rPr>
          <w:rFonts w:hint="default" w:ascii="宋体" w:hAnsi="宋体" w:eastAsia="宋体" w:cs="宋体"/>
          <w:kern w:val="0"/>
          <w:sz w:val="24"/>
          <w:szCs w:val="24"/>
          <w:lang w:val="en-US" w:eastAsia="zh-CN" w:bidi="ar"/>
        </w:rPr>
      </w:pPr>
    </w:p>
    <w:sectPr>
      <w:headerReference r:id="rId3" w:type="default"/>
      <w:pgSz w:w="11906" w:h="16838"/>
      <w:pgMar w:top="1213" w:right="1080" w:bottom="1440" w:left="1080" w:header="397"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BC87E9F-F2B8-45D2-8400-7DF8FD2D321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04E59B6A-63EB-4A16-ACA1-534EE5BFE420}"/>
  </w:font>
  <w:font w:name="方正公文小标宋">
    <w:panose1 w:val="02000500000000000000"/>
    <w:charset w:val="86"/>
    <w:family w:val="auto"/>
    <w:pitch w:val="default"/>
    <w:sig w:usb0="A00002BF" w:usb1="38CF7CFA" w:usb2="00000016" w:usb3="00000000" w:csb0="00040001" w:csb1="00000000"/>
    <w:embedRegular r:id="rId3" w:fontKey="{DA96014C-E9F3-41DB-BDC9-79803C41A6CE}"/>
  </w:font>
  <w:font w:name="WPSEMBED1">
    <w:panose1 w:val="02000500000000000000"/>
    <w:charset w:val="86"/>
    <w:family w:val="auto"/>
    <w:pitch w:val="default"/>
    <w:sig w:usb0="A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880AB">
    <w:pPr>
      <w:pStyle w:val="4"/>
      <w:pBdr>
        <w:bottom w:val="single" w:color="auto" w:sz="4" w:space="1"/>
      </w:pBdr>
      <w:jc w:val="left"/>
      <w:rPr>
        <w:rFonts w:hint="eastAsia" w:eastAsiaTheme="minorEastAsia"/>
        <w:lang w:eastAsia="zh-CN"/>
      </w:rPr>
    </w:pPr>
    <w:r>
      <w:rPr>
        <w:rFonts w:hint="eastAsia" w:eastAsiaTheme="minorEastAsia"/>
        <w:lang w:eastAsia="zh-CN"/>
      </w:rPr>
      <w:drawing>
        <wp:inline distT="0" distB="0" distL="114300" distR="114300">
          <wp:extent cx="3020695" cy="447040"/>
          <wp:effectExtent l="0" t="0" r="0" b="0"/>
          <wp:docPr id="1" name="图片 1" descr="重庆邮电大学数学与统计学院院徽（白底）与院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重庆邮电大学数学与统计学院院徽（白底）与院名"/>
                  <pic:cNvPicPr>
                    <a:picLocks noChangeAspect="1"/>
                  </pic:cNvPicPr>
                </pic:nvPicPr>
                <pic:blipFill>
                  <a:blip r:embed="rId1"/>
                  <a:srcRect b="7124"/>
                  <a:stretch>
                    <a:fillRect/>
                  </a:stretch>
                </pic:blipFill>
                <pic:spPr>
                  <a:xfrm>
                    <a:off x="0" y="0"/>
                    <a:ext cx="3020695" cy="447040"/>
                  </a:xfrm>
                  <a:prstGeom prst="rect">
                    <a:avLst/>
                  </a:prstGeom>
                </pic:spPr>
              </pic:pic>
            </a:graphicData>
          </a:graphic>
        </wp:inline>
      </w:drawing>
    </w:r>
    <w:r>
      <w:rPr>
        <w:rFonts w:hint="eastAsia"/>
        <w:lang w:val="en-US" w:eastAsia="zh-CN"/>
      </w:rPr>
      <w:t xml:space="preserve">    </w:t>
    </w:r>
    <w:r>
      <w:rPr>
        <w:rFonts w:hint="eastAsia" w:ascii="黑体" w:hAnsi="黑体" w:eastAsia="黑体" w:cs="黑体"/>
        <w:sz w:val="21"/>
        <w:szCs w:val="32"/>
        <w:lang w:eastAsia="zh-CN"/>
      </w:rPr>
      <w:t>110实验室前沿技术分组研究与专题汇报开题报告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34662E"/>
    <w:multiLevelType w:val="singleLevel"/>
    <w:tmpl w:val="F034662E"/>
    <w:lvl w:ilvl="0" w:tentative="0">
      <w:start w:val="1"/>
      <w:numFmt w:val="decimal"/>
      <w:suff w:val="nothing"/>
      <w:lvlText w:val="[%1]"/>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626AB4"/>
    <w:rsid w:val="17626AB4"/>
    <w:rsid w:val="251746F3"/>
    <w:rsid w:val="25412C5E"/>
    <w:rsid w:val="38643511"/>
    <w:rsid w:val="48E51CB7"/>
    <w:rsid w:val="49105066"/>
    <w:rsid w:val="5A81407E"/>
    <w:rsid w:val="5DA970D3"/>
    <w:rsid w:val="636344B9"/>
    <w:rsid w:val="63705B15"/>
    <w:rsid w:val="6DE71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5666</Words>
  <Characters>6506</Characters>
  <Lines>0</Lines>
  <Paragraphs>0</Paragraphs>
  <TotalTime>97</TotalTime>
  <ScaleCrop>false</ScaleCrop>
  <LinksUpToDate>false</LinksUpToDate>
  <CharactersWithSpaces>6674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2026-04-30T14:51:00Z</dcterms:created>
  <dc:creator>It's Me</dc:creator>
  <cp:lastModifiedBy>真壁豚足</cp:lastModifiedBy>
  <dcterms:modified xsi:type="dcterms:W3CDTF">2026-05-06T05:33:23Z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B5C1CB15EEF549B589426CDC54A3BD00_11</vt:lpwstr>
  </property>
  <property fmtid="{D5CDD505-2E9C-101B-9397-08002B2CF9AE}" pid="4" name="KSOTemplateDocerSaveRecord">
    <vt:lpwstr>eyJoZGlkIjoiOTc0NmM4ZjQ1YjMzYmFiODU3ODUxNjEwODg0MzNjMzAiLCJ1c2VySWQiOiIxMzI1NjkyMTU2In0=</vt:lpwstr>
  </property>
</Properties>
</file>