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83956"/>
          <w:sz w:val="44"/>
        </w:rPr>
        <w:t>基于评分细则的项目完善修改添加建议报告</w:t>
      </w:r>
    </w:p>
    <w:p>
      <w:pPr>
        <w:jc w:val="center"/>
      </w:pPr>
      <w:r>
        <w:rPr>
          <w:rFonts w:ascii="Arial" w:hAnsi="Arial" w:eastAsia="Microsoft YaHei"/>
          <w:b/>
          <w:color w:val="505050"/>
          <w:sz w:val="32"/>
        </w:rPr>
        <w:t>第三文档完善版</w:t>
      </w:r>
    </w:p>
    <w:p>
      <w:pPr>
        <w:jc w:val="center"/>
      </w:pPr>
      <w:r>
        <w:rPr>
          <w:rFonts w:ascii="Arial" w:hAnsi="Arial" w:eastAsia="Microsoft YaHei"/>
          <w:sz w:val="24"/>
        </w:rPr>
        <w:t>项目名称：面向沪深300收益预测与组合推荐的金融时间序列研究与工程实现</w:t>
      </w:r>
    </w:p>
    <w:p>
      <w:pPr>
        <w:jc w:val="center"/>
      </w:pPr>
      <w:r>
        <w:rPr>
          <w:rFonts w:ascii="Arial" w:hAnsi="Arial" w:eastAsia="Microsoft YaHei"/>
          <w:sz w:val="21"/>
        </w:rPr>
        <w:t>生成日期：2026-05-17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20"/>
              </w:rPr>
              <w:t>说明</w:t>
            </w:r>
          </w:p>
        </w:tc>
      </w:tr>
      <w:tr>
        <w:tc>
          <w:tcPr>
            <w:tcW w:type="dxa" w:w="10080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sz w:val="19"/>
              </w:rPr>
              <w:t>本报告在第三个文档《基于评分细则与开题报告的项目完善建议》的基础上重写与扩展，评分细则中的“PINNs纯C项目”仅作为评价框架与写作格式参考；以下内容针对当前“沪深300收益预测与组合推荐”项目本身，不沿用示例项目的事实判断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sz w:val="19"/>
              </w:rPr>
              <w:t>本报告依据已提供的开题报告、README和第三个完善建议文档进行材料侧复核；若后续提供完整源代码压缩包，可进一步补充代码级逐文件审查。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目录</w:t>
      </w:r>
    </w:p>
    <w:p>
      <w:pPr>
        <w:spacing w:line="283" w:lineRule="auto" w:after="100"/>
      </w:pPr>
      <w:r>
        <w:rPr>
          <w:rFonts w:ascii="Arial" w:hAnsi="Arial" w:eastAsia="Microsoft YaHei"/>
        </w:rPr>
        <w:t>1. 评估口径与资料依据</w:t>
      </w:r>
    </w:p>
    <w:p>
      <w:pPr>
        <w:spacing w:line="283" w:lineRule="auto" w:after="100"/>
      </w:pPr>
      <w:r>
        <w:rPr>
          <w:rFonts w:ascii="Arial" w:hAnsi="Arial" w:eastAsia="Microsoft YaHei"/>
        </w:rPr>
        <w:t>2. 一句话结论与综合评分预估</w:t>
      </w:r>
    </w:p>
    <w:p>
      <w:pPr>
        <w:spacing w:line="283" w:lineRule="auto" w:after="100"/>
      </w:pPr>
      <w:r>
        <w:rPr>
          <w:rFonts w:ascii="Arial" w:hAnsi="Arial" w:eastAsia="Microsoft YaHei"/>
        </w:rPr>
        <w:t>3. 相比第三个文档，本版新增和强化内容</w:t>
      </w:r>
    </w:p>
    <w:p>
      <w:pPr>
        <w:spacing w:line="283" w:lineRule="auto" w:after="100"/>
      </w:pPr>
      <w:r>
        <w:rPr>
          <w:rFonts w:ascii="Arial" w:hAnsi="Arial" w:eastAsia="Microsoft YaHei"/>
        </w:rPr>
        <w:t>4. 开题承诺与当前材料对齐情况</w:t>
      </w:r>
    </w:p>
    <w:p>
      <w:pPr>
        <w:spacing w:line="283" w:lineRule="auto" w:after="100"/>
      </w:pPr>
      <w:r>
        <w:rPr>
          <w:rFonts w:ascii="Arial" w:hAnsi="Arial" w:eastAsia="Microsoft YaHei"/>
        </w:rPr>
        <w:t>5. 按评分维度的完善修改添加建议</w:t>
      </w:r>
    </w:p>
    <w:p>
      <w:pPr>
        <w:spacing w:line="283" w:lineRule="auto" w:after="100"/>
      </w:pPr>
      <w:r>
        <w:rPr>
          <w:rFonts w:ascii="Arial" w:hAnsi="Arial" w:eastAsia="Microsoft YaHei"/>
        </w:rPr>
        <w:t>6. 必须新增或修改的文件清单</w:t>
      </w:r>
    </w:p>
    <w:p>
      <w:pPr>
        <w:spacing w:line="283" w:lineRule="auto" w:after="100"/>
      </w:pPr>
      <w:r>
        <w:rPr>
          <w:rFonts w:ascii="Arial" w:hAnsi="Arial" w:eastAsia="Microsoft YaHei"/>
        </w:rPr>
        <w:t>7. 实验、测试与结果证据链补强方案</w:t>
      </w:r>
    </w:p>
    <w:p>
      <w:pPr>
        <w:spacing w:line="283" w:lineRule="auto" w:after="100"/>
      </w:pPr>
      <w:r>
        <w:rPr>
          <w:rFonts w:ascii="Arial" w:hAnsi="Arial" w:eastAsia="Microsoft YaHei"/>
        </w:rPr>
        <w:t>8. README、复现与Demo展示完善方案</w:t>
      </w:r>
    </w:p>
    <w:p>
      <w:pPr>
        <w:spacing w:line="283" w:lineRule="auto" w:after="100"/>
      </w:pPr>
      <w:r>
        <w:rPr>
          <w:rFonts w:ascii="Arial" w:hAnsi="Arial" w:eastAsia="Microsoft YaHei"/>
        </w:rPr>
        <w:t>9. 最终报告、PPT与交付材料完善方案</w:t>
      </w:r>
    </w:p>
    <w:p>
      <w:pPr>
        <w:spacing w:line="283" w:lineRule="auto" w:after="100"/>
      </w:pPr>
      <w:r>
        <w:rPr>
          <w:rFonts w:ascii="Arial" w:hAnsi="Arial" w:eastAsia="Microsoft YaHei"/>
        </w:rPr>
        <w:t>10. 优先级路线图与验收清单</w:t>
      </w:r>
    </w:p>
    <w:p>
      <w:pPr>
        <w:spacing w:line="283" w:lineRule="auto" w:after="100"/>
      </w:pPr>
      <w:r>
        <w:rPr>
          <w:rFonts w:ascii="Arial" w:hAnsi="Arial" w:eastAsia="Microsoft YaHei"/>
        </w:rPr>
        <w:t>附录：可直接落地的文档模板与README补丁框架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color w:val="183956"/>
        </w:rPr>
        <w:t>1. 评估口径与资料依据</w:t>
      </w:r>
    </w:p>
    <w:p>
      <w:pPr>
        <w:spacing w:line="283" w:lineRule="auto" w:after="100"/>
      </w:pPr>
      <w:r>
        <w:rPr>
          <w:rFonts w:ascii="Arial" w:hAnsi="Arial" w:eastAsia="Microsoft YaHei"/>
        </w:rPr>
        <w:t>本报告采用用户给出的评分细则结构，包括选题价值、README与选题说明、仓库内容完整度、技术实现与代码质量、实验设计与评价指标、可复现性、创新性与展示交付质量等维度。</w:t>
      </w:r>
    </w:p>
    <w:p>
      <w:pPr>
        <w:spacing w:line="283" w:lineRule="auto" w:after="100"/>
      </w:pPr>
      <w:r>
        <w:rPr>
          <w:rFonts w:ascii="Arial" w:hAnsi="Arial" w:eastAsia="Microsoft YaHei"/>
        </w:rPr>
        <w:t>需要特别说明：原评分细则对应的是“基于纯C语言与手动解析梯度的PINNs高性能求解器”示例项目，本报告只借用其评价框架、扣分逻辑和改进建议写法，不将示例项目的代码缺陷或功能缺失直接套用到本项目。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依据材料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已读取到的关键信息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本报告中的使用方式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开题报告最终版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研究题目为“基于机器学习与组合回测的沪深300成分股收益预测及推荐研究”；开题中明确承诺使用Notebook/Streamlit展示模型对比、消融实验、交易成本回测和风险收益指标。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用于检查“开题承诺—当前实现—后续补齐”的一致性。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 / 提交说明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当前正式默认方案为LSTM，特征集为base_alpha_v3_rs_crowding_mini4，训练目标为cross_section_rank，序列长度为20；README列出训练、推理、冻结提交和Docker入口。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用于判断项目已有工程闭环、复现入口和交付路径。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第三个文档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已经提出结果证据链、可复现说明、展示材料、开题承诺对齐等完善方向。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作为本版文档的基础，进一步补充评分预估、任务验收标准、文件级修改建议和可复制模板。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评分细则示例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强调“描述与实际仓库一致、代码可运行、实验可验证、Demo可展示、文档可复现”。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转化为本项目的扣分风险和提分动作。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2. 一句话结论与综合评分预估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9F7E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20"/>
              </w:rPr>
              <w:t>一句话结论</w:t>
            </w:r>
          </w:p>
        </w:tc>
      </w:tr>
      <w:tr>
        <w:tc>
          <w:tcPr>
            <w:tcW w:type="dxa" w:w="10080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sz w:val="19"/>
              </w:rPr>
              <w:t>当前项目已经具备“数据处理—模型训练—Walk-Forward验证—回测—冻结提交—Docker复现”的工程主链路，明显强于只有开题规划的项目；但要按严格评分标准进一步提分，最需要补齐的是：开题承诺对照、实验结果索引、可复现路径、Notebook/Streamlit或等价Demo说明、未落地模型方向解释，以及最终交付材料的一致性。</w:t>
            </w:r>
          </w:p>
        </w:tc>
      </w:tr>
    </w:tbl>
    <w:p/>
    <w:p>
      <w:pPr>
        <w:spacing w:line="283" w:lineRule="auto" w:after="100"/>
      </w:pPr>
      <w:r>
        <w:rPr>
          <w:rFonts w:ascii="Arial" w:hAnsi="Arial" w:eastAsia="Microsoft YaHei"/>
        </w:rPr>
        <w:t>基于已提供文档进行材料侧评估，当前项目可预估处于 7.4—7.8 / 10 的区间；若按本报告第一优先级补齐证据链和复现文档，可提升到 8.4—8.8 / 10；若进一步补齐可交互Demo、开题承诺模型覆盖说明和最终PPT/报告一体化材料，可冲刺 9 分左右。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评分维度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当前预估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主要依据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最关键提分动作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选题价值与问题定义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1.4 / 1.5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研究对象、预测周期、Top-K推荐与组合回测目标明确。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在摘要和报告中突出“排序与收益转化”而非单点误差。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README与选题说明质量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1.2 / 1.5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README已有正式方案、脚本入口和Docker说明，但仍需开题承诺对照与相对路径修正。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补Quick Start、相对链接、模型覆盖状态表。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仓库内容完整度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1.1 / 1.5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文档显示已有脚本、模型、配置、输出目录和Demo说明，但证据索引仍不完整。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补final_delivery_checklist、experiment_result_index、figure_table_index。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技术实现与代码质量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1.1 / 1.5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已有研究入口、提交入口、冻结入口；但还需要模块职责、异常处理和配置校验说明。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补module_responsibility_map、config/schema校验、日志和错误处理说明。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实验设计与评价指标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0.75 /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已覆盖RankIC、Top5、回测、消融、市场阶段等；但开题承诺模型覆盖说明不够完整。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补实验总览表、模型覆盖表、未落地模型原因。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可复现性与运行可用性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0.75 /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README已有训练/推理/冻结/Docker命令；仍需零基础复现路径和环境快照。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补reproducibility_guide、environment_snapshot、最小复现步骤。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创新性与研究深度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0.75 /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从点预测转向排序、回测和阶段诊断，有研究深度。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补模型选择依据和稳定性归因，形成研究发现总结。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展示与交付质量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0.55 / 1.0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已有Demo流程说明，但开题中Notebook/Streamlit承诺与当前CLI材料仍需对齐。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补Streamlit/Notebook或明确CLI等价展示说明与3分钟讲稿。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3. 相比第三个文档，本版新增和强化内容</w:t>
      </w:r>
    </w:p>
    <w:p>
      <w:pPr>
        <w:spacing w:line="283" w:lineRule="auto" w:after="100"/>
      </w:pPr>
      <w:r>
        <w:rPr>
          <w:rFonts w:ascii="Arial" w:hAnsi="Arial" w:eastAsia="Microsoft YaHei"/>
        </w:rPr>
        <w:t>第三个文档已经提出了较完整的项目完善方向，本版在其基础上进一步做了五类增强：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增加“评分维度—当前风险—具体修改文件—验收标准”的闭环，不只提出方向，还明确做到什么算完成。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把开题报告中的承诺拆成可检查条目，避免老师追问时出现“开题写了但仓库里找不到”的扣分点。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把README中已有的正式方案、训练入口、冻结提交、Docker入口整理为可复现路径，并指出需要修正的局部问题。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把新增文档清单扩展为文件级交付表，标明每个文件的目的、建议位置、必写内容和验收方式。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新增可直接复制到README、实验索引和最终交付清单中的模板，便于后续直接落地。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第三个文档已有内容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本版增强方式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最终收益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指出需要补实验总览与结果索引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拆成experiment_result_index、report_figure_table_index、formal_model_summary三类文件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评审能快速定位每个结论对应的数据和图表。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指出要补复现说明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拆成研究复现、提交复现、Docker复现、只看结果四条路径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降低老师或助教复现成本。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指出开题承诺需要对齐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给出模型方向覆盖表和Notebook/Streamlit展示形态说明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减少“承诺未兑现”的扣分。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指出需要展示材料统一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加入3分钟讲稿、PPT提纲、演示顺序页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答辩时更像最终交付项目。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4. 开题承诺与当前材料对齐情况</w:t>
      </w:r>
    </w:p>
    <w:p>
      <w:pPr>
        <w:spacing w:line="283" w:lineRule="auto" w:after="100"/>
      </w:pPr>
      <w:r>
        <w:rPr>
          <w:rFonts w:ascii="Arial" w:hAnsi="Arial" w:eastAsia="Microsoft YaHei"/>
        </w:rPr>
        <w:t>开题报告中明确提出：基于沪深300历史行情预测未来一周收益、生成Top-K股票推荐，并通过Notebook/Streamlit展示模型对比、消融实验、交易成本回测及风险收益指标。README中已经展示了LSTM sl20正式方案、研究入口、提交入口、冻结入口和Docker入口。因此当前重点不是重做研究方向，而是把“承诺—结果—文件—演示”逐项对齐。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开题承诺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当前材料状态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风险等级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需要补齐/修改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沪深300未来一周收益预测与Top-K推荐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README已明确股票池、T+1到T+5收益口径、result.csv输出。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低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在最终报告中把标签口径、输出格式和Top-K推荐链路放在同一节。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多模型对比：ARIMA、LightGBM、XGBoost、LSTM、Transformer等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已有LSTM、LightGBM、XGBoost、线性基线、动量基线的材料；ARIMA/Transformer/TFT/N-HiTS/TSFM尚需说明。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补“模型覆盖状态表”，未做模型要写原因或小规模失败/适用性分析。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消融实验：特征、模型、排序策略、组合权重、交易成本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已有短期特征消融、回测配置和市场阶段分析材料，但需要统一实验索引。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中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补实验设计总览表和结果文件映射。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交易成本回测与风险收益指标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README与报告材料显示已考虑transaction_cost、最大回撤、Sharpe、换手等。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低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补回测口径说明，区分默认配置和低换手配置。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Notebook/Streamlit演示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README当前更偏CLI + Markdown + PNG图表。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补一个最小Streamlit/Notebook；若不补，写明中期阶段以CLI闭环替代，并列后续计划。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Qlib/FinRL参考或baseline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开题提到但README未明确实际落地程度。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中高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补Qlib/FinRL工程可用性说明或小规模流程对照。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可复现代码与材料归档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已有脚本和Docker入口，但还缺环境快照、结果索引和零基础说明。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中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补reproducibility_guide、environment_snapshot和final_delivery_checklist。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5. 按评分维度的完善修改添加建议</w:t>
      </w:r>
    </w:p>
    <w:p>
      <w:pPr>
        <w:pStyle w:val="Heading2"/>
      </w:pPr>
      <w:r>
        <w:rPr>
          <w:rFonts w:ascii="Arial" w:hAnsi="Arial" w:eastAsia="Microsoft YaHei"/>
          <w:color w:val="255279"/>
        </w:rPr>
        <w:t>5.1 选题价值与问题定义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问题定义中应更明确说明本项目不是普通涨跌分类，而是“横截面排序 + Top-K推荐 + 成本后组合收益转化”的任务。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在摘要、研究背景和结论中加入“点预测误差不是唯一目标，RankIC、Top5收益、回测收益才是核心链路”的表述。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最终报告前两页即可看出：研究对象、预测周期、核心评价指标、组合推荐目标和实际输出文件。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5.2 README与项目说明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README中已有大量内容，但仍需从“提交说明”升级为“评审可读的项目说明书”。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增加Quick Start、项目状态表、开题承诺对齐表、结果索引入口；将D:/Desktop等本地绝对路径改为仓库相对路径。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评审打开README后3分钟内能知道：跑什么、看什么、结果在哪里、当前主线为什么是LSTM sl20。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5.3 仓库内容完整度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仓库内容不能只“有脚本”，还要有结果索引、图表索引、交付清单和未完成项说明。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新增app/docs/final_delivery_checklist.md、experiment_result_index.md、opening_report_alignment.md、report_figure_table_index.md。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每张图、每张表、每个结论都能追溯到一个结果文件或脚本。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5.4 技术实现与代码质量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README已有入口脚本，但模块职责、错误处理、配置校验和日志输出仍需文档化。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新增module_responsibility_map.md；在代码中或文档中说明特征工程、训练、推理、回测、冻结提交各模块输入输出。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新人不看源码也能知道每个脚本负责什么，缺文件或配置错误时能看到清楚报错。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5.5 实验设计与评价指标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已有实验较多，但缺少“实验分类—目的—变量—指标—结论”的总览。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新增实验设计总览表、模型覆盖状态表、模型筛选决策表、研究发现总结表。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老师能快速理解为什么不是NDCG/HitRate最高的方案就一定是正式方案。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5.6 可复现性与运行可用性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已有训练/推理/Docker命令，但需要零基础复现路径和环境版本快照。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新增reproducibility_guide.md、environment_snapshot.md；提供研究复现、正式推理复现、Docker复现、只看结果四条路径。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换一台机器后，可按文档在可接受时间内生成result.csv并完成格式校验。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5.7 创新性与研究深度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需要把“sl20为什么成为正式主线、高波动震荡为什么变差、动量基线为什么不入选”写成研究发现。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新增model_selection_rationale.md和research_findings_summary.md。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结论不只是“哪个分数高”，而是能解释模型适用边界和后续优化方向。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5.8 展示与交付质量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类型</w:t>
            </w:r>
          </w:p>
        </w:tc>
        <w:tc>
          <w:tcPr>
            <w:tcW w:type="dxa" w:w="8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需要完善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当前展示更偏CLI和文档，需对齐开题中的Notebook/Streamlit承诺。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建议修改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补最小Streamlit/Notebook演示；若时间不够，补demo_form_evolution_note.md说明从可交互展示调整为CLI闭环展示的原因。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答辩现场能够按“数据输入—训练验证—结果输出—回测图表—提交复现”顺序演示。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6. 必须新增或修改的文件清单</w:t>
      </w:r>
    </w:p>
    <w:p>
      <w:pPr>
        <w:spacing w:line="283" w:lineRule="auto" w:after="100"/>
      </w:pPr>
      <w:r>
        <w:rPr>
          <w:rFonts w:ascii="Arial" w:hAnsi="Arial" w:eastAsia="Microsoft YaHei"/>
        </w:rPr>
        <w:t>以下文件建议作为“高分交付物”的核心补充。文件名可按实际项目目录调整，但建议保持语义清晰。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86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优先级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建议文件/目录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用途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必须包含内容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验收标准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README.md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评审入口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Quick Start、正式方案、开题对照、结果路径、Docker命令、已知限制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第一次打开仓库即可复现主流程。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app/docs/opening_report_alignment.md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开题承诺对照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承诺项、当前状态、证据文件、后续计划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开题报告写过的内容均有回应。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app/docs/experiment_result_index.md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实验结果索引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实验类别、配置、指标、结果文件、图表位置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每个实验结论都可追溯。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app/docs/reproducibility_guide.md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复现指南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研究复现、提交复现、Docker复现、只看结果四条路径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陌生环境可照文档跑通。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app/docs/final_delivery_checklist.md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最终交付清单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代码、模型、图表、报告、PPT、Demo、输出结果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提交前逐项打勾。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app/docs/model_selection_rationale.md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模型选择依据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sl10/sl20/sl30、LightGBM、XGBoost、动量基线、未落地模型原因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解释正式方案选择。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app/docs/module_responsibility_map.md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模块职责图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脚本职责、输入、输出、依赖、失败处理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代码结构可读性增强。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app/docs/environment_snapshot.md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环境快照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Python版本、依赖版本、OS、Docker镜像、硬件说明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复现实验时依赖清楚。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app/docs/report_figure_table_index.md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图表索引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图号、表号、来源文件、生成脚本、插入章节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报告图表不再“孤立”。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app/streamlit_app.py 或 notebooks/demo.ipynb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可交互/可视化Demo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模型对比、Top-K结果、净值曲线、回撤曲线、指标表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对齐开题中的Notebook/Streamlit承诺。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tests/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测试用例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输出格式、权重和、数据泄漏、脚本烟测、配置加载测试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基础功能可自动验证。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7. 实验、测试与结果证据链补强方案</w:t>
      </w:r>
    </w:p>
    <w:p>
      <w:pPr>
        <w:pStyle w:val="Heading2"/>
      </w:pPr>
      <w:r>
        <w:rPr>
          <w:rFonts w:ascii="Arial" w:hAnsi="Arial" w:eastAsia="Microsoft YaHei"/>
          <w:color w:val="255279"/>
        </w:rPr>
        <w:t>7.1 实验设计总览表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实验类别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目的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输入/变化项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核心指标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当前应补内容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主线模型对比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确认正式模型选择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LSTM sl10/sl20/sl30、LightGBM、XGBoost、线性、动量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RankIC、Top5收益、NDCG、HitRate、回测收益、Sharpe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统一表格与模型筛选理由。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特征消融实验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解释特征贡献与噪声来源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去ret_1d、ret_3d、日内收益等短期特征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RankIC均值、第一折RankIC、Top5收益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补消融结论与保留/删除原因。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市场阶段分析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解释稳定性波动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低波动、高波动、趋势、震荡、高波动震荡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阶段RankIC、Top5收益、阶段回测收益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补阶段划分方法和阈值说明。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执行层回测实验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优化收益风险比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risk_adjusted、pred、equal、低换手配置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累计收益、最大回撤、Sharpe、换手率、胜率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突出低换手版本改善收益风险比。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开题承诺模型覆盖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回应开题模型列表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ARIMA、Transformer、TFT、N-HiTS、TSFM、Qlib、FinRL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是否落地、是否出结果、未落地原因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补小规模实验或合理说明。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7.2 建议新增测试用例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测试文件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测试目标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核心检查点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tests/test_result_format.py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校验正式提交结果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列名为stock_id,weight；最多5行；股票代码6位；权重非负；权重和不超过1。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tests/test_feature_no_leakage.py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防止未来信息泄漏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训练特征不包含future_open、target_return等未来字段；特征日期不晚于样本日期。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tests/test_config_loading.py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配置文件健壮性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best_config、default_submission_config、model_meta字段完整，缺失时给出明确错误。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tests/test_submission_smoke.py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最小推理烟测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用小样本跑通featurework predict + test_lstm，输出result.csv。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tests/test_backtest_cost.py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交易成本口径一致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成本参数变化时回测收益方向合理；换手率计算不为异常值。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tests/test_determinism.py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复现一致性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固定seed和冻结模型时，多次生成result.csv一致。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7.3 模型覆盖状态表建议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模型/方向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当前建议状态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是否必须补实验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建议处理方式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LSTM sl20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当前正式主线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是，保留完整证据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保留walk-forward、回测、配置快照、模型选择理由。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LightGBM / XGBoost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机器学习基线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是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保留统一对比表，说明未成为正式候选的原因。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动量基线 / 线性基线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简单基线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是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用于证明深度模型确有收益转化优势。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ARIMA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开题承诺但可能未落地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建议最小实验或说明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可做少量股票单变量对照；若不适合横截面排序，写明原因。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Transformer / TFT / N-HiTS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深度时序备选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建议说明或小规模实验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受时间/数据/工程成本限制可放入后续计划，但要有理由。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TimeGPT / TimesFM / Chronos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TSFM调研方向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建议失败案例/适用性分析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说明API、成本、输入长度、金融横截面排序适配难点。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Qlib / FinRL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流程参考/可选baseline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建议工程分析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明确“参考了什么”或“为何未采用”。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8. README、复现与Demo展示完善方案</w:t>
      </w:r>
    </w:p>
    <w:p>
      <w:pPr>
        <w:pStyle w:val="Heading2"/>
      </w:pPr>
      <w:r>
        <w:rPr>
          <w:rFonts w:ascii="Arial" w:hAnsi="Arial" w:eastAsia="Microsoft YaHei"/>
          <w:color w:val="255279"/>
        </w:rPr>
        <w:t>8.1 README必须修改的地方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问题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修改建议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验收方式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本地绝对路径链接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将D:/Desktop/...替换为相对路径，例如app/docs/demo_3min_main_flow.md。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从GitHub或压缩包打开链接不失效。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Quick Start不够突出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在README前部保留四条核心命令：研究主流程、正式推理、冻结提交、Docker复现。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评审不读长文也能跑主流程。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开题承诺状态未说明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新增“开题承诺对齐”小节，列出已完成、部分完成、后续补齐。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ARIMA/TSFM/Qlib等不再显得缺失。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结果路径分散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新增“结果产物索引”，列出result.csv、模型对比、市场阶段分析、回测结果、图表目录。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报告图表可回到仓库文件。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展示形态需明确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说明当前展示是CLI闭环 + 图表材料；若补Streamlit/Notebook则列运行命令。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开题承诺与当前交付不冲突。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8.2 可复现路径建议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复现路径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适用场景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推荐命令/步骤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预期产物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研究完整复现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需要重跑训练、验证、回测和诊断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bash /app/run_research_pipeline.sh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模型结果、walk-forward结果、回测和诊断文件。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正式推理复现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只验证提交结果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bash /app/run_submission.sh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app/output/result.csv 与 debug_candidates.csv。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冻结提交彩排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提交前最终检查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bash /app/freeze_submission.sh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result_validator、pre_submit_check通过，冻结配置同步。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Docker复现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验证容器交付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docker build -t bdc2026 . &amp;&amp; docker compose up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容器内生成输出结果。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只看结果材料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老师快速浏览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打开中期报告、模型对比图、市场阶段图、结果文件说明页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无需运行即可理解核心结论。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8.3 Demo展示建议</w:t>
      </w:r>
    </w:p>
    <w:p>
      <w:pPr>
        <w:spacing w:line="283" w:lineRule="auto" w:after="100"/>
      </w:pPr>
      <w:r>
        <w:rPr>
          <w:rFonts w:ascii="Arial" w:hAnsi="Arial" w:eastAsia="Microsoft YaHei"/>
        </w:rPr>
        <w:t>最理想的补法是在当前CLI闭环基础上加一个最小Streamlit或Notebook演示，不需要重新训练模型，只读取已经生成的结果文件和图表。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Demo页面/章节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展示内容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数据来源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项目总览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任务、股票池、预测周期、正式方案LSTM sl20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README和model_meta.json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模型对比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LSTM、LightGBM、XGBoost、线性、动量指标表和模型对比图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formal_model_comparison.csv / 图表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稳定性分析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Walk-Forward分折、市场阶段RankIC和Top5收益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market_regime_analysis.md / 图表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组合回测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净值曲线、回撤曲线、不同回测配置对比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backtest_summary.csv / 图表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提交结果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result.csv、Top5股票、权重和、校验结果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app/output/result.csv / pre_submit_check日志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83956"/>
        </w:rPr>
        <w:t>9. 最终报告、PPT与交付材料完善方案</w:t>
      </w:r>
    </w:p>
    <w:p>
      <w:pPr>
        <w:spacing w:line="283" w:lineRule="auto" w:after="100"/>
      </w:pPr>
      <w:r>
        <w:rPr>
          <w:rFonts w:ascii="Arial" w:hAnsi="Arial" w:eastAsia="Microsoft YaHei"/>
        </w:rPr>
        <w:t>最终报告和PPT要避免“材料堆砌”，建议围绕一条主线组织：为什么做这个任务、怎样避免数据泄漏、为什么选择LSTM sl20、模型在什么市场阶段有效、怎样完成可复现提交。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材料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需要完善的内容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建议输出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最终报告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加入开题承诺对齐表、实验总览表、模型筛选理由、复现说明、未完成项说明。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结题报告.docx / PDF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PPT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控制在12—16页，突出任务、方法、实验、回测、Demo、问题与改进。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答辩PPT.pptx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图表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统一字体、图号、标题和配色；每张图都在图表索引里登记来源。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report_figure_table_index.md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演示讲稿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3分钟版本和5分钟版本各一份，避免现场只读README。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final_demo_script.md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最终交付清单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列出代码、模型、结果、文档、图表、PPT、Demo是否齐全。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final_delivery_checklist.md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9.1 推荐PPT结构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封面：项目名称、成员、指导教师。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问题定义：从点预测转向横截面排序与Top-K组合推荐。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数据与标签：沪深300、T+1到T+5收益口径、防泄漏规则。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系统流程：数据处理、训练、验证、回测、冻结提交、Docker复现。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正式方案：LSTM sl20 + base_alpha_v3_rs_crowding_mini4 + risk_adjusted。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模型对比：LSTM、LightGBM、XGBoost、动量和线性基线。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Walk-Forward与市场阶段：解释稳定性来源。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消融实验：短期特征联动与第一折问题。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回测结果：净值、回撤、交易成本、低换手配置。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Demo：主流程命令、结果文件、Docker入口。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问题与改进：未落地模型、Notebook/Streamlit、Qlib/FinRL说明。</w:t>
      </w:r>
    </w:p>
    <w:p>
      <w:pPr>
        <w:pStyle w:val="ListNumber"/>
        <w:spacing w:after="60"/>
      </w:pPr>
      <w:r>
        <w:rPr>
          <w:rFonts w:ascii="Arial" w:hAnsi="Arial" w:eastAsia="Microsoft YaHei"/>
          <w:sz w:val="20"/>
        </w:rPr>
        <w:t>总结：当前成果、可复现交付、后续计划。</w:t>
      </w:r>
    </w:p>
    <w:p>
      <w:pPr>
        <w:pStyle w:val="Heading1"/>
      </w:pPr>
      <w:r>
        <w:rPr>
          <w:rFonts w:ascii="Arial" w:hAnsi="Arial" w:eastAsia="Microsoft YaHei"/>
          <w:color w:val="183956"/>
        </w:rPr>
        <w:t>10. 优先级路线图与验收清单</w:t>
      </w:r>
    </w:p>
    <w:p>
      <w:pPr>
        <w:pStyle w:val="Heading2"/>
      </w:pPr>
      <w:r>
        <w:rPr>
          <w:rFonts w:ascii="Arial" w:hAnsi="Arial" w:eastAsia="Microsoft YaHei"/>
          <w:color w:val="255279"/>
        </w:rPr>
        <w:t>10.1 三阶段路线图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阶段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时间建议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任务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交付物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6"/>
              </w:rPr>
              <w:t>验收标准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第一阶段：证据链补齐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1—2天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补实验总览、结果索引、开题承诺对照、图表索引。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experiment_result_index.md、opening_report_alignment.md、report_figure_table_index.md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报告中的主要结论均能定位到结果文件。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第二阶段：复现与README完善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1—2天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修README、补复现指南、环境快照、相对路径。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README.md、reproducibility_guide.md、environment_snapshot.md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陌生人可按文档运行并生成result.csv。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第三阶段：展示与最终材料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2—3天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补Demo、3分钟讲稿、PPT提纲、最终交付清单。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streamlit_app.py或demo.ipynb、final_demo_script.md、ppt_outline.md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答辩演示形成完整故事线。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10.2 提交前最终验收清单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README首页是否有Quick Start，并且所有路径都是相对路径。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app/output/result.csv是否能由run_submission.sh重新生成。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freeze_submission.sh是否能完成配置同步、推理、格式校验和提交前检查。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Docker build和docker compose up是否能在干净环境中跑通。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模型对比表、回测表、市场阶段分析表是否有对应结果文件。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开题中提到的ARIMA、Transformer、TFT、N-HiTS、TSFM、Qlib/FinRL是否有“已完成/未完成原因/后续计划”的说明。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Notebook/Streamlit若未落地，是否有明确的展示形态调整说明。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最终报告中所有图号、表号、章节引用是否连续且一致。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成员分工是否写真实姓名和具体贡献，不留“成员A/B/C”占位。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最终压缩包是否包含代码、模型、结果、文档、PPT、Demo说明和环境说明。</w:t>
      </w:r>
    </w:p>
    <w:p>
      <w:pPr>
        <w:pStyle w:val="Heading1"/>
      </w:pPr>
      <w:r>
        <w:rPr>
          <w:rFonts w:ascii="Arial" w:hAnsi="Arial" w:eastAsia="Microsoft YaHei"/>
          <w:color w:val="183956"/>
        </w:rPr>
        <w:t>附录：可直接落地的文档模板与README补丁框架</w:t>
      </w:r>
    </w:p>
    <w:p>
      <w:pPr>
        <w:pStyle w:val="Heading2"/>
      </w:pPr>
      <w:r>
        <w:rPr>
          <w:rFonts w:ascii="Arial" w:hAnsi="Arial" w:eastAsia="Microsoft YaHei"/>
          <w:color w:val="255279"/>
        </w:rPr>
        <w:t>附录A：README快速开始建议文本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5F5F5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7"/>
              </w:rPr>
              <w:t>## Quick Start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# 1. 研究主流程：训练、Walk-Forward、回测、诊断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bash /app/run_research_pipeline.sh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# 2. 正式推理：使用冻结模型生成提交文件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bash /app/run_submission.sh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# 3. 冻结提交：同步配置、推理、校验、提交前检查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bash /app/freeze_submission.sh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# 4. Docker复现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docker build -t bdc2026 .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docker compose up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输出文件：app/output/result.csv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校验脚本：python /app/code/src/result_validator.py --result_path /app/output/result.csv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附录B：开题承诺对齐表模板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开题承诺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当前状态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证据文件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7"/>
              </w:rPr>
              <w:t>后续处理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Notebook/Streamlit展示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部分完成/待补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app/docs/demo_3min_main_flow.md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补streamlit_app.py或说明CLI替代方案。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ARIMA/Transformer/TFT/N-HiTS/TSFM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部分完成/待说明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model_selection_rationale.md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补小规模实验或未采用原因。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Qlib/FinRL流程参考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待说明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opening_report_alignment.md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写工程适用性分析。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交易成本回测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backtest_summary.csv / 报告图表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补回测口径说明。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附录C：实验结果索引模板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5"/>
              </w:rPr>
              <w:t>实验名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5"/>
              </w:rPr>
              <w:t>配置/变量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5"/>
              </w:rPr>
              <w:t>输出指标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5"/>
              </w:rPr>
              <w:t>结果文件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183956"/>
                <w:sz w:val="15"/>
              </w:rPr>
              <w:t>报告位置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正式模型对比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LSTM/LightGBM/XGBoost/线性/动量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RankIC、NDCG、HitRate、Top5、Sharpe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app/model/formal_model_comparison/formal_model_comparison.csv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第五章模型对比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Walk-Forward分折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Fold1/Fold2/Fold3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RankIC、Top5平均收益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app/model/.../walk_forward_summary.csv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第五章稳定性分析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市场阶段分析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低波动/高波动/趋势/震荡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阶段RankIC、Top5、回测收益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app/model/market_regime_analysis/market_regime_analysis.md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第五章阶段分析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回测配置对比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risk_adjusted/equal/pred/low_turnover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累计收益、回撤、Sharpe、换手率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app/model/backtest_summary.csv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第六章回测结果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color w:val="255279"/>
        </w:rPr>
        <w:t>附录D：最终交付清单模板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代码：app/code/src/ 与所有运行脚本齐全。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数据说明：输入数据文件、字段、标签构造和防泄漏规则说明齐全。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模型产物：best_config.json、default_submission_config.json、model_meta.json、submission_artifacts/齐全。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结果文件：result.csv、debug_candidates.csv、模型对比、回测、阶段分析结果齐全。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文档：README、复现指南、环境快照、实验索引、图表索引、开题对照齐全。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展示：中期/结题报告、PPT、Demo讲稿、流程图和关键命令页齐全。</w:t>
      </w:r>
    </w:p>
    <w:p>
      <w:pPr>
        <w:pStyle w:val="ListBullet"/>
        <w:spacing w:after="60"/>
      </w:pPr>
      <w:r>
        <w:rPr>
          <w:rFonts w:ascii="Arial" w:hAnsi="Arial" w:eastAsia="Microsoft YaHei"/>
          <w:sz w:val="20"/>
        </w:rPr>
        <w:t>□ 复现：本地命令和Docker命令均已跑通并保存日志。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787878"/>
        <w:sz w:val="16"/>
      </w:rPr>
      <w:t>项目完善修改添加建议报告（第三文档完善版）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