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Use case: Communication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Scope: Flash point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Level: subfunction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Intention in context: Player to communicate with his teammates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Primary actor: Player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Secondary actors: Player(Teammates)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Multiplicity: several users can communicate simultaneously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Main success scenario: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player performs one of the following: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u w:val="single"/>
          <w:rtl w:val="0"/>
        </w:rPr>
        <w:t xml:space="preserve">text communication,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u w:val="single"/>
          <w:rtl w:val="0"/>
        </w:rPr>
        <w:t xml:space="preserve">voice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2.</w:t>
        <w:tab/>
        <w:t xml:space="preserve">System publishes the message to all players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Use case: TextCommunication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Scope: Flash point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Level: subfunction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Intention in context: Player to communicate with his teammates in text message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Primary actor: Player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Main success scenario: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Player enters the text message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System receives the message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1a. Player is muted, use case ends.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1b. Player enters empty string, use case ends.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1c. Player enters mature text, the text is replaced by “*” (extra feature)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Use case: VoiceCommunication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Scope: Flash point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Level: subfunction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Intention in context: Player to communicate with his teammates in voice.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Primary actor: Player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Main success scenario: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speaks to the microphone.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receives the voice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1a. If no recording device is detected, use case ends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1b. If player is muted, use case ends.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