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Default Extension="bmp" ContentType="image/bmp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pacing w:before="3600"/>
      </w:pPr>
    </w:p>
    <w:p>
      <w:pPr>
        <w:pStyle w:val="Title"/>
        <w:jc w:val="center"/>
      </w:pPr>
      <w:r>
        <w:t xml:space="preserve">2026 年上半年经营分析报告</w:t>
      </w:r>
    </w:p>
    <w:p>
      <w:pPr>
        <w:pStyle w:val="Subtitle"/>
        <w:jc w:val="center"/>
      </w:pPr>
      <w:r>
        <w:t xml:space="preserve">提交：董事会</w:t>
      </w:r>
    </w:p>
    <w:p>
      <w:pPr>
        <w:spacing w:before="2400"/>
        <w:jc w:val="center"/>
      </w:pPr>
      <w:r>
        <w:rPr>
          <w:color w:val="808080"/>
          <w:sz w:val="24"/>
        </w:rPr>
        <w:t>经营分析组　2026-09-13</w:t>
      </w:r>
    </w:p>
    <w:p>
      <w:r>
        <w:br w:type="page"/>
      </w:r>
    </w:p>
    <w:p>
      <w:pPr>
        <w:pStyle w:val="TOCHeading"/>
        <w:jc w:val="center"/>
      </w:pPr>
      <w:r>
        <w:t>目　录</w:t>
      </w:r>
    </w:p>
    <w:p>
      <w:pPr>
        <w:tabs>
          <w:tab w:val="right" w:leader="dot" w:pos="9026"/>
        </w:tabs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（打开文档后右键此处，选择"更新域"即可生成目录）</w:t>
      </w:r>
      <w:r>
        <w:fldChar w:fldCharType="end"/>
      </w:r>
    </w:p>
    <w:p>
      <w:r>
        <w:br w:type="page"/>
      </w:r>
    </w:p>
    <w:p>
      <w:pPr>
        <w:pStyle w:val="Heading1"/>
        <w:keepNext/>
      </w:pPr>
      <w:r>
        <w:t xml:space="preserve">一、总体经营情况</w:t>
      </w:r>
    </w:p>
    <w:p>
      <w:pPr>
        <w:ind w:firstLineChars="200" w:firstLine="480"/>
        <w:spacing w:after="120"/>
      </w:pPr>
      <w:r>
        <w:t xml:space="preserve">上半年营收 </w:t>
      </w:r>
      <w:r>
        <w:rPr>
          <w:b/>
          <w:bCs/>
        </w:rPr>
        <w:t xml:space="preserve">1.2 亿元</w:t>
      </w:r>
      <w:r>
        <w:t xml:space="preserve">，同比 </w:t>
      </w:r>
      <w:r>
        <w:rPr>
          <w:i/>
          <w:iCs/>
        </w:rPr>
        <w:t xml:space="preserve">+18%</w:t>
      </w:r>
      <w:r>
        <w:t xml:space="preserve">，主要来自华东区。行内代码 </w:t>
      </w:r>
      <w:r>
        <w:rPr>
          <w:rStyle w:val="CodeChar"/>
        </w:rPr>
        <w:t xml:space="preserve">WORK_DOC_MAX</w:t>
      </w:r>
      <w:r>
        <w:t xml:space="preserve">、链接 </w:t>
      </w:r>
      <w:hyperlink r:id="rId2" w:history="1">
        <w:r>
          <w:t xml:space="preserve">财务中台</w:t>
        </w:r>
      </w:hyperlink>
      <w:r>
        <w:t xml:space="preserve">、公式 </w:t>
      </w:r>
      <w:r>
        <m:oMath>
          <m:r>
            <m:t xml:space="preserve">E</m:t>
          </m:r>
          <m:r>
            <m:t xml:space="preserve">=</m:t>
          </m:r>
          <m:r>
            <m:t xml:space="preserve">m</m:t>
          </m:r>
          <m:sSup>
            <m:e>
              <m:r>
                <m:t xml:space="preserve">c</m:t>
              </m:r>
            </m:e>
            <m:sup>
              <m:r>
                <m:t xml:space="preserve">2</m:t>
              </m:r>
            </m:sup>
          </m:sSup>
        </m:oMath>
      </w:r>
      <w:r>
        <w:t xml:space="preserve"> 均支持。</w:t>
      </w:r>
    </w:p>
    <w:p>
      <w:pPr>
        <w:jc w:val="center"/>
        <w:spacing w:before="120" w:after="120"/>
      </w:pPr>
      <w:r>
        <w:drawing>
          <wp:inline distT="0" distB="0" distL="0" distR="0">
            <wp:extent cx="4585335" cy="3439160"/>
            <wp:effectExtent l="0" t="0" r="0" b="0"/>
            <wp:docPr id="1" name="图片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片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8533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 1 月度营收趋势（来源：财务中台）</w:t>
      </w:r>
    </w:p>
    <w:p>
      <w:pPr>
        <w:pStyle w:val="Heading2"/>
        <w:keepNext/>
      </w:pPr>
      <w:r>
        <w:t xml:space="preserve">1.1 分渠道表现</w:t>
      </w:r>
    </w:p>
    <w:p>
      <w:pPr>
        <w:pStyle w:val="Caption"/>
        <w:jc w:val="center"/>
      </w:pPr>
      <w:r>
        <w:t xml:space="preserve">表 1 核心指标（来源：财务中台）</w:t>
      </w:r>
    </w:p>
    <w:tbl>
      <w:tblPr>
        <w:tblW w:w="902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08"/>
        <w:gridCol w:w="3008"/>
        <w:gridCol w:w="3008"/>
      </w:tblGrid>
      <w:tr>
        <w:tc>
          <w:tcPr>
            <w:tcW w:w="3008" w:type="dxa"/>
            <w:vAlign w:val="center"/>
            <w:shd w:val="clear" w:color="auto" w:fill="DEEAF6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渠道</w:t>
            </w:r>
          </w:p>
        </w:tc>
        <w:tc>
          <w:tcPr>
            <w:tcW w:w="3008" w:type="dxa"/>
            <w:vAlign w:val="center"/>
            <w:shd w:val="clear" w:color="auto" w:fill="DEEAF6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营收</w:t>
            </w:r>
          </w:p>
        </w:tc>
        <w:tc>
          <w:tcPr>
            <w:tcW w:w="3008" w:type="dxa"/>
            <w:vAlign w:val="center"/>
            <w:shd w:val="clear" w:color="auto" w:fill="DEEAF6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同比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20" w:after="20"/>
            </w:pPr>
            <w:r>
              <w:t xml:space="preserve">线上</w:t>
            </w:r>
          </w:p>
        </w:tc>
        <w:tc>
          <w:tcPr>
            <w:tcW w:w="3008" w:type="dxa"/>
            <w:vAlign w:val="center"/>
          </w:tcPr>
          <w:p>
            <w:pPr>
              <w:spacing w:before="20" w:after="20"/>
            </w:pPr>
            <w:r>
              <w:t xml:space="preserve">7,000 万</w:t>
            </w:r>
          </w:p>
        </w:tc>
        <w:tc>
          <w:tcPr>
            <w:tcW w:w="3008" w:type="dxa"/>
            <w:vAlign w:val="center"/>
          </w:tcPr>
          <w:p>
            <w:pPr>
              <w:spacing w:before="20" w:after="20"/>
            </w:pPr>
            <w:r>
              <w:t xml:space="preserve">+22%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20" w:after="20"/>
            </w:pPr>
            <w:r>
              <w:t xml:space="preserve">线下</w:t>
            </w:r>
          </w:p>
        </w:tc>
        <w:tc>
          <w:tcPr>
            <w:tcW w:w="3008" w:type="dxa"/>
            <w:vAlign w:val="center"/>
          </w:tcPr>
          <w:p>
            <w:pPr>
              <w:spacing w:before="20" w:after="20"/>
            </w:pPr>
            <w:r>
              <w:t xml:space="preserve">5,000 万</w:t>
            </w:r>
          </w:p>
        </w:tc>
        <w:tc>
          <w:tcPr>
            <w:tcW w:w="3008" w:type="dxa"/>
            <w:vAlign w:val="center"/>
          </w:tcPr>
          <w:p>
            <w:pPr>
              <w:spacing w:before="20" w:after="20"/>
            </w:pPr>
            <w:r>
              <w:t xml:space="preserve">+11%</w:t>
            </w:r>
          </w:p>
        </w:tc>
      </w:tr>
    </w:tbl>
    <w:p>
      <w:pPr>
        <w:spacing w:after="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直播带货 GMV </w:t>
      </w:r>
      <w:r>
        <w:rPr>
          <w:b/>
          <w:bCs/>
        </w:rPr>
        <w:t xml:space="preserve">2,300 万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新开门店 12 家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其中华东 5 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第一步梳理口径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第二步复核数据</w:t>
      </w:r>
    </w:p>
    <w:p>
      <w:pPr>
        <w:pStyle w:val="Heading3"/>
        <w:keepNext/>
      </w:pPr>
      <w:r>
        <w:t xml:space="preserve">1.1.1 数据口径说明</w:t>
      </w:r>
    </w:p>
    <w:p>
      <w:pPr>
        <w:pStyle w:val="Quote"/>
      </w:pPr>
      <w:r>
        <w:t xml:space="preserve">增长的本质是复利，而复利来自纪律。</w:t>
      </w:r>
    </w:p>
    <w:p>
      <w:pPr>
        <w:pStyle w:val="CodeBlock"/>
      </w:pPr>
      <w:r>
        <w:rPr>
          <w:rStyle w:val="CodeChar"/>
        </w:rPr>
        <w:t xml:space="preserve">const total = 1.2e8;</w:t>
      </w:r>
    </w:p>
    <w:p>
      <w:pPr>
        <w:pStyle w:val="CodeBlock"/>
      </w:pPr>
      <w:r>
        <w:rPr>
          <w:rStyle w:val="CodeChar"/>
        </w:rPr>
        <w:t xml:space="preserve">console.log(total);</w:t>
      </w:r>
    </w:p>
    <w:p>
      <w:pPr>
        <w:pBdr>
          <w:bottom w:val="single" w:sz="6" w:space="1" w:color="BFBFBF"/>
        </w:pBdr>
        <w:spacing w:before="60" w:after="60"/>
      </w:pPr>
    </w:p>
    <w:p>
      <w:pPr>
        <w:ind w:firstLineChars="200" w:firstLine="480"/>
        <w:spacing w:after="120"/>
      </w:pPr>
      <w:r>
        <w:t xml:space="preserve">下图是内联图片：</w:t>
      </w:r>
      <w:r>
        <w:drawing>
          <wp:inline distT="0" distB="0" distL="0" distR="0">
            <wp:extent cx="1524000" cy="1143000"/>
            <wp:effectExtent l="0" t="0" r="0" b="0"/>
            <wp:docPr id="2" name="图片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片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展示在段落中间。</w:t>
      </w:r>
    </w:p>
    <w:p>
      <w:pPr>
        <w:pStyle w:val="Heading1"/>
        <w:keepNext/>
      </w:pPr>
      <w:r>
        <w:t xml:space="preserve">二、问题与下一步</w:t>
      </w:r>
    </w:p>
    <w:p>
      <w:pPr>
        <w:ind w:firstLineChars="200" w:firstLine="480"/>
        <w:spacing w:after="120"/>
      </w:pPr>
      <w:r>
        <w:t xml:space="preserve">华北未达标，需专项跟进。</w:t>
      </w:r>
    </w:p>
    <w:p>
      <w:r>
        <w:br w:type="page"/>
      </w:r>
    </w:p>
    <w:p>
      <w:pPr>
        <w:pStyle w:val="Heading1"/>
        <w:keepNext/>
      </w:pPr>
      <w:r>
        <w:t xml:space="preserve">三、附录</w:t>
      </w:r>
    </w:p>
    <w:p>
      <w:pPr>
        <w:ind w:firstLineChars="200" w:firstLine="480"/>
        <w:spacing w:after="120"/>
      </w:pPr>
      <w:r>
        <w:t xml:space="preserve">附录内容。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850" w:hanging="425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67" w:hanging="283"/>
      </w:pPr>
    </w:lvl>
    <w:lvl w:ilvl="1">
      <w:start w:val="1"/>
      <w:numFmt w:val="decimal"/>
      <w:lvlText w:val="%2."/>
      <w:lvlJc w:val="left"/>
      <w:pPr>
        <w:ind w:left="850" w:hanging="425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  <w:lang w:val="en-US" w:eastAsia="zh-CN" w:bidi="ar-SA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uiPriority w:val="10"/>
    <w:pPr>
      <w:spacing w:before="240" w:after="240"/>
      <w:jc w:val="center"/>
    </w:pPr>
    <w:rPr>
      <w:rFonts w:asciiTheme="majorHAnsi" w:hAnsiTheme="majorHAnsi" w:eastAsia="黑体"/>
      <w:b/>
      <w:bCs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uiPriority w:val="11"/>
    <w:pPr>
      <w:spacing w:before="120" w:after="120"/>
      <w:jc w:val="center"/>
    </w:pPr>
    <w:rPr>
      <w:color w:val="595959"/>
      <w:sz w:val="28"/>
      <w:szCs w:val="28"/>
    </w:rPr>
  </w:style>
  <w:style w:type="paragraph" w:styleId="TOCHeading">
    <w:name w:val="TOCHeading"/>
    <w:basedOn w:val="Normal"/>
    <w:qFormat/>
    <w:uiPriority w:val="12"/>
    <w:pPr>
      <w:spacing w:before="240" w:after="240"/>
      <w:jc w:val="center"/>
    </w:pPr>
    <w:rPr>
      <w:rFonts w:asciiTheme="majorHAnsi" w:hAnsiTheme="majorHAnsi" w:eastAsia="黑体"/>
      <w:b/>
      <w:bCs/>
      <w:color w:val="1F4E79"/>
      <w:sz w:val="32"/>
      <w:szCs w:val="32"/>
    </w:rPr>
  </w:style>
  <w:style w:type="paragraph" w:styleId="Heading1">
    <w:name w:val="heading 1"/>
    <w:basedOn w:val="Normal"/>
    <w:next w:val="Normal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="黑体"/>
      <w:b/>
      <w:bCs/>
      <w:color w:val="1F4E79"/>
      <w:sz w:val="44"/>
      <w:szCs w:val="44"/>
    </w:rPr>
  </w:style>
  <w:style w:type="paragraph" w:styleId="Heading2">
    <w:name w:val="heading 2"/>
    <w:basedOn w:val="Normal"/>
    <w:next w:val="Normal"/>
    <w:qFormat/>
    <w:uiPriority w:val="9"/>
    <w:pPr>
      <w:keepNext/>
      <w:keepLines/>
      <w:spacing w:before="360" w:after="120"/>
      <w:outlineLvl w:val="1"/>
    </w:pPr>
    <w:rPr>
      <w:rFonts w:asciiTheme="majorHAnsi" w:hAnsiTheme="majorHAnsi" w:eastAsia="黑体"/>
      <w:b/>
      <w:bCs/>
      <w:color w:val="2E74B5"/>
      <w:sz w:val="36"/>
      <w:szCs w:val="36"/>
    </w:rPr>
  </w:style>
  <w:style w:type="paragraph" w:styleId="Heading3">
    <w:name w:val="heading 3"/>
    <w:basedOn w:val="Normal"/>
    <w:next w:val="Normal"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="黑体"/>
      <w:b/>
      <w:bCs/>
      <w:color w:val="2E74B5"/>
      <w:sz w:val="32"/>
      <w:szCs w:val="32"/>
    </w:rPr>
  </w:style>
  <w:style w:type="paragraph" w:styleId="Heading4">
    <w:name w:val="heading 4"/>
    <w:basedOn w:val="Normal"/>
    <w:next w:val="Normal"/>
    <w:qFormat/>
    <w:uiPriority w:val="9"/>
    <w:pPr>
      <w:keepNext/>
      <w:keepLines/>
      <w:spacing w:before="240" w:after="120"/>
      <w:outlineLvl w:val="3"/>
    </w:pPr>
    <w:rPr>
      <w:rFonts w:asciiTheme="majorHAnsi" w:hAnsiTheme="majorHAnsi" w:eastAsia="黑体"/>
      <w:b/>
      <w:bCs/>
      <w:color w:val="44546A"/>
      <w:sz w:val="28"/>
      <w:szCs w:val="28"/>
    </w:rPr>
  </w:style>
  <w:style w:type="paragraph" w:styleId="Heading5">
    <w:name w:val="heading 5"/>
    <w:basedOn w:val="Normal"/>
    <w:next w:val="Normal"/>
    <w:qFormat/>
    <w:uiPriority w:val="9"/>
    <w:pPr>
      <w:keepNext/>
      <w:keepLines/>
      <w:spacing w:before="240" w:after="120"/>
      <w:outlineLvl w:val="4"/>
    </w:pPr>
    <w:rPr>
      <w:rFonts w:asciiTheme="majorHAnsi" w:hAnsiTheme="majorHAnsi" w:eastAsia="黑体"/>
      <w:b/>
      <w:bCs/>
      <w:color w:val="44546A"/>
      <w:sz w:val="26"/>
      <w:szCs w:val="26"/>
    </w:rPr>
  </w:style>
  <w:style w:type="paragraph" w:styleId="Heading6">
    <w:name w:val="heading 6"/>
    <w:basedOn w:val="Normal"/>
    <w:next w:val="Normal"/>
    <w:qFormat/>
    <w:uiPriority w:val="9"/>
    <w:pPr>
      <w:keepNext/>
      <w:keepLines/>
      <w:spacing w:before="240" w:after="120"/>
      <w:outlineLvl w:val="5"/>
    </w:pPr>
    <w:rPr>
      <w:rFonts w:asciiTheme="majorHAnsi" w:hAnsiTheme="majorHAnsi" w:eastAsia="黑体"/>
      <w:b/>
      <w:bCs/>
      <w:color w:val="44546A"/>
      <w:sz w:val="24"/>
      <w:szCs w:val="24"/>
    </w:rPr>
  </w:style>
  <w:style w:type="paragraph" w:styleId="Caption">
    <w:name w:val="Caption"/>
    <w:basedOn w:val="Normal"/>
    <w:qFormat/>
    <w:uiPriority w:val="13"/>
    <w:pPr>
      <w:spacing w:before="60" w:after="120"/>
      <w:jc w:val="center"/>
    </w:pPr>
    <w:rPr>
      <w:color w:val="808080"/>
      <w:sz w:val="21"/>
      <w:szCs w:val="21"/>
    </w:rPr>
  </w:style>
  <w:style w:type="paragraph" w:styleId="Quote">
    <w:name w:val="Quote"/>
    <w:basedOn w:val="Normal"/>
    <w:qFormat/>
    <w:uiPriority w:val="15"/>
    <w:pPr>
      <w:spacing w:before="60" w:after="60"/>
      <w:ind w:left="425"/>
      <w:pBdr>
        <w:left w:val="single" w:sz="12" w:space="8" w:color="9E9E9E"/>
      </w:pBdr>
    </w:pPr>
    <w:rPr>
      <w:color w:val="616161"/>
    </w:rPr>
  </w:style>
  <w:style w:type="paragraph" w:styleId="CodeBlock">
    <w:name w:val="CodeBlock"/>
    <w:basedOn w:val="Normal"/>
    <w:qFormat/>
    <w:uiPriority w:val="16"/>
    <w:pPr>
      <w:spacing w:before="0" w:after="0" w:line="240" w:lineRule="auto"/>
      <w:ind w:left="140" w:right="140"/>
      <w:shd w:val="clear" w:color="auto" w:fill="F5F5F5"/>
    </w:pPr>
  </w:style>
  <w:style w:type="paragraph" w:styleId="ListParagraph">
    <w:name w:val="ListParagraph"/>
    <w:basedOn w:val="Normal"/>
    <w:uiPriority w:val="17"/>
    <w:pPr>
      <w:ind w:left="567" w:hanging="283"/>
    </w:pPr>
  </w:style>
  <w:style w:type="character" w:styleId="CodeChar">
    <w:name w:val="CodeChar"/>
    <w:basedOn w:val="DefaultParagraphFont"/>
    <w:uiPriority w:val="19"/>
    <w:rPr>
      <w:rFonts w:ascii="Consolas" w:hAnsi="Consolas" w:eastAsia="宋体"/>
      <w:sz w:val="21"/>
      <w:szCs w:val="21"/>
      <w:color w:val="C7254E"/>
      <w:shd w:val="clear" w:color="auto" w:fill="F3EFF4"/>
    </w:rPr>
  </w:style>
  <w:style w:type="character" w:styleId="Hyperlink">
    <w:name w:val="Hyperlink"/>
    <w:basedOn w:val="DefaultParagraphFont"/>
    <w:uiPriority w:val="20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1" Type="http://schemas.openxmlformats.org/officeDocument/2006/relationships/image" Target="media/image0.png"/><Relationship Id="rId2" Type="http://schemas.openxmlformats.org/officeDocument/2006/relationships/hyperlink" Target="https://example.com/report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Guncat Work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年上半年经营分析报告</dc:title>
  <dc:creator>经营分析组</dc:creator>
  <cp:lastModifiedBy>Guncat Work</cp:lastModifiedBy>
  <dcterms:created xsi:type="dcterms:W3CDTF">2026-09-13T09:55:31Z</dcterms:created>
  <dcterms:modified xsi:type="dcterms:W3CDTF">2026-09-13T09:55:31Z</dcterms:modified>
</cp:coreProperties>
</file>