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坐席管理客户端开发计划安排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3"/>
        <w:gridCol w:w="1525"/>
        <w:gridCol w:w="1314"/>
        <w:gridCol w:w="2860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shd w:val="clear" w:color="auto" w:fill="4F81BD"/>
            <w:noWrap w:val="0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1525" w:type="dxa"/>
            <w:shd w:val="clear" w:color="auto" w:fill="4F81BD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功能模块</w:t>
            </w:r>
          </w:p>
        </w:tc>
        <w:tc>
          <w:tcPr>
            <w:tcW w:w="1314" w:type="dxa"/>
            <w:shd w:val="clear" w:color="auto" w:fill="4F81BD"/>
            <w:noWrap w:val="0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预估完成时间</w:t>
            </w:r>
          </w:p>
        </w:tc>
        <w:tc>
          <w:tcPr>
            <w:tcW w:w="2860" w:type="dxa"/>
            <w:shd w:val="clear" w:color="auto" w:fill="4F81BD"/>
            <w:noWrap w:val="0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备注/说明</w:t>
            </w:r>
          </w:p>
        </w:tc>
        <w:tc>
          <w:tcPr>
            <w:tcW w:w="1528" w:type="dxa"/>
            <w:shd w:val="clear" w:color="auto" w:fill="4F81BD"/>
            <w:noWrap w:val="0"/>
            <w:vAlign w:val="center"/>
          </w:tcPr>
          <w:p>
            <w:pPr>
              <w:jc w:val="center"/>
              <w:rPr>
                <w:rFonts w:hint="default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color w:val="FFFFFF"/>
                <w:sz w:val="28"/>
                <w:szCs w:val="28"/>
                <w:vertAlign w:val="baseline"/>
                <w:lang w:val="en-US" w:eastAsia="zh-CN"/>
              </w:rPr>
              <w:t>项目状态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bidi w:val="0"/>
              <w:jc w:val="left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UDP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UDP通信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20210517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UDP组播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UDP组播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20210517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设备查找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查找设备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20210520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搜索网络节点设备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TCP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TCP基础通信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20210521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鲲鹏接口对接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TCP控制设备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20210521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通过TCP通信对鲲鹏节点设备进行管理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主界面UI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20210524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设备列表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20210525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用户操作界面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20210526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用户通过这个界面对这杯进行管理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UI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界面美化</w:t>
            </w: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20210527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测试</w:t>
            </w: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>20210528</w:t>
            </w: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  <w:t xml:space="preserve"> 发布测试版本</w:t>
            </w: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3" w:type="dxa"/>
            <w:noWrap w:val="0"/>
            <w:vAlign w:val="center"/>
          </w:tcPr>
          <w:p>
            <w:pPr>
              <w:jc w:val="left"/>
              <w:rPr>
                <w:rFonts w:hint="default" w:ascii="微软雅黑 Light" w:hAnsi="微软雅黑 Light" w:eastAsia="微软雅黑 Light" w:cs="微软雅黑 Ligh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525" w:type="dxa"/>
            <w:noWrap w:val="0"/>
            <w:vAlign w:val="center"/>
          </w:tcPr>
          <w:p>
            <w:pPr>
              <w:bidi w:val="0"/>
              <w:jc w:val="left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31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2860" w:type="dxa"/>
            <w:noWrap w:val="0"/>
            <w:vAlign w:val="center"/>
          </w:tcPr>
          <w:p>
            <w:pPr>
              <w:bidi w:val="0"/>
              <w:rPr>
                <w:rFonts w:hint="default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  <w:tc>
          <w:tcPr>
            <w:tcW w:w="1528" w:type="dxa"/>
            <w:noWrap w:val="0"/>
            <w:vAlign w:val="center"/>
          </w:tcPr>
          <w:p>
            <w:pPr>
              <w:bidi w:val="0"/>
              <w:rPr>
                <w:rFonts w:hint="eastAsia" w:ascii="微软雅黑 Light" w:hAnsi="微软雅黑 Light" w:eastAsia="微软雅黑 Light" w:cs="微软雅黑 Light"/>
                <w:sz w:val="24"/>
                <w:szCs w:val="24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2717CC"/>
    <w:rsid w:val="5C7F365C"/>
    <w:rsid w:val="7A99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2021-05-21T09:01:00Z</dcterms:created>
  <dc:creator>m</dc:creator>
  <cp:lastModifiedBy>M</cp:lastModifiedBy>
  <dcterms:modified xsi:type="dcterms:W3CDTF">2021-05-21T09:24:28Z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E0C141BDDCD345C1B0C91DE6E2AF64E6</vt:lpwstr>
  </property>
</Properties>
</file>