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TXT、DOCX、CSV/TSV、CoNLL-U、TMX；文档级元数据（标题、语言、体裁、年代、来源、自定义字段）；按元数据筛出子库并保存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词云或条形图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 或 HanLP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corpora.list、subcorpora.create、corpus.search、corpus.context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annot.layers、annot.preannotate、annot.list、annot.search、annot.stats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kb.search、kb.save、kb.extract_terms、kb.summarize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export.create、notes.save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 模型（Stanza 中英、HanLP 可选）随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cancelled；进度为已处理数与总数；失败保留错误原因，用户可重试。页面轮询或 SSE 显示进度。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成员、角色、模型配置（管理员）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+ 顶部范围（当前项目、当前语料库或子库）+ 主区。视觉一次定稿，中性配色，不做多轮配色迭代。页面覆盖正常、空、处理中、失败四种状态。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初始提交存档与旧文档迁入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尚待确认。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对话与向量模型的具体服务地址和模型名由用户提供。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HanLP 是否纳入首版，取决于中文分词词性质量对比。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2026-10-27T08:11:48.340Z</dcterms:created>
  <dcterms:modified xsi:type="dcterms:W3CDTF">2026-10-27T08:11:48.341Z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