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学生语料与翻译研究工作台</w:t>
        <w:br/>
        <w:t>产品设计</w:t>
      </w:r>
    </w:p>
    <w:p>
      <w:r>
        <w:rPr>
          <w:b/>
        </w:rPr>
        <w:t>产品首先服务外语与翻译专业学生、语言学研究生。学生可以导入自己的材料，查找例句、分析词语用法、比较文本，并整理原文与译文。每次分析都保留来源和计算条件，方便核对、修改和再次使用。</w:t>
      </w:r>
    </w:p>
    <w:p>
      <w:pPr>
        <w:pStyle w:val="Heading2"/>
      </w:pPr>
      <w:r>
        <w:t>一 产品目标</w:t>
      </w:r>
    </w:p>
    <w:p>
      <w:r>
        <w:rPr>
          <w:b w:val="0"/>
        </w:rPr>
        <w:t>学生能够独立完成两类任务：一是把材料整理为可分析的语料，并生成有出处的统计结果；二是把原文与译文整理为可以继续使用的双语材料。Agent 作为操作助手，帮助选择工具和解释结果。</w:t>
      </w:r>
    </w:p>
    <w:p>
      <w:pPr>
        <w:pStyle w:val="Heading2"/>
      </w:pPr>
      <w:r>
        <w:t>首版设计取舍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7824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EEEEE"/>
          </w:tcPr>
          <w:p>
            <w:pPr>
              <w:spacing w:after="0" w:line="269" w:lineRule="auto"/>
              <w:jc w:val="center"/>
            </w:pPr>
            <w:r>
              <w:rPr>
                <w:b/>
                <w:sz w:val="21"/>
              </w:rPr>
              <w:t>项目</w:t>
            </w:r>
          </w:p>
        </w:tc>
        <w:tc>
          <w:tcPr>
            <w:tcW w:type="dxa" w:w="78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EEEEE"/>
          </w:tcPr>
          <w:p>
            <w:pPr>
              <w:spacing w:after="0" w:line="269" w:lineRule="auto"/>
            </w:pPr>
            <w:r>
              <w:rPr>
                <w:b/>
                <w:sz w:val="21"/>
              </w:rPr>
              <w:t>首版方案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21"/>
              </w:rPr>
              <w:t>目标用户</w:t>
            </w:r>
          </w:p>
        </w:tc>
        <w:tc>
          <w:tcPr>
            <w:tcW w:type="dxa" w:w="78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外语与翻译专业学生、语言学研究生；围绕课程作业、翻译实践和论文研究。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21"/>
              </w:rPr>
              <w:t>语言范围</w:t>
            </w:r>
          </w:p>
        </w:tc>
        <w:tc>
          <w:tcPr>
            <w:tcW w:type="dxa" w:w="78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中文和英文；其他语言允许保存原文，暂不承诺分词、统计和对齐质量。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21"/>
              </w:rPr>
              <w:t>使用方式</w:t>
            </w:r>
          </w:p>
        </w:tc>
        <w:tc>
          <w:tcPr>
            <w:tcW w:type="dxa" w:w="78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建议优先交付 Windows 本地桌面版。资料、索引与统计保存在本机，AI 功能按项目授权联网。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21"/>
              </w:rPr>
              <w:t>核心交付</w:t>
            </w:r>
          </w:p>
        </w:tc>
        <w:tc>
          <w:tcPr>
            <w:tcW w:type="dxa" w:w="78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例句表、词频与共现表、分组比较表、双语对照表、术语表和分析记录。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21"/>
              </w:rPr>
              <w:t>首版边界</w:t>
            </w:r>
          </w:p>
        </w:tc>
        <w:tc>
          <w:tcPr>
            <w:tcW w:type="dxa" w:w="78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单人项目、手工导入、固定 Agent 流程；学校管理、云端协作和商业数据库接入后续单列。</w:t>
            </w:r>
          </w:p>
        </w:tc>
      </w:tr>
    </w:tbl>
    <w:p>
      <w:pPr>
        <w:spacing w:after="0"/>
      </w:pPr>
    </w:p>
    <w:p>
      <w:pPr>
        <w:pStyle w:val="Heading2"/>
      </w:pPr>
      <w:r>
        <w:t>首版必须守住的规则</w:t>
      </w:r>
    </w:p>
    <w:p>
      <w:r>
        <w:rPr>
          <w:b w:val="0"/>
        </w:rPr>
        <w:t>统计数字由程序计算。例句能够回到原文。机器提出的双语对应关系经学生确认后才进入正式库。AI 功能关闭时，导入、检索、统计、人工对齐和导出仍然可用。</w:t>
      </w:r>
    </w:p>
    <w:p>
      <w:r>
        <w:rPr>
          <w:b w:val="0"/>
        </w:rPr>
        <w:t>目标用户已确定；部署方式和以下功能规则作为首版开发建议。开发排期应在导入样本和性能验证通过后确定。</w:t>
      </w:r>
    </w:p>
    <w:p>
      <w:r>
        <w:br w:type="page"/>
      </w:r>
    </w:p>
    <w:p>
      <w:pPr>
        <w:pStyle w:val="Heading1"/>
      </w:pPr>
      <w:r>
        <w:t>二 学生的任务与使用流程</w:t>
      </w:r>
    </w:p>
    <w:p>
      <w:pPr>
        <w:pStyle w:val="Heading2"/>
      </w:pPr>
      <w:r>
        <w:t>语言研究流程</w:t>
      </w:r>
    </w:p>
    <w:p>
      <w:r>
        <w:rPr>
          <w:b w:val="0"/>
        </w:rPr>
        <w:t>示例任务：比较两组英文旅游介绍中某个词的使用情况。学生建立项目，导入材料并划分 A 组和 B 组，检查文本提取结果，再搜索关键词、查看上下文，运行词频和共现统计，最后导出结果。</w:t>
      </w:r>
    </w:p>
    <w:p>
      <w:r>
        <w:rPr>
          <w:b w:val="0"/>
        </w:rPr>
        <w:t>完成标志：学生可以说明用了哪些材料、某个词出现了多少次、计算时排除了哪些内容，并从导出的例句找到对应原文。解释中的推测与统计结果分开呈现。</w:t>
      </w:r>
    </w:p>
    <w:p>
      <w:pPr>
        <w:pStyle w:val="Heading2"/>
      </w:pPr>
      <w:r>
        <w:t>翻译整理流程</w:t>
      </w:r>
    </w:p>
    <w:p>
      <w:r>
        <w:rPr>
          <w:b w:val="0"/>
        </w:rPr>
        <w:t>示例任务：整理一批中文介绍及其英文译稿。学生指定原文和译文，检查文档配对，运行自动对齐，在左右对照页面修正错配、缺译和一对多关系，再确认选中的结果并整理术语。</w:t>
      </w:r>
    </w:p>
    <w:p>
      <w:r>
        <w:rPr>
          <w:b w:val="0"/>
        </w:rPr>
        <w:t>完成标志：学生能找到一个词在不同上下文中的译法，修正对应关系，并导出已确认的双语表。未确认的机器建议保留在草稿中。</w:t>
      </w:r>
    </w:p>
    <w:p>
      <w:pPr>
        <w:pStyle w:val="Heading2"/>
      </w:pPr>
      <w:r>
        <w:t>两类用户的操作重点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3742"/>
        <w:gridCol w:w="3798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EEEEE"/>
          </w:tcPr>
          <w:p>
            <w:pPr>
              <w:spacing w:after="0" w:line="269" w:lineRule="auto"/>
              <w:jc w:val="center"/>
            </w:pPr>
            <w:r>
              <w:rPr>
                <w:b/>
                <w:sz w:val="21"/>
              </w:rPr>
              <w:t>用户</w:t>
            </w:r>
          </w:p>
        </w:tc>
        <w:tc>
          <w:tcPr>
            <w:tcW w:type="dxa" w:w="374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EEEEE"/>
          </w:tcPr>
          <w:p>
            <w:pPr>
              <w:spacing w:after="0" w:line="269" w:lineRule="auto"/>
            </w:pPr>
            <w:r>
              <w:rPr>
                <w:b/>
                <w:sz w:val="21"/>
              </w:rPr>
              <w:t>优先操作</w:t>
            </w:r>
          </w:p>
        </w:tc>
        <w:tc>
          <w:tcPr>
            <w:tcW w:type="dxa" w:w="379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EEEEE"/>
          </w:tcPr>
          <w:p>
            <w:pPr>
              <w:spacing w:after="0" w:line="269" w:lineRule="auto"/>
            </w:pPr>
            <w:r>
              <w:rPr>
                <w:b/>
                <w:sz w:val="21"/>
              </w:rPr>
              <w:t>应当拿到的结果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21"/>
              </w:rPr>
              <w:t>外语与翻译专业学生</w:t>
            </w:r>
          </w:p>
        </w:tc>
        <w:tc>
          <w:tcPr>
            <w:tcW w:type="dxa" w:w="374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查用法、比较译法、编辑对齐、整理术语。</w:t>
            </w:r>
          </w:p>
        </w:tc>
        <w:tc>
          <w:tcPr>
            <w:tcW w:type="dxa" w:w="379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例句及出处、双语对照表、可继续积累的术语表。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21"/>
              </w:rPr>
              <w:t>语言学研究生</w:t>
            </w:r>
          </w:p>
        </w:tc>
        <w:tc>
          <w:tcPr>
            <w:tcW w:type="dxa" w:w="374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组织分组、设置分析条件、检查统计、复现结果。</w:t>
            </w:r>
          </w:p>
        </w:tc>
        <w:tc>
          <w:tcPr>
            <w:tcW w:type="dxa" w:w="379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统计表、语料构成、参数记录、可复查的引用。</w:t>
            </w:r>
          </w:p>
        </w:tc>
      </w:tr>
    </w:tbl>
    <w:p>
      <w:pPr>
        <w:spacing w:after="0"/>
      </w:pPr>
    </w:p>
    <w:p>
      <w:pPr>
        <w:pStyle w:val="Heading2"/>
      </w:pPr>
      <w:r>
        <w:t>第一次使用</w:t>
      </w:r>
    </w:p>
    <w:p>
      <w:r>
        <w:rPr>
          <w:b w:val="0"/>
        </w:rPr>
        <w:t>首页提供“开始语言分析”和“整理双语材料”两个入口，也可直接打开已有项目。未导入材料时，学生可用随安装包提供的小型示例完成一次操作。示例材料需明确可再利用，项目内记录其来源；不混入学生自己的研究范围。</w:t>
      </w:r>
    </w:p>
    <w:p>
      <w:r>
        <w:rPr>
          <w:b w:val="0"/>
        </w:rPr>
        <w:t>项目名称由学生填写。新建项目不要求先注册账号；模型配置只在首次使用 AI 时出现。高级参数默认折叠，参数含义通过按需展开的解释提供。</w:t>
      </w:r>
    </w:p>
    <w:p>
      <w:r>
        <w:br w:type="page"/>
      </w:r>
    </w:p>
    <w:p>
      <w:pPr>
        <w:pStyle w:val="Heading1"/>
      </w:pPr>
      <w:r>
        <w:t>三 首版范围与页面组织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3969"/>
        <w:gridCol w:w="3855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EEEEE"/>
          </w:tcPr>
          <w:p>
            <w:pPr>
              <w:spacing w:after="0" w:line="269" w:lineRule="auto"/>
              <w:jc w:val="center"/>
            </w:pPr>
            <w:r>
              <w:rPr>
                <w:b/>
                <w:sz w:val="21"/>
              </w:rPr>
              <w:t>页面</w:t>
            </w:r>
          </w:p>
        </w:tc>
        <w:tc>
          <w:tcPr>
            <w:tcW w:type="dxa" w:w="3969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EEEEE"/>
          </w:tcPr>
          <w:p>
            <w:pPr>
              <w:spacing w:after="0" w:line="269" w:lineRule="auto"/>
            </w:pPr>
            <w:r>
              <w:rPr>
                <w:b/>
                <w:sz w:val="21"/>
              </w:rPr>
              <w:t>主要内容</w:t>
            </w:r>
          </w:p>
        </w:tc>
        <w:tc>
          <w:tcPr>
            <w:tcW w:type="dxa" w:w="385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EEEEE"/>
          </w:tcPr>
          <w:p>
            <w:pPr>
              <w:spacing w:after="0" w:line="269" w:lineRule="auto"/>
            </w:pPr>
            <w:r>
              <w:rPr>
                <w:b/>
                <w:sz w:val="21"/>
              </w:rPr>
              <w:t>关键操作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21"/>
              </w:rPr>
              <w:t>项目与资料</w:t>
            </w:r>
          </w:p>
        </w:tc>
        <w:tc>
          <w:tcPr>
            <w:tcW w:type="dxa" w:w="3969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文件、分组、语言、来源、处理状态。</w:t>
            </w:r>
          </w:p>
        </w:tc>
        <w:tc>
          <w:tcPr>
            <w:tcW w:type="dxa" w:w="385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导入、预览、修正文稿、划分组、备份项目。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21"/>
              </w:rPr>
              <w:t>检索与分析</w:t>
            </w:r>
          </w:p>
        </w:tc>
        <w:tc>
          <w:tcPr>
            <w:tcW w:type="dxa" w:w="3969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关键词上下文、词频、连续词组、共现、分组比较。</w:t>
            </w:r>
          </w:p>
        </w:tc>
        <w:tc>
          <w:tcPr>
            <w:tcW w:type="dxa" w:w="385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设置范围、运行、回到原文、保存分析、导出。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21"/>
              </w:rPr>
              <w:t>双语对齐</w:t>
            </w:r>
          </w:p>
        </w:tc>
        <w:tc>
          <w:tcPr>
            <w:tcW w:type="dxa" w:w="3969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文档配对、左右句段、状态与待检查项。</w:t>
            </w:r>
          </w:p>
        </w:tc>
        <w:tc>
          <w:tcPr>
            <w:tcW w:type="dxa" w:w="385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手动关联、合并、拆分、取消关联、确认、撤销。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21"/>
              </w:rPr>
              <w:t>术语</w:t>
            </w:r>
          </w:p>
        </w:tc>
        <w:tc>
          <w:tcPr>
            <w:tcW w:type="dxa" w:w="3969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原文词语、译法、例句、来源与确认状态。</w:t>
            </w:r>
          </w:p>
        </w:tc>
        <w:tc>
          <w:tcPr>
            <w:tcW w:type="dxa" w:w="385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提取候选、编辑、处理多个译法、确认、导出。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21"/>
              </w:rPr>
              <w:t>结果与记录</w:t>
            </w:r>
          </w:p>
        </w:tc>
        <w:tc>
          <w:tcPr>
            <w:tcW w:type="dxa" w:w="3969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保存的分析、报告草稿、导出文件记录。</w:t>
            </w:r>
          </w:p>
        </w:tc>
        <w:tc>
          <w:tcPr>
            <w:tcW w:type="dxa" w:w="385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核对来源、查看条件、重新运行、另存新结果。</w:t>
            </w:r>
          </w:p>
        </w:tc>
      </w:tr>
    </w:tbl>
    <w:p>
      <w:pPr>
        <w:spacing w:after="0"/>
      </w:pPr>
    </w:p>
    <w:p>
      <w:pPr>
        <w:pStyle w:val="Heading2"/>
      </w:pPr>
      <w:r>
        <w:t>页面之间的关系</w:t>
      </w:r>
    </w:p>
    <w:p>
      <w:r>
        <w:rPr>
          <w:b w:val="0"/>
        </w:rPr>
        <w:t>AI 助手放在侧栏；长任务进度放在统一任务面板。助手完成统计后直接打开对应分析表，完成对齐后打开待复核页面。手工操作与 Agent 使用相同的工具和结果，不再维护两套计算逻辑。</w:t>
      </w:r>
    </w:p>
    <w:p>
      <w:r>
        <w:rPr>
          <w:b w:val="0"/>
        </w:rPr>
        <w:t>检索页同时展示匹配位置和原文预览。结果表按需要显示数量、单位和来源；完整参数集中在“分析条件”中。对齐页保留左右滚动定位、键盘操作和当前选择，避免修正一处后丢失阅读位置。</w:t>
      </w:r>
    </w:p>
    <w:p>
      <w:pPr>
        <w:pStyle w:val="Heading2"/>
      </w:pPr>
      <w:r>
        <w:t>首版必须交付</w:t>
      </w:r>
    </w:p>
    <w:p>
      <w:r>
        <w:rPr>
          <w:b w:val="0"/>
        </w:rPr>
        <w:t>资料导入与检查、精确检索、词频与文档频次、连续词组、窗口共现、同语言分组比较、双语对齐与人工确认、术语候选整理、项目备份、结果导出，以及三种固定 Agent 任务。</w:t>
      </w:r>
    </w:p>
    <w:p>
      <w:pPr>
        <w:pStyle w:val="Heading2"/>
      </w:pPr>
      <w:r>
        <w:t>后续扩展</w:t>
      </w:r>
    </w:p>
    <w:p>
      <w:r>
        <w:rPr>
          <w:b w:val="0"/>
        </w:rPr>
        <w:t>关联强度评分与显著性检验、复杂检索表达式、词性标注、跨语言自动比较、扫描识别、音视频、云同步、课堂管理、多人审核和外部数据库连接。首版搭配页面明确显示“窗口共现”，不把共现次数解释为统计显著性。</w:t>
      </w:r>
    </w:p>
    <w:p>
      <w:r>
        <w:br w:type="page"/>
      </w:r>
    </w:p>
    <w:p>
      <w:pPr>
        <w:pStyle w:val="Heading1"/>
      </w:pPr>
      <w:r>
        <w:t>四 资料导入与语料组织</w:t>
      </w:r>
    </w:p>
    <w:p>
      <w:pPr>
        <w:pStyle w:val="Heading2"/>
      </w:pPr>
      <w:r>
        <w:t>支持的材料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1"/>
        <w:gridCol w:w="7483"/>
      </w:tblGrid>
      <w:tr>
        <w:trPr>
          <w:cantSplit/>
          <w:tblHeader/>
        </w:trPr>
        <w:tc>
          <w:tcPr>
            <w:tcW w:type="dxa" w:w="204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EEEEE"/>
          </w:tcPr>
          <w:p>
            <w:pPr>
              <w:spacing w:after="0" w:line="269" w:lineRule="auto"/>
              <w:jc w:val="center"/>
            </w:pPr>
            <w:r>
              <w:rPr>
                <w:b/>
                <w:sz w:val="21"/>
              </w:rPr>
              <w:t>格式</w:t>
            </w:r>
          </w:p>
        </w:tc>
        <w:tc>
          <w:tcPr>
            <w:tcW w:type="dxa" w:w="748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EEEEE"/>
          </w:tcPr>
          <w:p>
            <w:pPr>
              <w:spacing w:after="0" w:line="269" w:lineRule="auto"/>
            </w:pPr>
            <w:r>
              <w:rPr>
                <w:b/>
                <w:sz w:val="21"/>
              </w:rPr>
              <w:t>处理规则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21"/>
              </w:rPr>
              <w:t>TXT 与 DOCX</w:t>
            </w:r>
          </w:p>
        </w:tc>
        <w:tc>
          <w:tcPr>
            <w:tcW w:type="dxa" w:w="748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提取正文段落；TXT 可选择编码；DOCX 的批注、修订和复杂对象提示为待检查，不静默当作普通正文。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21"/>
              </w:rPr>
              <w:t>CSV 与 XLSX</w:t>
            </w:r>
          </w:p>
        </w:tc>
        <w:tc>
          <w:tcPr>
            <w:tcW w:type="dxa" w:w="748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由学生选择工作表和文本列，并映射语言、来源、组别等字段；双语文件指定原文列和译文列。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21"/>
              </w:rPr>
              <w:t>文字型 PDF</w:t>
            </w:r>
          </w:p>
        </w:tc>
        <w:tc>
          <w:tcPr>
            <w:tcW w:type="dxa" w:w="748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首版支持常规单栏正文；保留页码和文本位置。多栏、脚注密集或阅读顺序异常的文件进入待检查状态。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21"/>
              </w:rPr>
              <w:t>扫描与加密文件</w:t>
            </w:r>
          </w:p>
        </w:tc>
        <w:tc>
          <w:tcPr>
            <w:tcW w:type="dxa" w:w="748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扫描件提示暂不支持识别；加密或损坏文件说明原因。保留失败记录，允许替换文件重试。</w:t>
            </w:r>
          </w:p>
        </w:tc>
      </w:tr>
    </w:tbl>
    <w:p>
      <w:pPr>
        <w:spacing w:after="0"/>
      </w:pPr>
    </w:p>
    <w:p>
      <w:pPr>
        <w:pStyle w:val="Heading2"/>
      </w:pPr>
      <w:r>
        <w:t>导入过程</w:t>
      </w:r>
    </w:p>
    <w:p>
      <w:r>
        <w:rPr>
          <w:b w:val="0"/>
        </w:rPr>
        <w:t>导入依次经过文件检查、文本提取、预览修正、分句与分词、建立索引。页面分别显示成功、待检查、失败和重复候选数量。文本为空或明显异常时，不直接记为成功。待检查文件经学生确认后才能加入正式分析范围。</w:t>
      </w:r>
    </w:p>
    <w:p>
      <w:r>
        <w:rPr>
          <w:b w:val="0"/>
        </w:rPr>
        <w:t>原始文件保持不变。清洗后的正文单独保存，并记录删除页眉、连接断行和手工修改等动作。每个可引用片段保留文件标识与页、段或表格行定位；无法可靠回到原文的位置应明确标记，不能自动成为正式引用。</w:t>
      </w:r>
    </w:p>
    <w:p>
      <w:pPr>
        <w:pStyle w:val="Heading2"/>
      </w:pPr>
      <w:r>
        <w:t>资料分组和重复处理</w:t>
      </w:r>
    </w:p>
    <w:p>
      <w:r>
        <w:rPr>
          <w:b w:val="0"/>
        </w:rPr>
        <w:t>每个项目可以保存多个语料集合，以文档版本列表固定分析范围。学生可按语言、年代、体裁、作者或自定义标签分组；系统不根据模型猜测悄悄补齐缺失元数据。未知字段留空并提示补充。</w:t>
      </w:r>
    </w:p>
    <w:p>
      <w:r>
        <w:rPr>
          <w:b w:val="0"/>
        </w:rPr>
        <w:t>同项目中的完全相同文件提示复用已有文本，同时保留不同来源记录；默认统计唯一正文版本。近似重复只列出候选，由学生决定是否排除。不同版本不能自动删除。A 组与 B 组出现同一文档时，比较前提示重叠，默认要求调整为不重叠的范围。</w:t>
      </w:r>
    </w:p>
    <w:p>
      <w:pPr>
        <w:pStyle w:val="Heading2"/>
      </w:pPr>
      <w:r>
        <w:t>修改后的影响</w:t>
      </w:r>
    </w:p>
    <w:p>
      <w:r>
        <w:rPr>
          <w:b w:val="0"/>
        </w:rPr>
        <w:t>修正正文或分句会产生新版本。已有统计、例句和对齐继续指向旧版本；页面提示有新材料可用，由学生决定是否重算。新文件不自动进入已经保存的分析。</w:t>
      </w:r>
    </w:p>
    <w:p>
      <w:r>
        <w:br w:type="page"/>
      </w:r>
    </w:p>
    <w:p>
      <w:pPr>
        <w:pStyle w:val="Heading1"/>
      </w:pPr>
      <w:r>
        <w:t>五 检索与统计规则</w:t>
      </w:r>
    </w:p>
    <w:p>
      <w:pPr>
        <w:pStyle w:val="Heading2"/>
      </w:pPr>
      <w:r>
        <w:t>精确检索</w:t>
      </w:r>
    </w:p>
    <w:p>
      <w:r>
        <w:rPr>
          <w:b w:val="0"/>
        </w:rPr>
        <w:t>首版提供“原文连续文字”和“按分词结果”两种模式。前者按实际文字匹配，默认允许重叠命中；后者按词边界或连续词序列匹配。英文默认忽略大小写，可切换；中文默认不合并简繁体。所有开关写入分析条件。</w:t>
      </w:r>
    </w:p>
    <w:p>
      <w:r>
        <w:rPr>
          <w:b w:val="0"/>
        </w:rPr>
        <w:t>上下文默认显示命中所在句和前后各一句，遇到文档边界即停止。每条命中记录文档版本、字符起止位置和句段标识；返回结果分页，界面总数来自完整检索，不以当前页代替全库计数。</w:t>
      </w:r>
    </w:p>
    <w:p>
      <w:pPr>
        <w:pStyle w:val="Heading2"/>
      </w:pPr>
      <w:r>
        <w:t>统计的默认口径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7540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EEEEE"/>
          </w:tcPr>
          <w:p>
            <w:pPr>
              <w:spacing w:after="0" w:line="269" w:lineRule="auto"/>
              <w:jc w:val="center"/>
            </w:pPr>
            <w:r>
              <w:rPr>
                <w:b/>
                <w:sz w:val="21"/>
              </w:rPr>
              <w:t>统计项</w:t>
            </w:r>
          </w:p>
        </w:tc>
        <w:tc>
          <w:tcPr>
            <w:tcW w:type="dxa" w:w="754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EEEEE"/>
          </w:tcPr>
          <w:p>
            <w:pPr>
              <w:spacing w:after="0" w:line="269" w:lineRule="auto"/>
            </w:pPr>
            <w:r>
              <w:rPr>
                <w:b/>
                <w:sz w:val="21"/>
              </w:rPr>
              <w:t>计算与展示规则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21"/>
              </w:rPr>
              <w:t>词频</w:t>
            </w:r>
          </w:p>
        </w:tc>
        <w:tc>
          <w:tcPr>
            <w:tcW w:type="dxa" w:w="754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在选定正文中按分词结果计数。标点、纯数字默认不计入词数；中英分开统计。词典与分词器版本固定。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21"/>
              </w:rPr>
              <w:t>文档频次</w:t>
            </w:r>
          </w:p>
        </w:tc>
        <w:tc>
          <w:tcPr>
            <w:tcW w:type="dxa" w:w="754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包含该词的文档版本数量；同一文档出现多次只计一篇。同时展示项目内去重后的文档总数。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21"/>
              </w:rPr>
              <w:t>标准化频率</w:t>
            </w:r>
          </w:p>
        </w:tc>
        <w:tc>
          <w:tcPr>
            <w:tcW w:type="dxa" w:w="754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每百万词频率 = 出现次数 ÷ 有效词数 × 1000000。有效词数为 0 时显示无法计算，不输出无穷大。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21"/>
              </w:rPr>
              <w:t>连续词组</w:t>
            </w:r>
          </w:p>
        </w:tc>
        <w:tc>
          <w:tcPr>
            <w:tcW w:type="dxa" w:w="754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统计句内连续 2 至 4 个词的组合；保留词序，不跨句。首版不自动合并词形和同义词。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21"/>
              </w:rPr>
              <w:t>窗口共现</w:t>
            </w:r>
          </w:p>
        </w:tc>
        <w:tc>
          <w:tcPr>
            <w:tcW w:type="dxa" w:w="754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默认左右各 5 个有效词，不跨句；每个中心词与窗口中每个候选位置计一次，排除中心位置。展示共现次数与涉及文档数。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21"/>
              </w:rPr>
              <w:t>停用词</w:t>
            </w:r>
          </w:p>
        </w:tc>
        <w:tc>
          <w:tcPr>
            <w:tcW w:type="dxa" w:w="754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默认不启用。启用后只隐藏结果中的指定词，不改变分母及窗口距离；排除正文内容须另建语料范围。</w:t>
            </w:r>
          </w:p>
        </w:tc>
      </w:tr>
    </w:tbl>
    <w:p>
      <w:pPr>
        <w:spacing w:after="0"/>
      </w:pPr>
    </w:p>
    <w:p>
      <w:pPr>
        <w:pStyle w:val="Heading2"/>
      </w:pPr>
      <w:r>
        <w:t>分组比较与例句选择</w:t>
      </w:r>
    </w:p>
    <w:p>
      <w:r>
        <w:rPr>
          <w:b w:val="0"/>
        </w:rPr>
        <w:t>比较仅面向同语言、同分词规则的两组材料，同时显示原始次数、标准化频率、文档数和语料构成。中英文词频不直接排序比较；跨语言研究通过双语对照查看。首版不自动给出因果或显著性结论。</w:t>
      </w:r>
    </w:p>
    <w:p>
      <w:r>
        <w:rPr>
          <w:b w:val="0"/>
        </w:rPr>
        <w:t>例句可按来源排序，也可随机抽样；抽样保存样本数、随机种子和结果标识。学生或模型挑选的例句标为“选取示例”，不称为代表性样本。短语连续文字检索默认只报告命中数，需转成明确的词序列统计后才使用每百万词口径。</w:t>
      </w:r>
    </w:p>
    <w:p>
      <w:r>
        <w:br w:type="page"/>
      </w:r>
    </w:p>
    <w:p>
      <w:pPr>
        <w:pStyle w:val="Heading1"/>
      </w:pPr>
      <w:r>
        <w:t>六 双语对齐与术语整理</w:t>
      </w:r>
    </w:p>
    <w:p>
      <w:pPr>
        <w:pStyle w:val="Heading2"/>
      </w:pPr>
      <w:r>
        <w:t>配对与修正</w:t>
      </w:r>
    </w:p>
    <w:p>
      <w:r>
        <w:rPr>
          <w:b w:val="0"/>
        </w:rPr>
        <w:t>学生指定中文原文和英文译文。系统可建议文档配对，但正式运行前必须确认原译关系；只讨论相同主题的两篇文章不能直接当作互译。表格中已明确指定的两列可直接建立配对草稿。</w:t>
      </w:r>
    </w:p>
    <w:p>
      <w:r>
        <w:rPr>
          <w:b w:val="0"/>
        </w:rPr>
        <w:t>自动对齐生成一对一、一对多、多对一和缺译候选。首版允许人工建立多对多关系，自动复杂多对多关系保留为待检查。界面支持拆分句段、合并连续句段、重新关联和撤销，缺译使用明确的空侧记录。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6009"/>
        <w:gridCol w:w="1587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EEEEE"/>
          </w:tcPr>
          <w:p>
            <w:pPr>
              <w:spacing w:after="0" w:line="269" w:lineRule="auto"/>
              <w:jc w:val="center"/>
            </w:pPr>
            <w:r>
              <w:rPr>
                <w:b/>
                <w:sz w:val="21"/>
              </w:rPr>
              <w:t>状态</w:t>
            </w:r>
          </w:p>
        </w:tc>
        <w:tc>
          <w:tcPr>
            <w:tcW w:type="dxa" w:w="6009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EEEEE"/>
          </w:tcPr>
          <w:p>
            <w:pPr>
              <w:spacing w:after="0" w:line="269" w:lineRule="auto"/>
            </w:pPr>
            <w:r>
              <w:rPr>
                <w:b/>
                <w:sz w:val="21"/>
              </w:rPr>
              <w:t>含义</w:t>
            </w:r>
          </w:p>
        </w:tc>
        <w:tc>
          <w:tcPr>
            <w:tcW w:type="dxa" w:w="158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EEEEE"/>
          </w:tcPr>
          <w:p>
            <w:pPr>
              <w:spacing w:after="0" w:line="269" w:lineRule="auto"/>
            </w:pPr>
            <w:r>
              <w:rPr>
                <w:b/>
                <w:sz w:val="21"/>
              </w:rPr>
              <w:t>进入正式库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21"/>
              </w:rPr>
              <w:t>机器建议</w:t>
            </w:r>
          </w:p>
        </w:tc>
        <w:tc>
          <w:tcPr>
            <w:tcW w:type="dxa" w:w="6009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系统生成，置信度用于排序，不等同于真实正确率。</w:t>
            </w:r>
          </w:p>
        </w:tc>
        <w:tc>
          <w:tcPr>
            <w:tcW w:type="dxa" w:w="158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否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21"/>
              </w:rPr>
              <w:t>待复核</w:t>
            </w:r>
          </w:p>
        </w:tc>
        <w:tc>
          <w:tcPr>
            <w:tcW w:type="dxa" w:w="6009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低置信度、缺译、复杂关系，或学生主动标记。</w:t>
            </w:r>
          </w:p>
        </w:tc>
        <w:tc>
          <w:tcPr>
            <w:tcW w:type="dxa" w:w="158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否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21"/>
              </w:rPr>
              <w:t>人工确认</w:t>
            </w:r>
          </w:p>
        </w:tc>
        <w:tc>
          <w:tcPr>
            <w:tcW w:type="dxa" w:w="6009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学生查看并确认选中的关系，记录确认时间与对应版本。</w:t>
            </w:r>
          </w:p>
        </w:tc>
        <w:tc>
          <w:tcPr>
            <w:tcW w:type="dxa" w:w="158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是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21"/>
              </w:rPr>
              <w:t>需重新确认</w:t>
            </w:r>
          </w:p>
        </w:tc>
        <w:tc>
          <w:tcPr>
            <w:tcW w:type="dxa" w:w="6009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原文、译文或所用句段发生变化，对应关系已不适用于新版本。</w:t>
            </w:r>
          </w:p>
        </w:tc>
        <w:tc>
          <w:tcPr>
            <w:tcW w:type="dxa" w:w="158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新版本否</w:t>
            </w:r>
          </w:p>
        </w:tc>
      </w:tr>
    </w:tbl>
    <w:p>
      <w:pPr>
        <w:spacing w:after="0"/>
      </w:pPr>
    </w:p>
    <w:p>
      <w:pPr>
        <w:pStyle w:val="Heading2"/>
      </w:pPr>
      <w:r>
        <w:t>确认与导出规则</w:t>
      </w:r>
    </w:p>
    <w:p>
      <w:r>
        <w:rPr>
          <w:b w:val="0"/>
        </w:rPr>
        <w:t>支持逐条确认和明确选中范围的批量确认。批量确认前显示条数和异常项；缺译及异常关系单独处理，不默认勾选全部。合并、拆分或改写已经确认的关系后，该新关系回到待复核状态。</w:t>
      </w:r>
    </w:p>
    <w:p>
      <w:r>
        <w:rPr>
          <w:b w:val="0"/>
        </w:rPr>
        <w:t>双语表默认导出人工确认结果；另设草稿导出并带状态。TMX 翻译记忆文件只导出两侧都有内容且已确认的关系；多句按原顺序合并为一条记录，导出前显示缺译和未确认项目的排除数量。</w:t>
      </w:r>
    </w:p>
    <w:p>
      <w:pPr>
        <w:pStyle w:val="Heading2"/>
      </w:pPr>
      <w:r>
        <w:t>术语与译法</w:t>
      </w:r>
    </w:p>
    <w:p>
      <w:r>
        <w:rPr>
          <w:b w:val="0"/>
        </w:rPr>
        <w:t>术语候选来自学生指定的双语材料，保留原文词语、译法、上下文和出处。相同词语的多个译法并列显示，学生根据上下文确认，不自动合并为唯一答案。术语编辑不会反向修改原始译文。</w:t>
      </w:r>
    </w:p>
    <w:p>
      <w:r>
        <w:rPr>
          <w:b w:val="0"/>
        </w:rPr>
        <w:t>学生可请求 AI 提出新译法；新内容单独标记为机器生成并保留来源关系，不混入既有译文证据。正式术语条目需由学生确认，后续文本变化时提示检查相关例句。</w:t>
      </w:r>
    </w:p>
    <w:p>
      <w:r>
        <w:br w:type="page"/>
      </w:r>
    </w:p>
    <w:p>
      <w:pPr>
        <w:pStyle w:val="Heading1"/>
      </w:pPr>
      <w:r>
        <w:t>七 Agent 如何帮助学生</w:t>
      </w:r>
    </w:p>
    <w:p>
      <w:pPr>
        <w:pStyle w:val="Heading2"/>
      </w:pPr>
      <w:r>
        <w:t>三种固定任务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3969"/>
        <w:gridCol w:w="3742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EEEEE"/>
          </w:tcPr>
          <w:p>
            <w:pPr>
              <w:spacing w:after="0" w:line="269" w:lineRule="auto"/>
              <w:jc w:val="center"/>
            </w:pPr>
            <w:r>
              <w:rPr>
                <w:b/>
                <w:sz w:val="21"/>
              </w:rPr>
              <w:t>任务</w:t>
            </w:r>
          </w:p>
        </w:tc>
        <w:tc>
          <w:tcPr>
            <w:tcW w:type="dxa" w:w="3969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EEEEE"/>
          </w:tcPr>
          <w:p>
            <w:pPr>
              <w:spacing w:after="0" w:line="269" w:lineRule="auto"/>
            </w:pPr>
            <w:r>
              <w:rPr>
                <w:b/>
                <w:sz w:val="21"/>
              </w:rPr>
              <w:t>执行步骤</w:t>
            </w:r>
          </w:p>
        </w:tc>
        <w:tc>
          <w:tcPr>
            <w:tcW w:type="dxa" w:w="374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EEEEE"/>
          </w:tcPr>
          <w:p>
            <w:pPr>
              <w:spacing w:after="0" w:line="269" w:lineRule="auto"/>
            </w:pPr>
            <w:r>
              <w:rPr>
                <w:b/>
                <w:sz w:val="21"/>
              </w:rPr>
              <w:t>需要学生判断的地方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21"/>
              </w:rPr>
              <w:t>整理资料</w:t>
            </w:r>
          </w:p>
        </w:tc>
        <w:tc>
          <w:tcPr>
            <w:tcW w:type="dxa" w:w="3969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检查文件与字段，提取文本，列出异常及重复候选，建议分组，建立索引。</w:t>
            </w:r>
          </w:p>
        </w:tc>
        <w:tc>
          <w:tcPr>
            <w:tcW w:type="dxa" w:w="374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列映射、异常文本是否可用、近似重复是否排除。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21"/>
              </w:rPr>
              <w:t>完成语言分析</w:t>
            </w:r>
          </w:p>
        </w:tc>
        <w:tc>
          <w:tcPr>
            <w:tcW w:type="dxa" w:w="3969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确定研究范围和问题，选择检索或统计，展示参数，运行工具，整理结果与解释。</w:t>
            </w:r>
          </w:p>
        </w:tc>
        <w:tc>
          <w:tcPr>
            <w:tcW w:type="dxa" w:w="374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确认分析条件，检查例句与结论，选择导出内容。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21"/>
              </w:rPr>
              <w:t>整理双语材料</w:t>
            </w:r>
          </w:p>
        </w:tc>
        <w:tc>
          <w:tcPr>
            <w:tcW w:type="dxa" w:w="3969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建议文档配对，生成对齐候选，按问题排序，提取术语候选。</w:t>
            </w:r>
          </w:p>
        </w:tc>
        <w:tc>
          <w:tcPr>
            <w:tcW w:type="dxa" w:w="374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确认原译关系、修正对齐、确认译法与正式入库。</w:t>
            </w:r>
          </w:p>
        </w:tc>
      </w:tr>
    </w:tbl>
    <w:p>
      <w:pPr>
        <w:spacing w:after="0"/>
      </w:pPr>
    </w:p>
    <w:p>
      <w:pPr>
        <w:pStyle w:val="Heading2"/>
      </w:pPr>
      <w:r>
        <w:t>学生能看到什么</w:t>
      </w:r>
    </w:p>
    <w:p>
      <w:r>
        <w:rPr>
          <w:b w:val="0"/>
        </w:rPr>
        <w:t>运行前显示处理范围、将执行的步骤、是否使用联网模型和本次额度上限。运行中展示当前步骤、已处理数量、失败项目和可取消的位置。需要人工处理时，打开对应页面并保留任务进度。</w:t>
      </w:r>
    </w:p>
    <w:p>
      <w:r>
        <w:rPr>
          <w:b w:val="0"/>
        </w:rPr>
        <w:t>当问题不明确时，只询问影响本次执行的关键信息。例如“比较用法”至少需要确定材料分组和目标词；样式偏好等问题使用默认值，学生之后可以修改。</w:t>
      </w:r>
    </w:p>
    <w:p>
      <w:pPr>
        <w:pStyle w:val="Heading2"/>
      </w:pPr>
      <w:r>
        <w:t>结果如何解释</w:t>
      </w:r>
    </w:p>
    <w:p>
      <w:r>
        <w:rPr>
          <w:b w:val="0"/>
        </w:rPr>
        <w:t>解释引用已保存的统计结果与原文证据。统计数字以结构化结果插入，模型不能自行补数字。报告草稿区分结果陈述、解释和待验证推测；每个事实性论断应能关联计算结果或证据，关联缺失时进入待复核。</w:t>
      </w:r>
    </w:p>
    <w:p>
      <w:r>
        <w:rPr>
          <w:b w:val="0"/>
        </w:rPr>
        <w:t>学生可以追问参数含义、为何出现某个结果，或请求下一步分析建议。解释应结合当前材料，允许学生随时打开工具页面手动调整；重新计算产生新结果，不覆盖已保存结果。</w:t>
      </w:r>
    </w:p>
    <w:p>
      <w:pPr>
        <w:pStyle w:val="Heading2"/>
      </w:pPr>
      <w:r>
        <w:t>执行限制与失败处理</w:t>
      </w:r>
    </w:p>
    <w:p>
      <w:r>
        <w:rPr>
          <w:b w:val="0"/>
        </w:rPr>
        <w:t>任务状态为排队、运行、等待复核、暂停、完成、失败或取消。每一步保存输入版本与输出标识；失败后从最近检查点恢复，重复重试不得重复写入。取消后停止新增步骤，正在返回的模型结果不得继续改写项目。</w:t>
      </w:r>
    </w:p>
    <w:p>
      <w:r>
        <w:rPr>
          <w:b w:val="0"/>
        </w:rPr>
        <w:t>学生关闭应用前保存进度；首版关闭后不继续后台执行，重启后提示恢复。联网失败时保留本地已完成步骤。资料中的文字只作为待分析内容；工具层拒绝超出本项目范围的文件访问与未授权的数据外发。</w:t>
      </w:r>
    </w:p>
    <w:p>
      <w:r>
        <w:br w:type="page"/>
      </w:r>
    </w:p>
    <w:p>
      <w:pPr>
        <w:pStyle w:val="Heading1"/>
      </w:pPr>
      <w:r>
        <w:t>八 部署与数据设计</w:t>
      </w:r>
    </w:p>
    <w:p>
      <w:pPr>
        <w:pStyle w:val="Heading2"/>
      </w:pPr>
      <w:r>
        <w:t>本地桌面方案</w:t>
      </w:r>
    </w:p>
    <w:p>
      <w:r>
        <w:rPr>
          <w:b w:val="0"/>
        </w:rPr>
        <w:t>建议首版采用桌面界面、本地处理服务、本地项目数据库和文件目录。原文、清洗版本、分词结果、索引、人工对齐与历史分析均保存在本机。联网网关仅处理学生授权的模型请求和用量记录；不建立公共语料池。</w:t>
      </w:r>
    </w:p>
    <w:p>
      <w:r>
        <w:rPr>
          <w:b w:val="0"/>
        </w:rPr>
        <w:t>本地工具负责解析、字符位置检索、分词、统计和导出。Agent 调用同一组工具，通过固定任务流程组合操作。首版按目标规模验证本地索引性能，再决定是否增加独立检索服务，不提前引入分布式组件。</w:t>
      </w:r>
    </w:p>
    <w:p>
      <w:pPr>
        <w:pStyle w:val="Heading2"/>
      </w:pPr>
      <w:r>
        <w:t>核心数据对象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7540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EEEEE"/>
          </w:tcPr>
          <w:p>
            <w:pPr>
              <w:spacing w:after="0" w:line="269" w:lineRule="auto"/>
              <w:jc w:val="center"/>
            </w:pPr>
            <w:r>
              <w:rPr>
                <w:b/>
                <w:sz w:val="21"/>
              </w:rPr>
              <w:t>对象</w:t>
            </w:r>
          </w:p>
        </w:tc>
        <w:tc>
          <w:tcPr>
            <w:tcW w:type="dxa" w:w="754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EEEEE"/>
          </w:tcPr>
          <w:p>
            <w:pPr>
              <w:spacing w:after="0" w:line="269" w:lineRule="auto"/>
            </w:pPr>
            <w:r>
              <w:rPr>
                <w:b/>
                <w:sz w:val="21"/>
              </w:rPr>
              <w:t>保存内容与关系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21"/>
              </w:rPr>
              <w:t>项目与来源</w:t>
            </w:r>
          </w:p>
        </w:tc>
        <w:tc>
          <w:tcPr>
            <w:tcW w:type="dxa" w:w="754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项目标识、导入来源、许可信息、允许外发与导出的范围。来源记录与正文版本分开，便于保留重复文件的出处。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21"/>
              </w:rPr>
              <w:t>文档版本与句段</w:t>
            </w:r>
          </w:p>
        </w:tc>
        <w:tc>
          <w:tcPr>
            <w:tcW w:type="dxa" w:w="754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不可变的正文、原件摘要、清洗记录、原文位置映射、分句与分词配置。句段标识在该版本内稳定。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21"/>
              </w:rPr>
              <w:t>语料快照</w:t>
            </w:r>
          </w:p>
        </w:tc>
        <w:tc>
          <w:tcPr>
            <w:tcW w:type="dxa" w:w="754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固定的文档版本列表、分组、排除项和去重策略。一次分析必须绑定一个快照。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21"/>
              </w:rPr>
              <w:t>分析与结果</w:t>
            </w:r>
          </w:p>
        </w:tc>
        <w:tc>
          <w:tcPr>
            <w:tcW w:type="dxa" w:w="754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查询条件、算法及词典版本、随机种子、统计结果、样本标识和解释草稿。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21"/>
              </w:rPr>
              <w:t>对齐与术语</w:t>
            </w:r>
          </w:p>
        </w:tc>
        <w:tc>
          <w:tcPr>
            <w:tcW w:type="dxa" w:w="754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左右句段标识、来源版本、关系状态、操作记录和确认记录；词语与多个译法分别保存。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21"/>
              </w:rPr>
              <w:t>任务与检查点</w:t>
            </w:r>
          </w:p>
        </w:tc>
        <w:tc>
          <w:tcPr>
            <w:tcW w:type="dxa" w:w="754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任务步骤、输入版本、输出标识、重试次数、额度、模型配置和失败原因。</w:t>
            </w:r>
          </w:p>
        </w:tc>
      </w:tr>
    </w:tbl>
    <w:p>
      <w:pPr>
        <w:spacing w:after="0"/>
      </w:pPr>
    </w:p>
    <w:p>
      <w:pPr>
        <w:pStyle w:val="Heading2"/>
      </w:pPr>
      <w:r>
        <w:t>版本变化和恢复</w:t>
      </w:r>
    </w:p>
    <w:p>
      <w:r>
        <w:rPr>
          <w:b w:val="0"/>
        </w:rPr>
        <w:t>正文、分句或词典修改后生成新版本，不原地替换历史版本。系统明确列出受影响的分析、对齐和术语例句。学生选择新版本后重新运行，旧结果仍可按旧条件查看。</w:t>
      </w:r>
    </w:p>
    <w:p>
      <w:r>
        <w:rPr>
          <w:b w:val="0"/>
        </w:rPr>
        <w:t>项目备份包含材料、必要索引配置、版本记录和结果清单，并校验文件摘要。恢复到不同目录后引用仍通过项目内标识解析，不依赖旧绝对路径。若缺少原算法版本，允许查看旧结果，但新运行必须标为重新计算，不能宣称完全复现。</w:t>
      </w:r>
    </w:p>
    <w:p>
      <w:r>
        <w:br w:type="page"/>
      </w:r>
    </w:p>
    <w:p>
      <w:pPr>
        <w:pStyle w:val="Heading1"/>
      </w:pPr>
      <w:r>
        <w:t>九 导出与数据控制</w:t>
      </w:r>
    </w:p>
    <w:p>
      <w:pPr>
        <w:pStyle w:val="Heading2"/>
      </w:pPr>
      <w:r>
        <w:t>交付物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6066"/>
        <w:gridCol w:w="1644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EEEEE"/>
          </w:tcPr>
          <w:p>
            <w:pPr>
              <w:spacing w:after="0" w:line="269" w:lineRule="auto"/>
              <w:jc w:val="center"/>
            </w:pPr>
            <w:r>
              <w:rPr>
                <w:b/>
                <w:sz w:val="21"/>
              </w:rPr>
              <w:t>交付物</w:t>
            </w:r>
          </w:p>
        </w:tc>
        <w:tc>
          <w:tcPr>
            <w:tcW w:type="dxa" w:w="606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EEEEE"/>
          </w:tcPr>
          <w:p>
            <w:pPr>
              <w:spacing w:after="0" w:line="269" w:lineRule="auto"/>
            </w:pPr>
            <w:r>
              <w:rPr>
                <w:b/>
                <w:sz w:val="21"/>
              </w:rPr>
              <w:t>默认内容</w:t>
            </w:r>
          </w:p>
        </w:tc>
        <w:tc>
          <w:tcPr>
            <w:tcW w:type="dxa" w:w="164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EEEEE"/>
          </w:tcPr>
          <w:p>
            <w:pPr>
              <w:spacing w:after="0" w:line="269" w:lineRule="auto"/>
            </w:pPr>
            <w:r>
              <w:rPr>
                <w:b/>
                <w:sz w:val="21"/>
              </w:rPr>
              <w:t>格式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21"/>
              </w:rPr>
              <w:t>例句表</w:t>
            </w:r>
          </w:p>
        </w:tc>
        <w:tc>
          <w:tcPr>
            <w:tcW w:type="dxa" w:w="606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命中内容、上下文、来源、页段位置；只导出学生选定的范围。</w:t>
            </w:r>
          </w:p>
        </w:tc>
        <w:tc>
          <w:tcPr>
            <w:tcW w:type="dxa" w:w="164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CSV 或 XLSX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21"/>
              </w:rPr>
              <w:t>分析结果</w:t>
            </w:r>
          </w:p>
        </w:tc>
        <w:tc>
          <w:tcPr>
            <w:tcW w:type="dxa" w:w="606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统计表、语料构成和分析条件；完整计算条件另存可读取的配置文件。</w:t>
            </w:r>
          </w:p>
        </w:tc>
        <w:tc>
          <w:tcPr>
            <w:tcW w:type="dxa" w:w="164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CSV 或 XLSX</w:t>
              <w:br/>
              <w:t>JSON 配置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21"/>
              </w:rPr>
              <w:t>双语与术语</w:t>
            </w:r>
          </w:p>
        </w:tc>
        <w:tc>
          <w:tcPr>
            <w:tcW w:type="dxa" w:w="606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已确认的双语关系、术语及例句；草稿导出保留状态。</w:t>
            </w:r>
          </w:p>
        </w:tc>
        <w:tc>
          <w:tcPr>
            <w:tcW w:type="dxa" w:w="164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CSV 或 XLSX</w:t>
              <w:br/>
              <w:t>TMX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21"/>
              </w:rPr>
              <w:t>分析记录</w:t>
            </w:r>
          </w:p>
        </w:tc>
        <w:tc>
          <w:tcPr>
            <w:tcW w:type="dxa" w:w="606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研究问题、范围、方法、统计表、例句与出处、学生修改后的解释。</w:t>
            </w:r>
          </w:p>
        </w:tc>
        <w:tc>
          <w:tcPr>
            <w:tcW w:type="dxa" w:w="164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DOCX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21"/>
              </w:rPr>
              <w:t>项目备份</w:t>
            </w:r>
          </w:p>
        </w:tc>
        <w:tc>
          <w:tcPr>
            <w:tcW w:type="dxa" w:w="606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项目材料、版本、人工修正、历史结果及完整性清单。</w:t>
            </w:r>
          </w:p>
        </w:tc>
        <w:tc>
          <w:tcPr>
            <w:tcW w:type="dxa" w:w="164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项目压缩包</w:t>
            </w:r>
          </w:p>
        </w:tc>
      </w:tr>
    </w:tbl>
    <w:p>
      <w:pPr>
        <w:spacing w:after="0"/>
      </w:pPr>
    </w:p>
    <w:p>
      <w:pPr>
        <w:pStyle w:val="Heading2"/>
      </w:pPr>
      <w:r>
        <w:t>导出的可读性</w:t>
      </w:r>
    </w:p>
    <w:p>
      <w:r>
        <w:rPr>
          <w:b w:val="0"/>
        </w:rPr>
        <w:t>学生预览并选择字段后再导出，不自动增加无关列或说明区。XLSX 不使用背景填充，标题和列标题使用宋体。DOCX 标题使用宋体，页眉页脚默认空白，不添加无关的小字、品牌或生成标识。分析条件与证据说明作为正文必要内容正常排版。</w:t>
      </w:r>
    </w:p>
    <w:p>
      <w:r>
        <w:rPr>
          <w:b w:val="0"/>
        </w:rPr>
        <w:t>外部读者拿到文件后，至少能看到来源名称与页段定位。应用内跳转仅作为补充，不要求读者安装软件才能理解引用。无可核实页码的文本使用段号或表格行号，不生成假的出版页码。</w:t>
      </w:r>
    </w:p>
    <w:p>
      <w:pPr>
        <w:pStyle w:val="Heading2"/>
      </w:pPr>
      <w:r>
        <w:t>联网与额度</w:t>
      </w:r>
    </w:p>
    <w:p>
      <w:r>
        <w:rPr>
          <w:b w:val="0"/>
        </w:rPr>
        <w:t>每个项目默认关闭原文外发。首次使用联网 AI 时展示服务提供方、拟发送的数据范围和用途；学生授权后，在该范围内执行。改变提供方或扩大数据范围时重新确认。优先发送统计结果和必要片段，原文件不默认整体上传。</w:t>
      </w:r>
    </w:p>
    <w:p>
      <w:r>
        <w:rPr>
          <w:b w:val="0"/>
        </w:rPr>
        <w:t>模型密钥保存在系统凭据存储中，不写进项目包或日志。记录实际用量、任务额度和费用估算；按最坏输出量预留额度，无可验证单价时使用 token 上限并显示价格未知。达到上限停止新请求，重试同样占用额度。</w:t>
      </w:r>
    </w:p>
    <w:p>
      <w:pPr>
        <w:pStyle w:val="Heading2"/>
      </w:pPr>
      <w:r>
        <w:t>删除与权限</w:t>
      </w:r>
    </w:p>
    <w:p>
      <w:r>
        <w:rPr>
          <w:b w:val="0"/>
        </w:rPr>
        <w:t>普通移除只改变当前语料范围，保留历史分析所需版本。彻底删除前列出受影响结果，经确认后清除应用管理的原文、索引、缓存、中间文件和含原文的派生成果；历史任务只保留无正文的失效记录。系统无法撤回用户已复制到应用外的文件。</w:t>
      </w:r>
    </w:p>
    <w:p>
      <w:r>
        <w:br w:type="page"/>
      </w:r>
    </w:p>
    <w:p>
      <w:pPr>
        <w:pStyle w:val="Heading1"/>
      </w:pPr>
      <w:r>
        <w:t>十 验收与实施顺序</w:t>
      </w:r>
    </w:p>
    <w:p>
      <w:r>
        <w:rPr>
          <w:b w:val="0"/>
        </w:rPr>
        <w:t>以下为试点前约定的目标，不代表已经测得的结果。每条主流程独立验收，避免用总体成功率掩盖某一类任务无法完成。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7710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EEEEE"/>
          </w:tcPr>
          <w:p>
            <w:pPr>
              <w:spacing w:after="0" w:line="269" w:lineRule="auto"/>
              <w:jc w:val="center"/>
            </w:pPr>
            <w:r>
              <w:rPr>
                <w:b/>
                <w:sz w:val="21"/>
              </w:rPr>
              <w:t>项目</w:t>
            </w:r>
          </w:p>
        </w:tc>
        <w:tc>
          <w:tcPr>
            <w:tcW w:type="dxa" w:w="771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EEEEE"/>
          </w:tcPr>
          <w:p>
            <w:pPr>
              <w:spacing w:after="0" w:line="269" w:lineRule="auto"/>
            </w:pPr>
            <w:r>
              <w:rPr>
                <w:b/>
                <w:sz w:val="21"/>
              </w:rPr>
              <w:t>验收方法与门槛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21"/>
              </w:rPr>
              <w:t>导入与定位</w:t>
            </w:r>
          </w:p>
        </w:tc>
        <w:tc>
          <w:tcPr>
            <w:tcW w:type="dxa" w:w="771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覆盖各支持格式及失败样本，逐项核对数量；至少 100 个原文定位全部有效。异常文件不得静默进入正式范围。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21"/>
              </w:rPr>
              <w:t>检索与统计</w:t>
            </w:r>
          </w:p>
        </w:tc>
        <w:tc>
          <w:tcPr>
            <w:tcW w:type="dxa" w:w="771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至少 100 条带期望结果的测试，覆盖大小写、词边界、重复命中和零分母；命中集合及计数与独立实现一致。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21"/>
              </w:rPr>
              <w:t>双语对齐</w:t>
            </w:r>
          </w:p>
        </w:tc>
        <w:tc>
          <w:tcPr>
            <w:tcW w:type="dxa" w:w="771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至少 500 组人工标注关系，覆盖错序、缺译及多句；按类型报告机器候选质量。未确认内容不得进入正式导出；修正耗时目标比纯人工减少 30%。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21"/>
              </w:rPr>
              <w:t>引用与解释</w:t>
            </w:r>
          </w:p>
        </w:tc>
        <w:tc>
          <w:tcPr>
            <w:tcW w:type="dxa" w:w="771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逐条检查关键数字来自工具结果；所有事实性论断有证据或结果关联。抽查至少 100 条论断，支持率目标不低于 95%；抽样发现的错误修正后再交付试点。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21"/>
              </w:rPr>
              <w:t>学生独立完成</w:t>
            </w:r>
          </w:p>
        </w:tc>
        <w:tc>
          <w:tcPr>
            <w:tcW w:type="dxa" w:w="771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两类流程各至少 10 次真实任务，各自由不少于 5 名目标学生参与；每类至少 80% 无开发人员代操作完成。记录失败位置和人工纠错时间。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21"/>
              </w:rPr>
              <w:t>恢复与删除</w:t>
            </w:r>
          </w:p>
        </w:tc>
        <w:tc>
          <w:tcPr>
            <w:tcW w:type="dxa" w:w="771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覆盖强制退出、网络失败、重复重试、原文修改、恢复备份和彻底删除；人工确认不丢失、不重复入库、不继续展示已删除正文。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21"/>
              </w:rPr>
              <w:t>性能</w:t>
            </w:r>
          </w:p>
        </w:tc>
        <w:tc>
          <w:tcPr>
            <w:tcW w:type="dxa" w:w="771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Windows 11、4 核 CPU、16 GB 内存、SSD，单项目 1000 万中文字符或 500 万英文词；预建索引后常用查询首屏 P95 不超过 3 秒，统计任务显示进度并可取消。</w:t>
            </w:r>
          </w:p>
        </w:tc>
      </w:tr>
    </w:tbl>
    <w:p>
      <w:pPr>
        <w:spacing w:after="0"/>
      </w:pPr>
    </w:p>
    <w:p>
      <w:pPr>
        <w:pStyle w:val="Heading2"/>
      </w:pPr>
      <w:r>
        <w:t>分阶段交付</w:t>
      </w:r>
    </w:p>
    <w:p>
      <w:r>
        <w:rPr>
          <w:b w:val="0"/>
        </w:rPr>
        <w:t>阶段一完成可手工使用的资料导入、原文定位、检索与统计，并用真实材料验证准确性。阶段二完成对齐编辑、术语整理、正式导出和项目备份。阶段三接入三个固定 Agent 任务，验证额度、失败恢复和学生独立完成率。每一阶段通过后再扩大范围。</w:t>
      </w:r>
    </w:p>
    <w:p>
      <w:r>
        <w:rPr>
          <w:b w:val="0"/>
        </w:rPr>
        <w:t>先招募两类学生各 5 至 8 人，取得可用于测试的课程材料和研究样本。根据失败样本确定解析边界，再拆分模块工天和排期。观察下一次真实作业是否继续使用，并分别验证个人付费与课程采购意愿；本阶段不预设机构年费或承诺开发总预算。</w:t>
      </w:r>
    </w:p>
    <w:sectPr w:rsidR="00FC693F" w:rsidRPr="0006063C" w:rsidSect="00034616">
      <w:pgSz w:w="11906" w:h="16838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8" w:lineRule="auto" w:after="120"/>
    </w:pPr>
    <w:rPr>
      <w:rFonts w:ascii="宋体" w:hAnsi="宋体" w:eastAsia="宋体" w:cs="宋体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 w:line="269" w:lineRule="auto"/>
      <w:outlineLvl w:val="0"/>
    </w:pPr>
    <w:rPr>
      <w:rFonts w:ascii="宋体" w:hAnsi="宋体" w:eastAsia="宋体" w:cs="宋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69" w:lineRule="auto"/>
      <w:outlineLvl w:val="1"/>
    </w:pPr>
    <w:rPr>
      <w:rFonts w:ascii="宋体" w:hAnsi="宋体" w:eastAsia="宋体" w:cs="宋体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69" w:lineRule="auto" w:before="0"/>
      <w:contextualSpacing/>
    </w:pPr>
    <w:rPr>
      <w:rFonts w:ascii="宋体" w:hAnsi="宋体" w:eastAsia="宋体" w:cs="宋体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8" w:lineRule="auto"/>
      <w:contextualSpacing/>
    </w:pPr>
    <w:rPr>
      <w:rFonts w:ascii="宋体" w:hAnsi="宋体" w:eastAsia="宋体" w:cs="宋体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学生语料与翻译研究工作台产品设计</dc:title>
  <dc:subject>面向外语翻译专业学生与语言学研究生的首版产品方案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