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00000">
      <w:pPr>
        <w:spacing w:after="120"/>
        <w:jc w:val="center"/>
      </w:pPr>
      <w:r>
        <w:rPr>
          <w:b/>
          <w:sz w:val="32"/>
        </w:rPr>
        <w:t>小型工程安全生产责任险系统需求对接</w:t>
      </w:r>
    </w:p>
    <w:p w14:paraId="00100004">
      <w:pPr>
        <w:spacing w:after="120"/>
        <w:jc w:val="left"/>
      </w:pPr>
      <w:r>
        <w:rPr>
          <w:b/>
          <w:sz w:val="24"/>
        </w:rPr>
        <w:t>一、文档信息</w:t>
      </w:r>
    </w:p>
    <w:p w14:paraId="3D2C4CDF">
      <w:pPr>
        <w:spacing w:after="200"/>
        <w:jc w:val="left"/>
        <w:rPr>
          <w:sz w:val="21"/>
        </w:rPr>
      </w:pPr>
      <w:r>
        <w:rPr>
          <w:sz w:val="21"/>
        </w:rPr>
        <w:t>文档类型：外部系统对接需求标准文档；</w:t>
      </w:r>
    </w:p>
    <w:p w14:paraId="1C6AF036">
      <w:pPr>
        <w:spacing w:after="200"/>
        <w:jc w:val="left"/>
        <w:rPr>
          <w:sz w:val="21"/>
        </w:rPr>
      </w:pPr>
      <w:r>
        <w:rPr>
          <w:sz w:val="21"/>
        </w:rPr>
        <w:t>适用项目：小型工程安全生产责任保险；</w:t>
      </w:r>
    </w:p>
    <w:p w14:paraId="28F7E716">
      <w:pPr>
        <w:spacing w:after="200"/>
        <w:jc w:val="left"/>
        <w:rPr>
          <w:sz w:val="21"/>
        </w:rPr>
      </w:pPr>
      <w:r>
        <w:rPr>
          <w:sz w:val="21"/>
        </w:rPr>
        <w:t>平台侧主体：青浦区小型工程安全纳管平</w:t>
      </w:r>
      <w:bookmarkStart w:id="0" w:name="_GoBack"/>
      <w:bookmarkEnd w:id="0"/>
      <w:r>
        <w:rPr>
          <w:sz w:val="21"/>
        </w:rPr>
        <w:t>台；</w:t>
      </w:r>
    </w:p>
    <w:p w14:paraId="00100006">
      <w:pPr>
        <w:spacing w:after="200"/>
        <w:jc w:val="left"/>
        <w:rPr>
          <w:rFonts w:hint="eastAsia"/>
          <w:sz w:val="21"/>
          <w:lang w:val="en-US" w:eastAsia="zh-CN"/>
        </w:rPr>
      </w:pPr>
      <w:r>
        <w:rPr>
          <w:sz w:val="21"/>
        </w:rPr>
        <w:t>保险侧适用范围：</w:t>
      </w:r>
      <w:r>
        <w:rPr>
          <w:rFonts w:hint="eastAsia"/>
          <w:sz w:val="21"/>
          <w:lang w:val="en-US" w:eastAsia="zh-CN"/>
        </w:rPr>
        <w:t>准备上架备案平台的任何保险公司</w:t>
      </w:r>
    </w:p>
    <w:p w14:paraId="0ED83C99">
      <w:pPr>
        <w:spacing w:after="200"/>
        <w:jc w:val="left"/>
        <w:rPr>
          <w:rFonts w:hint="default"/>
          <w:sz w:val="21"/>
          <w:lang w:val="en-US" w:eastAsia="zh-CN"/>
        </w:rPr>
      </w:pPr>
      <w:r>
        <w:rPr>
          <w:rFonts w:hint="eastAsia"/>
          <w:sz w:val="21"/>
          <w:lang w:val="en-US" w:eastAsia="zh-CN"/>
        </w:rPr>
        <w:t>更新日期：2026.6.3</w:t>
      </w:r>
    </w:p>
    <w:p w14:paraId="00100008">
      <w:pPr>
        <w:spacing w:after="120"/>
        <w:jc w:val="left"/>
      </w:pPr>
      <w:r>
        <w:rPr>
          <w:b/>
          <w:sz w:val="24"/>
        </w:rPr>
        <w:t>二、文档定位</w:t>
      </w:r>
    </w:p>
    <w:p w14:paraId="11D2A2CA">
      <w:pPr>
        <w:spacing w:after="60"/>
        <w:jc w:val="left"/>
        <w:rPr>
          <w:sz w:val="21"/>
        </w:rPr>
      </w:pPr>
      <w:r>
        <w:rPr>
          <w:sz w:val="21"/>
        </w:rPr>
        <w:t>本文档为平台侧输出的保险公司标准对接需求文档，用于统一青浦区小型工程安全生产责任保险线上投保的对接口径，作为后续与太保、平安、国任等保险公司产品、开发、联调人员沟通的标准底稿。</w:t>
      </w:r>
    </w:p>
    <w:p w14:paraId="0010000C">
      <w:pPr>
        <w:spacing w:after="200"/>
        <w:jc w:val="left"/>
      </w:pPr>
      <w:r>
        <w:rPr>
          <w:sz w:val="21"/>
        </w:rPr>
        <w:t>使用原则：先以太保为首个落地案例跑通完整对接流程；太保跑通后，将已验证的对接方式沉淀为平台标准口径；后续平安、国任优先复用本文档结构，仅替换各保司专属产品参数、接口地址、鉴权方式和联调环境。</w:t>
      </w:r>
    </w:p>
    <w:p w14:paraId="0010000E">
      <w:pPr>
        <w:spacing w:after="120"/>
        <w:jc w:val="left"/>
      </w:pPr>
      <w:r>
        <w:rPr>
          <w:b/>
          <w:sz w:val="24"/>
        </w:rPr>
        <w:t>三、标准对接范围</w:t>
      </w:r>
    </w:p>
    <w:p w14:paraId="00100010">
      <w:pPr>
        <w:spacing w:after="60"/>
        <w:jc w:val="left"/>
      </w:pPr>
      <w:r>
        <w:rPr>
          <w:sz w:val="21"/>
        </w:rPr>
        <w:t>本期纳入标准化范围：投保入口、投保成功短信、保单状态回传、电子保单推送</w:t>
      </w:r>
    </w:p>
    <w:p w14:paraId="00100012">
      <w:pPr>
        <w:spacing w:after="200"/>
        <w:jc w:val="left"/>
      </w:pPr>
      <w:r>
        <w:rPr>
          <w:sz w:val="21"/>
        </w:rPr>
        <w:t>本期不纳入标准化范围：退保、批改、对账、理赔，均按线下处理。</w:t>
      </w:r>
    </w:p>
    <w:p w14:paraId="00100014">
      <w:pPr>
        <w:spacing w:after="120"/>
        <w:jc w:val="left"/>
      </w:pPr>
      <w:r>
        <w:rPr>
          <w:b/>
          <w:sz w:val="24"/>
        </w:rPr>
        <w:t>四、标准业务流程示意</w:t>
      </w:r>
    </w:p>
    <w:p w14:paraId="00100016">
      <w:pPr>
        <w:spacing w:after="60"/>
        <w:jc w:val="left"/>
      </w:pPr>
      <w:r>
        <w:rPr>
          <w:sz w:val="21"/>
        </w:rPr>
        <w:t>受平台能力边界约束，备案平台内不支持直接嵌入交易性行为，因此本期线上投保采用“平台展示保司入口 + 保司短信下发投保链接 + 浏览器完成支付 + 保单结果回传平台”的实现策略。</w:t>
      </w:r>
    </w:p>
    <w:p w14:paraId="00100018">
      <w:pPr>
        <w:spacing w:after="120"/>
        <w:jc w:val="left"/>
      </w:pPr>
      <w:r>
        <w:rPr>
          <w:sz w:val="21"/>
        </w:rPr>
        <w:t>整体流程：1. 备案平台展示可选的线上投保保险公司列表。2. 用户在备案平台中选择某一家保险公司。3. 保险公司向用户手机号发送投保短信。4. 短信中包含订单基础信息、订单号及投保链接地址。5. 用户点击短信链接，跳转至浏览器打开保险产品投保页面。6. 用户在保险公司投保页面完成投保信息确认和支付。7. 用户支付完成后，保险公司将电子保单等保单信息回传至备案平台。8. 备案平台接收回传结果，并将保单信息关联到当前备案业务。</w:t>
      </w:r>
    </w:p>
    <w:p w14:paraId="0010001A">
      <w:pPr>
        <w:spacing w:after="120"/>
        <w:jc w:val="left"/>
      </w:pPr>
      <w:r>
        <w:rPr>
          <w:sz w:val="21"/>
        </w:rPr>
        <w:t>完整流程图如下：</w:t>
      </w:r>
    </w:p>
    <w:p w14:paraId="00100057">
      <w:r>
        <w:drawing>
          <wp:inline distT="0" distB="0" distL="0" distR="0">
            <wp:extent cx="5111750" cy="4020820"/>
            <wp:effectExtent l="0" t="0" r="0" b="0"/>
            <wp:docPr id="1" name="保险对接完整流程图" descr="保险对接完整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保险对接完整流程图" descr="保险对接完整流程图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02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1C">
      <w:pPr>
        <w:spacing w:after="200"/>
        <w:jc w:val="left"/>
      </w:pPr>
      <w:r>
        <w:rPr>
          <w:sz w:val="21"/>
        </w:rPr>
        <w:t>流程约束：备案平台负责展示保险公司入口和承接保单结果，不承载交易支付页面；保险交易行为发生在保险公司侧页面，不发生在备案平台内；短信链接为用户进入保险公司投保页面的主要承接方式；用户支付完成后，保险公司需按约定接口将保单结果回传至备案平台。</w:t>
      </w:r>
    </w:p>
    <w:p w14:paraId="0010001E">
      <w:pPr>
        <w:spacing w:after="120"/>
        <w:jc w:val="left"/>
      </w:pPr>
      <w:r>
        <w:rPr>
          <w:b/>
          <w:sz w:val="24"/>
        </w:rPr>
        <w:t>五、平台统一业务规则</w:t>
      </w:r>
    </w:p>
    <w:p w14:paraId="00100020">
      <w:pPr>
        <w:spacing w:after="60"/>
        <w:jc w:val="left"/>
      </w:pPr>
      <w:r>
        <w:rPr>
          <w:sz w:val="21"/>
        </w:rPr>
        <w:t>平台本期需支持随申办 APP、随申办微信小程序、随申办支付宝小程序 3 个入口；平台通过接口或链接方式向保险侧传递投保参数，保险侧再通过短信向用户下发订单信息及投保链接；平台基于备案信息向保险侧预填投保资料；客户在保险侧页面自主确认、修改、支付和完成投保；原则上平台传入的页面预填字段允许客户在投保页面修改；需支持不同端口配置不同可用支付方式；备案平台内不嵌入交易行为，支付动作在外部浏览器打开的保险侧页面完成。</w:t>
      </w:r>
    </w:p>
    <w:p w14:paraId="00100022">
      <w:pPr>
        <w:spacing w:after="200"/>
        <w:jc w:val="left"/>
      </w:pPr>
      <w:r>
        <w:rPr>
          <w:sz w:val="21"/>
        </w:rPr>
        <w:t>投保成功后，保险侧需自动向客户发送投保成功短信、自动向客户邮箱推送电子保单、自动按投保人口径开具并推送电子发票，并向平台回传投保结果与保单结果。</w:t>
      </w:r>
    </w:p>
    <w:p w14:paraId="00100024">
      <w:pPr>
        <w:spacing w:after="120"/>
        <w:jc w:val="left"/>
      </w:pPr>
      <w:r>
        <w:rPr>
          <w:b/>
          <w:sz w:val="24"/>
        </w:rPr>
        <w:t>六、平台传保险侧字段清单</w:t>
      </w:r>
    </w:p>
    <w:p w14:paraId="00100026">
      <w:pPr>
        <w:spacing w:after="60"/>
        <w:jc w:val="left"/>
      </w:pPr>
      <w:r>
        <w:rPr>
          <w:sz w:val="21"/>
        </w:rPr>
        <w:t>投/被保险人信息：投/被保险人名称（文本）、统一社会信用代码号（数值）、备案人姓名（文本）、备案人手机号码（数值）。</w:t>
      </w:r>
    </w:p>
    <w:p w14:paraId="00100028">
      <w:pPr>
        <w:spacing w:after="60"/>
        <w:jc w:val="left"/>
      </w:pPr>
      <w:r>
        <w:rPr>
          <w:sz w:val="21"/>
        </w:rPr>
        <w:t>工程信息：工程名称（文本）、工程类型（文本）、工程地址（文本）、所属街镇（文本）、主要施工内容（文本）、施工负责人（文本）、施工负责人手机号码（数值）、工程造价（数值）、工程起期（日期）、工程止期（日期）。</w:t>
      </w:r>
    </w:p>
    <w:p w14:paraId="0010002A">
      <w:pPr>
        <w:spacing w:after="60"/>
        <w:jc w:val="left"/>
      </w:pPr>
      <w:r>
        <w:rPr>
          <w:sz w:val="21"/>
        </w:rPr>
        <w:t>图片资料：施工单位营业执照（JPG 或其他图片格式传输）、承发包合同（JPG、PDF 或其他格式传输）。</w:t>
      </w:r>
    </w:p>
    <w:p w14:paraId="0010002C">
      <w:pPr>
        <w:spacing w:after="200"/>
        <w:jc w:val="left"/>
      </w:pPr>
      <w:r>
        <w:rPr>
          <w:sz w:val="21"/>
        </w:rPr>
        <w:t>字段使用说明：上述字段为平台当前明确需传递给保险侧的标准字段清单，后续太保、平安、国任对接时原则上优先复用；各保司如字段命名、类型定义、附件传输方式不同，应在接口适配层完成映射；统一社会信用代码号、手机号当前资料口径记录为数值，但接口层是否按字符串传输，需以保司接口文档最终确认为准；图片资料的传输方式需进一步明确是文件直传、文件 URL、Base64、表单文件流还是其他方式。</w:t>
      </w:r>
    </w:p>
    <w:p w14:paraId="0010002E">
      <w:pPr>
        <w:spacing w:after="120"/>
        <w:jc w:val="left"/>
      </w:pPr>
      <w:r>
        <w:rPr>
          <w:b/>
          <w:sz w:val="24"/>
        </w:rPr>
        <w:t>七、保险侧回传平台字段要求</w:t>
      </w:r>
    </w:p>
    <w:p w14:paraId="00100030">
      <w:pPr>
        <w:spacing w:after="200"/>
        <w:jc w:val="left"/>
      </w:pPr>
      <w:r>
        <w:rPr>
          <w:sz w:val="21"/>
        </w:rPr>
        <w:t>投保成功后，保险侧应通过约定接口向平台回传保单结果；本期最小回传字段集包括交易流水号、保单号、投保状态、电子保单 URL；失败最多重试 3 次，无时间限制；平台接口需返回明确成功或失败结果，便于保险侧判断是否重试。</w:t>
      </w:r>
    </w:p>
    <w:p w14:paraId="00100032">
      <w:pPr>
        <w:spacing w:after="120"/>
        <w:jc w:val="left"/>
      </w:pPr>
      <w:r>
        <w:rPr>
          <w:b/>
          <w:sz w:val="24"/>
        </w:rPr>
        <w:t>八、保司差异化配置项</w:t>
      </w:r>
    </w:p>
    <w:p w14:paraId="00100034">
      <w:pPr>
        <w:spacing w:after="200"/>
        <w:jc w:val="left"/>
      </w:pPr>
      <w:r>
        <w:rPr>
          <w:sz w:val="21"/>
        </w:rPr>
        <w:t>以下内容不应写死为平台统一固定值，而应作为每家保司单独确认的配置项：活动代码、产品代码、方案代码、展业方式、拉起地址、鉴权方式、支付方式限制、附件传输方式、回传字段扩展。</w:t>
      </w:r>
    </w:p>
    <w:p w14:paraId="00100036">
      <w:pPr>
        <w:spacing w:after="120"/>
        <w:jc w:val="left"/>
      </w:pPr>
      <w:r>
        <w:rPr>
          <w:b/>
          <w:sz w:val="24"/>
        </w:rPr>
        <w:t>九、首轮试点保司参考信息</w:t>
      </w:r>
    </w:p>
    <w:p w14:paraId="00100038">
      <w:pPr>
        <w:spacing w:after="200"/>
        <w:jc w:val="left"/>
      </w:pPr>
      <w:r>
        <w:rPr>
          <w:sz w:val="21"/>
        </w:rPr>
        <w:t>本章节仅记录太保首轮对接中已收到的参考产品信息，用于试点阶段沟通，不作为后续所有保司的统一固定值。当前太保参考值：活动代码为重新配置；产品代码为 PDL20260309A00038113；方案代码为 PL1107NN0026A10000005、PL1107NN0026A10000004；展业方式为自营网销，无代理或经纪。</w:t>
      </w:r>
    </w:p>
    <w:p w14:paraId="0010003A">
      <w:pPr>
        <w:spacing w:after="120"/>
        <w:jc w:val="left"/>
      </w:pPr>
      <w:r>
        <w:rPr>
          <w:b/>
          <w:sz w:val="24"/>
        </w:rPr>
        <w:t>十、双方接口交付物要求</w:t>
      </w:r>
    </w:p>
    <w:p w14:paraId="0010003C">
      <w:pPr>
        <w:spacing w:after="200"/>
        <w:jc w:val="left"/>
      </w:pPr>
      <w:r>
        <w:rPr>
          <w:sz w:val="21"/>
        </w:rPr>
        <w:t>保险侧需提供给平台侧的文档：带参拉起投保链接接口文档、字段映射附件、联调环境说明。平台侧需提供给保险侧的文档：保单状态回传接口文档、平台字段清单、联调配合信息。</w:t>
      </w:r>
    </w:p>
    <w:p w14:paraId="0010003E">
      <w:pPr>
        <w:spacing w:after="120"/>
        <w:jc w:val="left"/>
      </w:pPr>
      <w:r>
        <w:rPr>
          <w:b/>
          <w:sz w:val="24"/>
        </w:rPr>
        <w:t>十一、联调边界说明</w:t>
      </w:r>
    </w:p>
    <w:p w14:paraId="00100040">
      <w:pPr>
        <w:spacing w:after="60"/>
        <w:jc w:val="left"/>
      </w:pPr>
      <w:r>
        <w:rPr>
          <w:sz w:val="21"/>
        </w:rPr>
        <w:t>平台侧负责：提供线上投保入口承接位、组织并传递投保参数、提供投保结果回传接口、在平台业务中消费回传结果并用于后续备案链路关联。</w:t>
      </w:r>
    </w:p>
    <w:p w14:paraId="00100042">
      <w:pPr>
        <w:spacing w:after="60"/>
        <w:jc w:val="left"/>
      </w:pPr>
      <w:r>
        <w:rPr>
          <w:sz w:val="21"/>
        </w:rPr>
        <w:t>保险侧负责：提供投保链接拉起能力及相关接口文档、承接客户投保页面/信息修改/支付/出单、发送投保成功短信、推送电子保单邮件和电子发票邮件、投保成功后按约定向平台回传保单结果。</w:t>
      </w:r>
    </w:p>
    <w:p w14:paraId="00100044">
      <w:pPr>
        <w:spacing w:after="200"/>
        <w:jc w:val="left"/>
      </w:pPr>
      <w:r>
        <w:rPr>
          <w:sz w:val="21"/>
        </w:rPr>
        <w:t>本期明确不做：退保、批改线上接口；自动对账接口；理赔线上流程。</w:t>
      </w:r>
    </w:p>
    <w:p w14:paraId="00100046">
      <w:pPr>
        <w:spacing w:after="120"/>
        <w:jc w:val="left"/>
      </w:pPr>
      <w:r>
        <w:rPr>
          <w:b/>
          <w:sz w:val="24"/>
        </w:rPr>
        <w:t>十二、建议的标准化推进顺序</w:t>
      </w:r>
    </w:p>
    <w:p w14:paraId="00100048">
      <w:pPr>
        <w:spacing w:after="200"/>
        <w:jc w:val="left"/>
      </w:pPr>
      <w:r>
        <w:rPr>
          <w:sz w:val="21"/>
        </w:rPr>
        <w:t>先以太保作为首轮试点，跑通完整对接流程；在试点过程中固化平台字段清单、字段映射方式、回传规则、异常处理规则；形成平台标准对接文档和平台标准回传接口文档；后续平安、国任对接时复用本标准文档，仅替换保司差异化配置项；多家保司跑通后，再沉淀统一的保司接入规范或接口适配规范。</w:t>
      </w:r>
    </w:p>
    <w:p w14:paraId="0010004A">
      <w:pPr>
        <w:spacing w:after="120"/>
        <w:jc w:val="left"/>
      </w:pPr>
      <w:r>
        <w:rPr>
          <w:b/>
          <w:sz w:val="24"/>
        </w:rPr>
        <w:t>十三、决策记录</w:t>
      </w:r>
    </w:p>
    <w:p w14:paraId="0010004C">
      <w:pPr>
        <w:spacing w:after="200"/>
        <w:jc w:val="left"/>
      </w:pPr>
      <w:r>
        <w:rPr>
          <w:sz w:val="21"/>
        </w:rPr>
        <w:t>当前决策包括：本文档为平台侧标准对接文档，不再写成单一保司专项文档；当前适用太保、平安、国任；太保现有产品信息仅保留为首轮试点参考值，不作为全量保司统一参数；平台传值字段以本轮用户提供的字段表作为当前标准字段清单初稿；因备案平台不支持嵌入交易性行为，投保流程采用“平台展示保司入口 + 保司短信下发投保链接 + 浏览器完成支付 + 保单回传平台”的方式实现。</w:t>
      </w:r>
    </w:p>
    <w:p w14:paraId="0010004E">
      <w:pPr>
        <w:spacing w:after="120"/>
        <w:jc w:val="left"/>
      </w:pPr>
      <w:r>
        <w:rPr>
          <w:b/>
          <w:sz w:val="24"/>
        </w:rPr>
        <w:t>十四、待确认事项</w:t>
      </w:r>
    </w:p>
    <w:p w14:paraId="00100050">
      <w:pPr>
        <w:spacing w:after="200"/>
        <w:jc w:val="left"/>
      </w:pPr>
      <w:r>
        <w:rPr>
          <w:sz w:val="21"/>
        </w:rPr>
        <w:t>待确认事项包括：各保司正式字段映射关系；统一社会信用代码号与手机号的数据类型；图片资料的传输方式；拉起方式；三端支付方式限制规则；接口鉴权方式；回传字段完整范围；电子保单 URL 有效期；发票口径；短信模板与失败处理；联调环境安排。</w:t>
      </w:r>
    </w:p>
    <w:p w14:paraId="00100052">
      <w:pPr>
        <w:spacing w:after="120"/>
        <w:jc w:val="left"/>
      </w:pPr>
      <w:r>
        <w:rPr>
          <w:b/>
          <w:sz w:val="24"/>
        </w:rPr>
        <w:t>十五、结论</w:t>
      </w:r>
    </w:p>
    <w:p w14:paraId="00100054">
      <w:pPr>
        <w:spacing w:after="200"/>
        <w:jc w:val="left"/>
      </w:pPr>
      <w:r>
        <w:rPr>
          <w:sz w:val="21"/>
        </w:rPr>
        <w:t>本次整理后，文档已从太保专项对接说明升级为平台侧标准对接需求文档。太保现有产品信息被降级为首轮试点参考值，平台实际传递给保司的字段清单被提升为标准正文内容，同时补充了“平台展示保司入口 + 保司短信下发链接 + 浏览器完成支付 + 保单回传平台”的标准流程说明，便于后续平安、国任等保司复用同一套对接框架。待太保首轮流程跑通并补齐字段映射、拉起方式、鉴权方式、附件传输方式后，可进一步沉淀为平台统一的保司接入规范。</w:t>
      </w:r>
    </w:p>
    <w:sectPr>
      <w:pgSz w:w="11906" w:h="16838"/>
      <w:pgMar w:top="1440" w:right="1800" w:bottom="1440" w:left="1800" w:header="720" w:footer="720" w:gutter="0"/>
      <w:cols w:space="720" w:num="1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DD84351"/>
    <w:rsid w:val="16FB4EBA"/>
    <w:rsid w:val="63047B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等线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9" w:lineRule="auto"/>
    </w:pPr>
    <w:rPr>
      <w:rFonts w:ascii="Times New Roman" w:hAnsi="Times New Roman" w:eastAsia="等线" w:cstheme="minorBidi"/>
      <w:sz w:val="22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2724</Words>
  <Characters>2819</Characters>
  <TotalTime>14</TotalTime>
  <ScaleCrop>false</ScaleCrop>
  <LinksUpToDate>false</LinksUpToDate>
  <CharactersWithSpaces>2858</CharactersWithSpaces>
  <Application>WPS Office_12.1.0.26373_F1E327BC-269C-435d-A152-05C5408002CA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2026-06-03T02:40:00Z</dcterms:created>
  <dc:creator>OfficeCLI</dc:creator>
  <cp:lastModifiedBy>L.</cp:lastModifiedBy>
  <dcterms:modified xsi:type="dcterms:W3CDTF">2026-06-03T08:23:25Z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1.0.100</vt:lpwstr>
  </property>
  <property fmtid="{D5CDD505-2E9C-101B-9397-08002B2CF9AE}" pid="3" name="OfficeCLI.LastModified">
    <vt:lpwstr>2026-06-03T03:42:05Z</vt:lpwstr>
  </property>
  <property fmtid="{D5CDD505-2E9C-101B-9397-08002B2CF9AE}" pid="4" name="KSOTemplateDocerSaveRecord">
    <vt:lpwstr>eyJoZGlkIjoiMDFjNzYwNjdkOGUwOTFhZjM2ODcyNGQ5ZTU5ZjYzZDgiLCJ1c2VySWQiOiIxNTMzNTExNDQ2In0=</vt:lpwstr>
  </property>
  <property fmtid="{D5CDD505-2E9C-101B-9397-08002B2CF9AE}" pid="5" name="KSOProductBuildVer">
    <vt:lpwstr>2052-12.1.0.26373</vt:lpwstr>
  </property>
  <property fmtid="{D5CDD505-2E9C-101B-9397-08002B2CF9AE}" pid="6" name="ICV">
    <vt:lpwstr>D69AF4A48F3146608F1E71CA6ECED644_12</vt:lpwstr>
  </property>
</Properties>
</file>