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ACC7EA">
      <w:pPr>
        <w:spacing w:line="360" w:lineRule="auto"/>
        <w:ind w:firstLine="3253" w:firstLineChars="900"/>
        <w:jc w:val="left"/>
        <w:rPr>
          <w:rFonts w:hint="default" w:eastAsia="宋体"/>
          <w:b/>
          <w:sz w:val="24"/>
          <w:szCs w:val="24"/>
          <w:lang w:val="en-US" w:eastAsia="zh-CN"/>
        </w:rPr>
      </w:pPr>
      <w:r>
        <w:rPr>
          <w:rFonts w:hint="eastAsia"/>
          <w:b/>
          <w:sz w:val="36"/>
          <w:szCs w:val="36"/>
          <w:lang w:val="en-US" w:eastAsia="zh-CN"/>
        </w:rPr>
        <w:t>陈越律师简历</w:t>
      </w:r>
    </w:p>
    <w:p w14:paraId="76022FD8">
      <w:pPr>
        <w:spacing w:line="360" w:lineRule="auto"/>
        <w:jc w:val="left"/>
        <w:rPr>
          <w:rFonts w:hint="eastAsia" w:eastAsia="宋体"/>
          <w:b/>
          <w:sz w:val="24"/>
          <w:szCs w:val="24"/>
          <w:lang w:val="en-US" w:eastAsia="zh-CN"/>
        </w:rPr>
      </w:pPr>
    </w:p>
    <w:p w14:paraId="2C039FAA">
      <w:pPr>
        <w:spacing w:line="360" w:lineRule="auto"/>
        <w:jc w:val="left"/>
        <w:rPr>
          <w:rFonts w:hint="default" w:eastAsia="宋体"/>
          <w:b w:val="0"/>
          <w:bCs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擅长领域：刑事辩护与控告（尤其系</w:t>
      </w:r>
      <w:r>
        <w:rPr>
          <w:rFonts w:hint="eastAsia"/>
          <w:b w:val="0"/>
          <w:bCs/>
          <w:sz w:val="24"/>
          <w:szCs w:val="24"/>
          <w:lang w:val="en-US" w:eastAsia="zh-CN"/>
        </w:rPr>
        <w:t>涉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刑民交叉）、婚姻家庭争议解决（尤其系涉财产分割）</w:t>
      </w:r>
      <w:r>
        <w:rPr>
          <w:rFonts w:hint="eastAsia"/>
          <w:b w:val="0"/>
          <w:bCs/>
          <w:sz w:val="24"/>
          <w:szCs w:val="24"/>
          <w:lang w:val="en-US" w:eastAsia="zh-CN"/>
        </w:rPr>
        <w:t>、常法顾问（尤其系涉街道、村居）</w:t>
      </w:r>
    </w:p>
    <w:p w14:paraId="672C6CC7">
      <w:pPr>
        <w:spacing w:line="360" w:lineRule="auto"/>
        <w:ind w:left="482" w:hanging="482" w:hangingChars="200"/>
        <w:jc w:val="left"/>
        <w:rPr>
          <w:rFonts w:hint="eastAsia" w:eastAsia="宋体"/>
          <w:b/>
          <w:sz w:val="24"/>
          <w:szCs w:val="24"/>
          <w:lang w:eastAsia="zh-CN"/>
        </w:rPr>
      </w:pPr>
      <w:r>
        <w:rPr>
          <w:rFonts w:hint="eastAsia" w:eastAsia="宋体"/>
          <w:b/>
          <w:sz w:val="24"/>
          <w:szCs w:val="24"/>
        </w:rPr>
        <w:t>工作经历</w:t>
      </w:r>
      <w:r>
        <w:rPr>
          <w:rFonts w:hint="eastAsia" w:eastAsia="宋体"/>
          <w:b/>
          <w:sz w:val="24"/>
          <w:szCs w:val="24"/>
          <w:lang w:eastAsia="zh-CN"/>
        </w:rPr>
        <w:t>：</w:t>
      </w:r>
    </w:p>
    <w:p w14:paraId="506F75FE">
      <w:pPr>
        <w:spacing w:line="360" w:lineRule="auto"/>
        <w:ind w:firstLine="480" w:firstLineChars="200"/>
        <w:jc w:val="left"/>
        <w:rPr>
          <w:rFonts w:hint="eastAsia" w:eastAsia="宋体"/>
          <w:b w:val="0"/>
          <w:bCs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西南政法大学刑法学法律硕士。第十一届广州市律师协会青年律师工作委员会委员，现任广州市黄埔区人民法院</w:t>
      </w:r>
      <w:r>
        <w:rPr>
          <w:rFonts w:hint="eastAsia"/>
          <w:b w:val="0"/>
          <w:bCs/>
          <w:sz w:val="24"/>
          <w:szCs w:val="24"/>
          <w:lang w:val="en-US" w:eastAsia="zh-CN"/>
        </w:rPr>
        <w:t>（民一庭）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特邀调解员、</w:t>
      </w:r>
      <w:r>
        <w:rPr>
          <w:rFonts w:hint="eastAsia"/>
          <w:b w:val="0"/>
          <w:bCs/>
          <w:sz w:val="24"/>
          <w:szCs w:val="24"/>
          <w:lang w:val="en-US" w:eastAsia="zh-CN"/>
        </w:rPr>
        <w:t>黄埔区某街道商会顾问、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多家</w:t>
      </w:r>
      <w:r>
        <w:rPr>
          <w:rFonts w:hint="eastAsia"/>
          <w:b w:val="0"/>
          <w:bCs/>
          <w:sz w:val="24"/>
          <w:szCs w:val="24"/>
          <w:lang w:val="en-US" w:eastAsia="zh-CN"/>
        </w:rPr>
        <w:t>村、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社区常年法律顾问</w:t>
      </w:r>
      <w:r>
        <w:rPr>
          <w:rFonts w:hint="eastAsia"/>
          <w:b w:val="0"/>
          <w:bCs/>
          <w:sz w:val="24"/>
          <w:szCs w:val="24"/>
          <w:lang w:val="en-US" w:eastAsia="zh-CN"/>
        </w:rPr>
        <w:t>、多家村社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人民调解委员会副主任</w:t>
      </w:r>
      <w:r>
        <w:rPr>
          <w:rFonts w:hint="eastAsia"/>
          <w:b w:val="0"/>
          <w:bCs/>
          <w:sz w:val="24"/>
          <w:szCs w:val="24"/>
          <w:lang w:val="en-US" w:eastAsia="zh-CN"/>
        </w:rPr>
        <w:t>，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擅长</w:t>
      </w:r>
      <w:r>
        <w:rPr>
          <w:rFonts w:hint="eastAsia"/>
          <w:b w:val="0"/>
          <w:bCs/>
          <w:sz w:val="24"/>
          <w:szCs w:val="24"/>
          <w:lang w:val="en-US" w:eastAsia="zh-CN"/>
        </w:rPr>
        <w:t>以谈判、调解等方式解决争议。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执业多年（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截止2026.6从业六年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），出庭办案足迹遍布全国，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从四线城市的派出法庭到最高人民法院均有出庭代理经历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，从业至今累计承办诉讼案件超 400 件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。</w:t>
      </w:r>
    </w:p>
    <w:p w14:paraId="73B4305B">
      <w:pPr>
        <w:spacing w:line="360" w:lineRule="auto"/>
        <w:ind w:firstLine="480" w:firstLineChars="200"/>
        <w:jc w:val="left"/>
        <w:rPr>
          <w:rFonts w:hint="eastAsia" w:eastAsia="宋体"/>
          <w:b w:val="0"/>
          <w:bCs/>
          <w:sz w:val="24"/>
          <w:szCs w:val="24"/>
          <w:lang w:val="en-US" w:eastAsia="zh-CN"/>
        </w:rPr>
      </w:pPr>
      <w:r>
        <w:rPr>
          <w:rFonts w:hint="eastAsia" w:eastAsia="宋体"/>
          <w:b w:val="0"/>
          <w:bCs/>
          <w:sz w:val="24"/>
          <w:szCs w:val="24"/>
          <w:lang w:eastAsia="zh-CN"/>
        </w:rPr>
        <w:t>此前任职广州本土十佳律所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成立于1982年），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担任刑事专业委员会副主任</w:t>
      </w:r>
      <w:r>
        <w:rPr>
          <w:rFonts w:hint="eastAsia"/>
          <w:b w:val="0"/>
          <w:bCs/>
          <w:sz w:val="24"/>
          <w:szCs w:val="24"/>
          <w:lang w:eastAsia="zh-CN"/>
        </w:rPr>
        <w:t>。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现扎根北京瀛和（广州）律师事务所独立执业</w:t>
      </w:r>
      <w:r>
        <w:rPr>
          <w:rFonts w:hint="eastAsia"/>
          <w:b w:val="0"/>
          <w:bCs/>
          <w:sz w:val="24"/>
          <w:szCs w:val="24"/>
          <w:lang w:eastAsia="zh-CN"/>
        </w:rPr>
        <w:t>，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组建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所内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团队，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团队均以具有司法从业或背景的独立律师组成，以深耕细分赛道为导向，持续精进业务为习惯，</w:t>
      </w:r>
      <w:r>
        <w:rPr>
          <w:rFonts w:hint="eastAsia"/>
          <w:b w:val="0"/>
          <w:bCs/>
          <w:sz w:val="24"/>
          <w:szCs w:val="24"/>
          <w:lang w:val="en-US" w:eastAsia="zh-CN"/>
        </w:rPr>
        <w:t>开放合作为理念，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>致力于做复杂问题的争议解决专家。</w:t>
      </w:r>
    </w:p>
    <w:p w14:paraId="14474C86">
      <w:pPr>
        <w:spacing w:line="360" w:lineRule="auto"/>
        <w:ind w:firstLine="482" w:firstLineChars="200"/>
        <w:jc w:val="left"/>
        <w:rPr>
          <w:rFonts w:hint="eastAsia" w:eastAsia="宋体"/>
          <w:b/>
          <w:sz w:val="24"/>
          <w:szCs w:val="24"/>
        </w:rPr>
      </w:pPr>
    </w:p>
    <w:p w14:paraId="12BFCCAE">
      <w:pPr>
        <w:spacing w:line="360" w:lineRule="auto"/>
        <w:jc w:val="left"/>
        <w:rPr>
          <w:rFonts w:hint="eastAsia" w:eastAsia="宋体"/>
          <w:b/>
          <w:sz w:val="24"/>
          <w:szCs w:val="24"/>
        </w:rPr>
      </w:pPr>
    </w:p>
    <w:p w14:paraId="62BF68CC">
      <w:pPr>
        <w:spacing w:line="360" w:lineRule="auto"/>
        <w:jc w:val="left"/>
        <w:rPr>
          <w:rFonts w:hint="eastAsia" w:eastAsia="宋体"/>
          <w:b w:val="0"/>
          <w:bCs/>
          <w:sz w:val="24"/>
          <w:szCs w:val="24"/>
          <w:lang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个人</w:t>
      </w:r>
      <w:r>
        <w:rPr>
          <w:rFonts w:hint="eastAsia" w:eastAsia="宋体"/>
          <w:b/>
          <w:sz w:val="24"/>
          <w:szCs w:val="24"/>
        </w:rPr>
        <w:t>代表业绩</w:t>
      </w:r>
      <w:r>
        <w:rPr>
          <w:rFonts w:hint="eastAsia" w:eastAsia="宋体"/>
          <w:b/>
          <w:sz w:val="24"/>
          <w:szCs w:val="24"/>
          <w:lang w:eastAsia="zh-CN"/>
        </w:rPr>
        <w:t>：</w:t>
      </w:r>
      <w:r>
        <w:rPr>
          <w:rFonts w:hint="eastAsia" w:eastAsia="宋体"/>
          <w:b/>
          <w:sz w:val="24"/>
          <w:szCs w:val="24"/>
          <w:lang w:eastAsia="zh-CN"/>
        </w:rPr>
        <w:br w:type="textWrapping"/>
      </w:r>
      <w:r>
        <w:rPr>
          <w:rFonts w:hint="eastAsia" w:eastAsia="宋体"/>
          <w:b w:val="0"/>
          <w:bCs/>
          <w:sz w:val="24"/>
          <w:szCs w:val="24"/>
          <w:lang w:eastAsia="zh-CN"/>
        </w:rPr>
        <w:t>1.办理某抢劫致人死亡特别重大刑事案件，担任该案最高人民法院刑事审判阶段的辩护人，积累重罪案件高阶辩护经验，办案考验综合把控与辩护能力。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北京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5819F6EC">
      <w:pPr>
        <w:numPr>
          <w:numId w:val="0"/>
        </w:numPr>
        <w:spacing w:line="360" w:lineRule="auto"/>
        <w:jc w:val="left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2.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承办某非法销售窃听专用器材罪案件，最终检察院阶段退查未重报，达成实质无罪化处理，在该类敏感案件中非常罕见。办案考验综合把控与辩护能力。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浙江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2BE5A6C8">
      <w:pPr>
        <w:numPr>
          <w:numId w:val="0"/>
        </w:numPr>
        <w:spacing w:line="360" w:lineRule="auto"/>
        <w:jc w:val="left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3.承办某北方国企职务侵占、非法集资刑事控告专项（7个亿左右标的）。具有地区影响力、系代理国企经济犯罪控告的代表作，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办案考验综合把控与辩护能力。</w:t>
      </w:r>
    </w:p>
    <w:p w14:paraId="79114C43">
      <w:pPr>
        <w:spacing w:line="360" w:lineRule="auto"/>
        <w:jc w:val="left"/>
        <w:rPr>
          <w:rFonts w:hint="eastAsia" w:eastAsia="宋体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4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.</w:t>
      </w:r>
      <w:r>
        <w:rPr>
          <w:rFonts w:hint="eastAsia"/>
          <w:b w:val="0"/>
          <w:bCs/>
          <w:sz w:val="24"/>
          <w:szCs w:val="24"/>
          <w:lang w:val="en-US" w:eastAsia="zh-CN"/>
        </w:rPr>
        <w:t>办理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某拒不履行判决、裁定罪刑事控告工作。该类案件</w:t>
      </w:r>
      <w:r>
        <w:rPr>
          <w:rFonts w:hint="eastAsia"/>
          <w:b w:val="0"/>
          <w:bCs/>
          <w:sz w:val="24"/>
          <w:szCs w:val="24"/>
          <w:lang w:val="en-US" w:eastAsia="zh-CN"/>
        </w:rPr>
        <w:t>以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立案门槛极高、实操难度大</w:t>
      </w:r>
      <w:r>
        <w:rPr>
          <w:rFonts w:hint="eastAsia"/>
          <w:b w:val="0"/>
          <w:bCs/>
          <w:sz w:val="24"/>
          <w:szCs w:val="24"/>
          <w:lang w:val="en-US" w:eastAsia="zh-CN"/>
        </w:rPr>
        <w:t>著称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，立案数量极少，经专项攻坚，成功</w:t>
      </w:r>
      <w:r>
        <w:rPr>
          <w:rFonts w:hint="eastAsia"/>
          <w:b w:val="0"/>
          <w:bCs/>
          <w:sz w:val="24"/>
          <w:szCs w:val="24"/>
          <w:lang w:val="en-US" w:eastAsia="zh-CN"/>
        </w:rPr>
        <w:t>刑事立案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，为民事僵局注入全新动能。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广州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78305BD4">
      <w:pPr>
        <w:spacing w:line="360" w:lineRule="auto"/>
        <w:jc w:val="left"/>
        <w:rPr>
          <w:rFonts w:hint="eastAsia" w:eastAsia="宋体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5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. 承办某破坏法律实施罪案件，当事人系案件核心“指导员”，个人获利近百万元、涉案小组整体获利近千万元，法定量刑标准为七年以上有期徒刑。经</w:t>
      </w:r>
      <w:r>
        <w:rPr>
          <w:rFonts w:hint="eastAsia"/>
          <w:b w:val="0"/>
          <w:bCs/>
          <w:sz w:val="24"/>
          <w:szCs w:val="24"/>
          <w:lang w:val="en-US" w:eastAsia="zh-CN"/>
        </w:rPr>
        <w:t>介入，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逮捕后取保，终判缓刑，</w:t>
      </w:r>
      <w:r>
        <w:rPr>
          <w:rFonts w:hint="eastAsia"/>
          <w:b w:val="0"/>
          <w:bCs/>
          <w:sz w:val="24"/>
          <w:szCs w:val="24"/>
          <w:lang w:val="en-US" w:eastAsia="zh-CN"/>
        </w:rPr>
        <w:t>该案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在当地具备较强地域影响力。办案考验综合把控与辩护能力。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山东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064BF2D0">
      <w:pPr>
        <w:spacing w:line="360" w:lineRule="auto"/>
        <w:jc w:val="left"/>
        <w:rPr>
          <w:rFonts w:hint="eastAsia" w:eastAsia="宋体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6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. 代理某故意杀人罪重大敏感案件，该案热度极高、曾登上广州市热搜，属于需层层报备、兼顾司法公正与社会舆情影响的重大疑难刑事案件，办案考验综合把控与合规辩护能力。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广州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28664952">
      <w:pPr>
        <w:spacing w:line="360" w:lineRule="auto"/>
        <w:jc w:val="left"/>
        <w:rPr>
          <w:rFonts w:hint="eastAsia" w:eastAsia="宋体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7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.办理湖南某假冒注册商标罪案件，侦查阶段认定为情节严重，量刑为三年以上七年以下有期徒刑。经</w:t>
      </w:r>
      <w:r>
        <w:rPr>
          <w:rFonts w:hint="eastAsia"/>
          <w:b w:val="0"/>
          <w:bCs/>
          <w:sz w:val="24"/>
          <w:szCs w:val="24"/>
          <w:lang w:val="en-US" w:eastAsia="zh-CN"/>
        </w:rPr>
        <w:t>介入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，案件整体掉档，终判缓刑</w:t>
      </w:r>
      <w:r>
        <w:rPr>
          <w:rFonts w:hint="eastAsia"/>
          <w:b w:val="0"/>
          <w:bCs/>
          <w:sz w:val="24"/>
          <w:szCs w:val="24"/>
          <w:lang w:eastAsia="zh-CN"/>
        </w:rPr>
        <w:t>，</w:t>
      </w:r>
      <w:r>
        <w:rPr>
          <w:rFonts w:hint="eastAsia"/>
          <w:b w:val="0"/>
          <w:bCs/>
          <w:sz w:val="24"/>
          <w:szCs w:val="24"/>
          <w:lang w:val="en-US" w:eastAsia="zh-CN"/>
        </w:rPr>
        <w:t>远超客户预期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。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湖南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0564CDFB">
      <w:pPr>
        <w:spacing w:line="360" w:lineRule="auto"/>
        <w:jc w:val="left"/>
        <w:rPr>
          <w:rFonts w:hint="eastAsia" w:eastAsia="宋体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8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.办理某帮助信息网络犯罪活动罪案件，公诉机关拟按掩饰、隐瞒犯罪所得罪重罪追责，严重可致七年以上，经</w:t>
      </w:r>
      <w:r>
        <w:rPr>
          <w:rFonts w:hint="eastAsia"/>
          <w:b w:val="0"/>
          <w:bCs/>
          <w:sz w:val="24"/>
          <w:szCs w:val="24"/>
          <w:lang w:val="en-US" w:eastAsia="zh-CN"/>
        </w:rPr>
        <w:t>介入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，成功变更罪名為帮助信息网络犯罪活动罪，终判缓刑。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东莞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6027367C">
      <w:pPr>
        <w:spacing w:line="360" w:lineRule="auto"/>
        <w:jc w:val="left"/>
        <w:rPr>
          <w:rFonts w:hint="eastAsia" w:eastAsia="宋体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9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.承办某侵犯著作权罪案件，针对从业“打工人”</w:t>
      </w:r>
      <w:r>
        <w:rPr>
          <w:rFonts w:hint="eastAsia"/>
          <w:b w:val="0"/>
          <w:bCs/>
          <w:sz w:val="24"/>
          <w:szCs w:val="24"/>
          <w:lang w:val="en-US" w:eastAsia="zh-CN"/>
        </w:rPr>
        <w:t>刑事危机处理的典型案例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，</w:t>
      </w:r>
      <w:r>
        <w:rPr>
          <w:rFonts w:hint="eastAsia"/>
          <w:b w:val="0"/>
          <w:bCs/>
          <w:sz w:val="24"/>
          <w:szCs w:val="24"/>
          <w:lang w:val="en-US" w:eastAsia="zh-CN"/>
        </w:rPr>
        <w:t>该类案件近年高发，大量该类人员被刑事追诉，本案为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针对从业“打工人”</w:t>
      </w:r>
      <w:r>
        <w:rPr>
          <w:rFonts w:hint="eastAsia"/>
          <w:b w:val="0"/>
          <w:bCs/>
          <w:sz w:val="24"/>
          <w:szCs w:val="24"/>
          <w:lang w:val="en-US" w:eastAsia="zh-CN"/>
        </w:rPr>
        <w:t>刑事危机处理的典型案例</w:t>
      </w:r>
      <w:r>
        <w:rPr>
          <w:rFonts w:hint="eastAsia" w:eastAsia="宋体"/>
          <w:b w:val="0"/>
          <w:bCs/>
          <w:sz w:val="24"/>
          <w:szCs w:val="24"/>
          <w:lang w:eastAsia="zh-CN"/>
        </w:rPr>
        <w:t>。</w:t>
      </w:r>
      <w:r>
        <w:rPr>
          <w:rFonts w:hint="eastAsia"/>
          <w:b w:val="0"/>
          <w:bCs/>
          <w:sz w:val="24"/>
          <w:szCs w:val="24"/>
          <w:lang w:eastAsia="zh-CN"/>
        </w:rPr>
        <w:t>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揭阳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0A42F3C7">
      <w:pPr>
        <w:spacing w:line="360" w:lineRule="auto"/>
        <w:jc w:val="left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民商板块</w:t>
      </w:r>
      <w:r>
        <w:rPr>
          <w:rFonts w:hint="eastAsia"/>
          <w:b w:val="0"/>
          <w:bCs/>
          <w:sz w:val="24"/>
          <w:szCs w:val="24"/>
          <w:lang w:eastAsia="zh-CN"/>
        </w:rPr>
        <w:br w:type="textWrapping"/>
      </w:r>
      <w:r>
        <w:rPr>
          <w:rFonts w:hint="eastAsia"/>
          <w:b w:val="0"/>
          <w:bCs/>
          <w:sz w:val="24"/>
          <w:szCs w:val="24"/>
          <w:lang w:eastAsia="zh-CN"/>
        </w:rPr>
        <w:t>1.</w:t>
      </w:r>
      <w:bookmarkStart w:id="0" w:name="_GoBack"/>
      <w:bookmarkEnd w:id="0"/>
      <w:r>
        <w:rPr>
          <w:rFonts w:hint="eastAsia"/>
          <w:b w:val="0"/>
          <w:bCs/>
          <w:sz w:val="24"/>
          <w:szCs w:val="24"/>
          <w:lang w:eastAsia="zh-CN"/>
        </w:rPr>
        <w:t>承办“2023.5.31”重大交通肇事案件，</w:t>
      </w:r>
      <w:r>
        <w:rPr>
          <w:rFonts w:hint="eastAsia"/>
          <w:b w:val="0"/>
          <w:bCs/>
          <w:sz w:val="24"/>
          <w:szCs w:val="24"/>
          <w:lang w:val="en-US" w:eastAsia="zh-CN"/>
        </w:rPr>
        <w:t>媒体报导</w:t>
      </w:r>
      <w:r>
        <w:rPr>
          <w:rFonts w:hint="eastAsia"/>
          <w:b w:val="0"/>
          <w:bCs/>
          <w:sz w:val="24"/>
          <w:szCs w:val="24"/>
          <w:lang w:eastAsia="zh-CN"/>
        </w:rPr>
        <w:t>，百人庭审旁听，属于需平衡法律适用与社会舆情的重大敏感案件。除肇事者、保险依法</w:t>
      </w:r>
      <w:r>
        <w:rPr>
          <w:rFonts w:hint="eastAsia"/>
          <w:b w:val="0"/>
          <w:bCs/>
          <w:sz w:val="24"/>
          <w:szCs w:val="24"/>
          <w:lang w:val="en-US" w:eastAsia="zh-CN"/>
        </w:rPr>
        <w:t>承责外</w:t>
      </w:r>
      <w:r>
        <w:rPr>
          <w:rFonts w:hint="eastAsia"/>
          <w:b w:val="0"/>
          <w:bCs/>
          <w:sz w:val="24"/>
          <w:szCs w:val="24"/>
          <w:lang w:eastAsia="zh-CN"/>
        </w:rPr>
        <w:t>，成功判令当地政府承担30余万元赔偿。（</w:t>
      </w:r>
      <w:r>
        <w:rPr>
          <w:rFonts w:hint="eastAsia"/>
          <w:b w:val="0"/>
          <w:bCs/>
          <w:sz w:val="24"/>
          <w:szCs w:val="24"/>
          <w:lang w:val="en-US" w:eastAsia="zh-CN"/>
        </w:rPr>
        <w:t>广西</w:t>
      </w:r>
      <w:r>
        <w:rPr>
          <w:rFonts w:hint="eastAsia"/>
          <w:b w:val="0"/>
          <w:bCs/>
          <w:sz w:val="24"/>
          <w:szCs w:val="24"/>
          <w:lang w:eastAsia="zh-CN"/>
        </w:rPr>
        <w:t>）</w:t>
      </w:r>
    </w:p>
    <w:p w14:paraId="4291CEC6">
      <w:pPr>
        <w:spacing w:line="360" w:lineRule="auto"/>
        <w:jc w:val="left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2.承办多起无合同、无结算凭证的合同纠纷案件，该类案件多发于中小民营企业。</w:t>
      </w:r>
      <w:r>
        <w:rPr>
          <w:rFonts w:hint="eastAsia"/>
          <w:b w:val="0"/>
          <w:bCs/>
          <w:sz w:val="24"/>
          <w:szCs w:val="24"/>
          <w:lang w:val="en-US" w:eastAsia="zh-CN"/>
        </w:rPr>
        <w:t>经多次成功代理</w:t>
      </w:r>
      <w:r>
        <w:rPr>
          <w:rFonts w:hint="eastAsia"/>
          <w:b w:val="0"/>
          <w:bCs/>
          <w:sz w:val="24"/>
          <w:szCs w:val="24"/>
          <w:lang w:eastAsia="zh-CN"/>
        </w:rPr>
        <w:t>，形成</w:t>
      </w:r>
      <w:r>
        <w:rPr>
          <w:rFonts w:hint="eastAsia"/>
          <w:b w:val="0"/>
          <w:bCs/>
          <w:sz w:val="24"/>
          <w:szCs w:val="24"/>
          <w:lang w:val="en-US" w:eastAsia="zh-CN"/>
        </w:rPr>
        <w:t>类案</w:t>
      </w:r>
      <w:r>
        <w:rPr>
          <w:rFonts w:hint="eastAsia"/>
          <w:b w:val="0"/>
          <w:bCs/>
          <w:sz w:val="24"/>
          <w:szCs w:val="24"/>
          <w:lang w:eastAsia="zh-CN"/>
        </w:rPr>
        <w:t>诉讼</w:t>
      </w:r>
      <w:r>
        <w:rPr>
          <w:rFonts w:hint="eastAsia"/>
          <w:b w:val="0"/>
          <w:bCs/>
          <w:sz w:val="24"/>
          <w:szCs w:val="24"/>
          <w:lang w:val="en-US" w:eastAsia="zh-CN"/>
        </w:rPr>
        <w:t>思路</w:t>
      </w:r>
      <w:r>
        <w:rPr>
          <w:rFonts w:hint="eastAsia"/>
          <w:b w:val="0"/>
          <w:bCs/>
          <w:sz w:val="24"/>
          <w:szCs w:val="24"/>
          <w:lang w:eastAsia="zh-CN"/>
        </w:rPr>
        <w:t>，帮助企业主追回款项过千万。</w:t>
      </w:r>
    </w:p>
    <w:p w14:paraId="76E10470">
      <w:pPr>
        <w:spacing w:line="360" w:lineRule="auto"/>
        <w:jc w:val="left"/>
        <w:rPr>
          <w:rFonts w:hint="eastAsia"/>
          <w:b w:val="0"/>
          <w:bCs/>
          <w:sz w:val="24"/>
          <w:szCs w:val="24"/>
          <w:lang w:eastAsia="zh-CN"/>
        </w:rPr>
      </w:pPr>
      <w:r>
        <w:rPr>
          <w:rFonts w:hint="eastAsia"/>
          <w:b w:val="0"/>
          <w:bCs/>
          <w:sz w:val="24"/>
          <w:szCs w:val="24"/>
          <w:lang w:eastAsia="zh-CN"/>
        </w:rPr>
        <w:t>3.承办</w:t>
      </w:r>
      <w:r>
        <w:rPr>
          <w:rFonts w:hint="eastAsia"/>
          <w:b w:val="0"/>
          <w:bCs/>
          <w:sz w:val="24"/>
          <w:szCs w:val="24"/>
          <w:lang w:val="en-US" w:eastAsia="zh-CN"/>
        </w:rPr>
        <w:t>多起</w:t>
      </w:r>
      <w:r>
        <w:rPr>
          <w:rFonts w:hint="eastAsia"/>
          <w:b w:val="0"/>
          <w:bCs/>
          <w:sz w:val="24"/>
          <w:szCs w:val="24"/>
          <w:lang w:eastAsia="zh-CN"/>
        </w:rPr>
        <w:t>合伙</w:t>
      </w:r>
      <w:r>
        <w:rPr>
          <w:rFonts w:hint="eastAsia"/>
          <w:b w:val="0"/>
          <w:bCs/>
          <w:sz w:val="24"/>
          <w:szCs w:val="24"/>
          <w:lang w:val="en-US" w:eastAsia="zh-CN"/>
        </w:rPr>
        <w:t>投资</w:t>
      </w:r>
      <w:r>
        <w:rPr>
          <w:rFonts w:hint="eastAsia"/>
          <w:b w:val="0"/>
          <w:bCs/>
          <w:sz w:val="24"/>
          <w:szCs w:val="24"/>
          <w:lang w:eastAsia="zh-CN"/>
        </w:rPr>
        <w:t>退股转借贷</w:t>
      </w:r>
      <w:r>
        <w:rPr>
          <w:rFonts w:hint="eastAsia"/>
          <w:b w:val="0"/>
          <w:bCs/>
          <w:sz w:val="24"/>
          <w:szCs w:val="24"/>
          <w:lang w:val="en-US" w:eastAsia="zh-CN"/>
        </w:rPr>
        <w:t>型</w:t>
      </w:r>
      <w:r>
        <w:rPr>
          <w:rFonts w:hint="eastAsia"/>
          <w:b w:val="0"/>
          <w:bCs/>
          <w:sz w:val="24"/>
          <w:szCs w:val="24"/>
          <w:lang w:eastAsia="zh-CN"/>
        </w:rPr>
        <w:t>纠纷案，</w:t>
      </w:r>
      <w:r>
        <w:rPr>
          <w:rFonts w:hint="eastAsia"/>
          <w:b w:val="0"/>
          <w:bCs/>
          <w:sz w:val="24"/>
          <w:szCs w:val="24"/>
          <w:lang w:val="en-US" w:eastAsia="zh-CN"/>
        </w:rPr>
        <w:t>该类案件今年高发，经多次成功代理，形成类案诉讼思路，亦帮助企业主追回款项过千万</w:t>
      </w:r>
      <w:r>
        <w:rPr>
          <w:rFonts w:hint="eastAsia"/>
          <w:b w:val="0"/>
          <w:bCs/>
          <w:sz w:val="24"/>
          <w:szCs w:val="24"/>
          <w:lang w:eastAsia="zh-CN"/>
        </w:rPr>
        <w:t>。</w:t>
      </w:r>
    </w:p>
    <w:p w14:paraId="7A895907">
      <w:pPr>
        <w:spacing w:line="360" w:lineRule="auto"/>
        <w:jc w:val="left"/>
        <w:rPr>
          <w:rFonts w:hint="eastAsia" w:eastAsia="宋体"/>
          <w:b w:val="0"/>
          <w:bCs/>
          <w:sz w:val="24"/>
          <w:szCs w:val="24"/>
          <w:lang w:eastAsia="zh-CN"/>
        </w:rPr>
      </w:pPr>
    </w:p>
    <w:p w14:paraId="36113774">
      <w:pPr>
        <w:spacing w:line="360" w:lineRule="auto"/>
        <w:jc w:val="left"/>
        <w:rPr>
          <w:rFonts w:cs="黑体" w:asciiTheme="minorEastAsia" w:hAnsiTheme="minorEastAsia" w:eastAsiaTheme="minorEastAsia"/>
          <w:color w:val="000000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iti SC Light">
    <w:altName w:val="Malgun Gothic Semilight"/>
    <w:panose1 w:val="02000000000000000000"/>
    <w:charset w:val="80"/>
    <w:family w:val="auto"/>
    <w:pitch w:val="default"/>
    <w:sig w:usb0="00000000" w:usb1="00000000" w:usb2="00000000" w:usb3="00000000" w:csb0="203E0000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仿宋">
    <w:altName w:val="微软雅黑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I1MzljODBiNDliMzEyMzFlZWNlN2EzYjU0N2YzMWEifQ=="/>
  </w:docVars>
  <w:rsids>
    <w:rsidRoot w:val="00055A42"/>
    <w:rsid w:val="00016C29"/>
    <w:rsid w:val="00020A49"/>
    <w:rsid w:val="00022865"/>
    <w:rsid w:val="0002348B"/>
    <w:rsid w:val="00055A42"/>
    <w:rsid w:val="00064791"/>
    <w:rsid w:val="00076DAA"/>
    <w:rsid w:val="000A6B31"/>
    <w:rsid w:val="000A6E4C"/>
    <w:rsid w:val="000C10C9"/>
    <w:rsid w:val="000C2DED"/>
    <w:rsid w:val="00153832"/>
    <w:rsid w:val="00155672"/>
    <w:rsid w:val="00180E86"/>
    <w:rsid w:val="001A7920"/>
    <w:rsid w:val="001C2D08"/>
    <w:rsid w:val="00207E78"/>
    <w:rsid w:val="002306D6"/>
    <w:rsid w:val="002451F1"/>
    <w:rsid w:val="00251FD5"/>
    <w:rsid w:val="0026290C"/>
    <w:rsid w:val="00271F4B"/>
    <w:rsid w:val="002851F1"/>
    <w:rsid w:val="00294982"/>
    <w:rsid w:val="002968DF"/>
    <w:rsid w:val="002B5815"/>
    <w:rsid w:val="002C6DD2"/>
    <w:rsid w:val="002D3614"/>
    <w:rsid w:val="0033111E"/>
    <w:rsid w:val="00354E50"/>
    <w:rsid w:val="00373E5E"/>
    <w:rsid w:val="003A6642"/>
    <w:rsid w:val="003B5F58"/>
    <w:rsid w:val="003C0707"/>
    <w:rsid w:val="003C46F0"/>
    <w:rsid w:val="003E10AE"/>
    <w:rsid w:val="003E2B12"/>
    <w:rsid w:val="00406F68"/>
    <w:rsid w:val="004072BB"/>
    <w:rsid w:val="00425459"/>
    <w:rsid w:val="00426130"/>
    <w:rsid w:val="00434485"/>
    <w:rsid w:val="004405CE"/>
    <w:rsid w:val="0046239E"/>
    <w:rsid w:val="00494071"/>
    <w:rsid w:val="004A4162"/>
    <w:rsid w:val="004A76B9"/>
    <w:rsid w:val="004B7AE4"/>
    <w:rsid w:val="004E6223"/>
    <w:rsid w:val="004F57DF"/>
    <w:rsid w:val="005239ED"/>
    <w:rsid w:val="00527A11"/>
    <w:rsid w:val="00570D5F"/>
    <w:rsid w:val="00592E00"/>
    <w:rsid w:val="00595D86"/>
    <w:rsid w:val="005B127D"/>
    <w:rsid w:val="005D2606"/>
    <w:rsid w:val="005E1B69"/>
    <w:rsid w:val="00602873"/>
    <w:rsid w:val="006055D8"/>
    <w:rsid w:val="00641AD8"/>
    <w:rsid w:val="00653FA3"/>
    <w:rsid w:val="00654B49"/>
    <w:rsid w:val="00662EF5"/>
    <w:rsid w:val="00672538"/>
    <w:rsid w:val="00696961"/>
    <w:rsid w:val="006C7F98"/>
    <w:rsid w:val="006F19F4"/>
    <w:rsid w:val="00722DCE"/>
    <w:rsid w:val="00725B49"/>
    <w:rsid w:val="00732E40"/>
    <w:rsid w:val="00774A16"/>
    <w:rsid w:val="00785B1A"/>
    <w:rsid w:val="008C07D0"/>
    <w:rsid w:val="008D4AC8"/>
    <w:rsid w:val="008E7B25"/>
    <w:rsid w:val="00923165"/>
    <w:rsid w:val="0093170F"/>
    <w:rsid w:val="009A0224"/>
    <w:rsid w:val="009D27B5"/>
    <w:rsid w:val="009E4B5C"/>
    <w:rsid w:val="00A23DFF"/>
    <w:rsid w:val="00A27032"/>
    <w:rsid w:val="00A27C3D"/>
    <w:rsid w:val="00A30F52"/>
    <w:rsid w:val="00A44375"/>
    <w:rsid w:val="00A61A88"/>
    <w:rsid w:val="00A8282E"/>
    <w:rsid w:val="00AA1BE1"/>
    <w:rsid w:val="00AA3FF2"/>
    <w:rsid w:val="00AD014B"/>
    <w:rsid w:val="00AF1DBF"/>
    <w:rsid w:val="00B00CEF"/>
    <w:rsid w:val="00B03729"/>
    <w:rsid w:val="00B06A53"/>
    <w:rsid w:val="00B12E04"/>
    <w:rsid w:val="00B52925"/>
    <w:rsid w:val="00B7313D"/>
    <w:rsid w:val="00B91022"/>
    <w:rsid w:val="00B97040"/>
    <w:rsid w:val="00BA61B8"/>
    <w:rsid w:val="00BB7CDF"/>
    <w:rsid w:val="00BC43EC"/>
    <w:rsid w:val="00BC6AE7"/>
    <w:rsid w:val="00BF1B92"/>
    <w:rsid w:val="00BF6DFC"/>
    <w:rsid w:val="00C5195D"/>
    <w:rsid w:val="00C93B34"/>
    <w:rsid w:val="00C97B69"/>
    <w:rsid w:val="00CA0821"/>
    <w:rsid w:val="00CB49C5"/>
    <w:rsid w:val="00D01055"/>
    <w:rsid w:val="00D047DF"/>
    <w:rsid w:val="00D13936"/>
    <w:rsid w:val="00D46D3A"/>
    <w:rsid w:val="00D573B0"/>
    <w:rsid w:val="00D67189"/>
    <w:rsid w:val="00D70628"/>
    <w:rsid w:val="00D70FB7"/>
    <w:rsid w:val="00D8504A"/>
    <w:rsid w:val="00DE0F20"/>
    <w:rsid w:val="00DE215E"/>
    <w:rsid w:val="00DF37BC"/>
    <w:rsid w:val="00E026BE"/>
    <w:rsid w:val="00E83519"/>
    <w:rsid w:val="00E93EB8"/>
    <w:rsid w:val="00EA29DD"/>
    <w:rsid w:val="00EB5F8F"/>
    <w:rsid w:val="00EE40E8"/>
    <w:rsid w:val="00EE44A8"/>
    <w:rsid w:val="00EE697D"/>
    <w:rsid w:val="00EF6E05"/>
    <w:rsid w:val="00F101AC"/>
    <w:rsid w:val="00F43400"/>
    <w:rsid w:val="00F467D5"/>
    <w:rsid w:val="00F55768"/>
    <w:rsid w:val="00F776B2"/>
    <w:rsid w:val="00FA06C1"/>
    <w:rsid w:val="00FA22E0"/>
    <w:rsid w:val="027735CC"/>
    <w:rsid w:val="045A3333"/>
    <w:rsid w:val="08F305C0"/>
    <w:rsid w:val="0B9A2BAF"/>
    <w:rsid w:val="103B2CB2"/>
    <w:rsid w:val="117C6026"/>
    <w:rsid w:val="133E0119"/>
    <w:rsid w:val="1D6A5520"/>
    <w:rsid w:val="240A3E83"/>
    <w:rsid w:val="26346D0A"/>
    <w:rsid w:val="26762CB8"/>
    <w:rsid w:val="28A11FCE"/>
    <w:rsid w:val="2B382F72"/>
    <w:rsid w:val="30FC4862"/>
    <w:rsid w:val="34205DA8"/>
    <w:rsid w:val="369A4319"/>
    <w:rsid w:val="3772041E"/>
    <w:rsid w:val="3F8A0030"/>
    <w:rsid w:val="451B7B43"/>
    <w:rsid w:val="47617B01"/>
    <w:rsid w:val="482C5E7F"/>
    <w:rsid w:val="4D436147"/>
    <w:rsid w:val="5EE77EFD"/>
    <w:rsid w:val="66E54753"/>
    <w:rsid w:val="713122D2"/>
    <w:rsid w:val="71816E6E"/>
    <w:rsid w:val="795FDB96"/>
    <w:rsid w:val="79AF2B68"/>
    <w:rsid w:val="7C970076"/>
    <w:rsid w:val="F7A71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3"/>
    <w:semiHidden/>
    <w:unhideWhenUsed/>
    <w:qFormat/>
    <w:uiPriority w:val="99"/>
    <w:rPr>
      <w:rFonts w:ascii="Heiti SC Light" w:eastAsia="Heiti SC Light"/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character" w:styleId="8">
    <w:name w:val="Strong"/>
    <w:basedOn w:val="7"/>
    <w:qFormat/>
    <w:uiPriority w:val="22"/>
    <w:rPr>
      <w:b/>
    </w:rPr>
  </w:style>
  <w:style w:type="character" w:styleId="9">
    <w:name w:val="FollowedHyperlink"/>
    <w:semiHidden/>
    <w:unhideWhenUsed/>
    <w:qFormat/>
    <w:uiPriority w:val="99"/>
    <w:rPr>
      <w:color w:val="800080"/>
      <w:u w:val="single"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character" w:customStyle="1" w:styleId="11">
    <w:name w:val="页眉 Char"/>
    <w:link w:val="4"/>
    <w:qFormat/>
    <w:uiPriority w:val="99"/>
    <w:rPr>
      <w:sz w:val="18"/>
      <w:szCs w:val="18"/>
    </w:rPr>
  </w:style>
  <w:style w:type="character" w:customStyle="1" w:styleId="12">
    <w:name w:val="页脚 Char"/>
    <w:link w:val="3"/>
    <w:qFormat/>
    <w:uiPriority w:val="99"/>
    <w:rPr>
      <w:sz w:val="18"/>
      <w:szCs w:val="18"/>
    </w:rPr>
  </w:style>
  <w:style w:type="character" w:customStyle="1" w:styleId="13">
    <w:name w:val="批注框文本 Char"/>
    <w:link w:val="2"/>
    <w:semiHidden/>
    <w:qFormat/>
    <w:uiPriority w:val="99"/>
    <w:rPr>
      <w:rFonts w:ascii="Heiti SC Light" w:eastAsia="Heiti SC Light"/>
      <w:sz w:val="18"/>
      <w:szCs w:val="18"/>
    </w:rPr>
  </w:style>
  <w:style w:type="paragraph" w:styleId="14">
    <w:name w:val="List Paragraph"/>
    <w:basedOn w:val="1"/>
    <w:qFormat/>
    <w:uiPriority w:val="1"/>
    <w:pPr>
      <w:autoSpaceDE w:val="0"/>
      <w:autoSpaceDN w:val="0"/>
      <w:ind w:left="120" w:firstLine="559"/>
      <w:jc w:val="left"/>
    </w:pPr>
    <w:rPr>
      <w:rFonts w:ascii="仿宋" w:hAnsi="仿宋" w:eastAsia="仿宋" w:cs="仿宋"/>
      <w:kern w:val="0"/>
      <w:sz w:val="22"/>
      <w:lang w:val="zh-CN" w:bidi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1379</Words>
  <Characters>1416</Characters>
  <Lines>7</Lines>
  <Paragraphs>2</Paragraphs>
  <TotalTime>6</TotalTime>
  <ScaleCrop>false</ScaleCrop>
  <LinksUpToDate>false</LinksUpToDate>
  <CharactersWithSpaces>1427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2024-02-23T12:53:00Z</dcterms:created>
  <dc:creator>xz4</dc:creator>
  <cp:lastModifiedBy>magic</cp:lastModifiedBy>
  <cp:lastPrinted>2017-07-26T11:32:00Z</cp:lastPrinted>
  <dcterms:modified xsi:type="dcterms:W3CDTF">2026-06-04T07:10:29Z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B805F4BA657D4E7E8E71492D708FBEA4_13</vt:lpwstr>
  </property>
  <property fmtid="{D5CDD505-2E9C-101B-9397-08002B2CF9AE}" pid="4" name="KSOTemplateDocerSaveRecord">
    <vt:lpwstr>eyJoZGlkIjoiMzk1YzU2OWRmZDcxMTEyOTQyZGZhZWM2M2NmZWVjNzQiLCJ1c2VySWQiOiIzMDgyNjM1MTYifQ==</vt:lpwstr>
  </property>
</Properties>
</file>