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F482B">
      <w:pPr>
        <w:widowControl/>
        <w:spacing w:line="560" w:lineRule="exact"/>
        <w:jc w:val="left"/>
        <w:textAlignment w:val="baseline"/>
        <w:rPr>
          <w:rFonts w:ascii="黑体" w:hAnsi="黑体" w:eastAsia="黑体" w:cs="Times New Roman"/>
          <w:color w:val="000000"/>
          <w:kern w:val="0"/>
          <w:sz w:val="32"/>
          <w:szCs w:val="32"/>
        </w:rPr>
      </w:pPr>
      <w:r>
        <w:rPr>
          <w:rFonts w:hint="eastAsia" w:ascii="黑体" w:hAnsi="黑体" w:eastAsia="黑体" w:cs="Times New Roman"/>
          <w:color w:val="000000"/>
          <w:kern w:val="0"/>
          <w:sz w:val="32"/>
          <w:szCs w:val="32"/>
        </w:rPr>
        <w:t>附件</w:t>
      </w:r>
    </w:p>
    <w:p w14:paraId="61806A51">
      <w:pPr>
        <w:spacing w:line="560" w:lineRule="exact"/>
        <w:ind w:firstLine="640" w:firstLineChars="200"/>
        <w:jc w:val="center"/>
        <w:rPr>
          <w:rFonts w:hint="eastAsia" w:ascii="方正小标宋_GBK" w:hAnsi="黑体" w:eastAsia="方正小标宋_GBK" w:cs="黑体"/>
          <w:color w:val="000000"/>
          <w:sz w:val="32"/>
          <w:szCs w:val="32"/>
        </w:rPr>
      </w:pPr>
      <w:r>
        <w:rPr>
          <w:rFonts w:hint="eastAsia" w:ascii="方正小标宋_GBK" w:hAnsi="黑体" w:eastAsia="方正小标宋_GBK" w:cs="黑体"/>
          <w:color w:val="000000"/>
          <w:sz w:val="32"/>
          <w:szCs w:val="32"/>
        </w:rPr>
        <w:t>第二届“律政红棉荟——羊城巾帼律师”报名表</w:t>
      </w:r>
    </w:p>
    <w:tbl>
      <w:tblPr>
        <w:tblStyle w:val="15"/>
        <w:tblpPr w:leftFromText="180" w:rightFromText="180" w:vertAnchor="text" w:horzAnchor="page" w:tblpX="1252" w:tblpY="246"/>
        <w:tblOverlap w:val="never"/>
        <w:tblW w:w="98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2508"/>
        <w:gridCol w:w="1190"/>
        <w:gridCol w:w="1968"/>
        <w:gridCol w:w="2424"/>
      </w:tblGrid>
      <w:tr w14:paraId="6B98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9" w:hRule="atLeast"/>
        </w:trPr>
        <w:tc>
          <w:tcPr>
            <w:tcW w:w="1740" w:type="dxa"/>
            <w:vAlign w:val="center"/>
          </w:tcPr>
          <w:p w14:paraId="167B9752">
            <w:pPr>
              <w:keepNext w:val="0"/>
              <w:keepLines w:val="0"/>
              <w:pageBreakBefore w:val="0"/>
              <w:kinsoku/>
              <w:wordWrap/>
              <w:overflowPunct/>
              <w:topLinePunct w:val="0"/>
              <w:autoSpaceDE/>
              <w:autoSpaceDN/>
              <w:bidi w:val="0"/>
              <w:adjustRightInd/>
              <w:snapToGrid/>
              <w:spacing w:line="600" w:lineRule="exact"/>
              <w:ind w:firstLine="360" w:firstLineChars="150"/>
              <w:textAlignment w:val="auto"/>
              <w:rPr>
                <w:rFonts w:hint="eastAsia" w:ascii="仿宋" w:hAnsi="仿宋" w:eastAsia="仿宋" w:cs="仿宋"/>
                <w:snapToGrid w:val="0"/>
                <w:color w:val="000000"/>
                <w:kern w:val="0"/>
                <w:sz w:val="24"/>
                <w:szCs w:val="24"/>
              </w:rPr>
            </w:pPr>
            <w:bookmarkStart w:id="0" w:name="_GoBack"/>
            <w:r>
              <w:rPr>
                <w:rFonts w:hint="eastAsia" w:ascii="仿宋" w:hAnsi="仿宋" w:eastAsia="仿宋" w:cs="仿宋"/>
                <w:snapToGrid w:val="0"/>
                <w:color w:val="000000"/>
                <w:kern w:val="0"/>
                <w:sz w:val="24"/>
                <w:szCs w:val="24"/>
              </w:rPr>
              <w:t>姓   名</w:t>
            </w:r>
          </w:p>
        </w:tc>
        <w:tc>
          <w:tcPr>
            <w:tcW w:w="2508" w:type="dxa"/>
            <w:vAlign w:val="center"/>
          </w:tcPr>
          <w:p w14:paraId="1E68DBDD">
            <w:pPr>
              <w:keepNext w:val="0"/>
              <w:keepLines w:val="0"/>
              <w:pageBreakBefore w:val="0"/>
              <w:kinsoku/>
              <w:wordWrap/>
              <w:overflowPunct/>
              <w:topLinePunct w:val="0"/>
              <w:autoSpaceDE/>
              <w:autoSpaceDN/>
              <w:bidi w:val="0"/>
              <w:adjustRightInd/>
              <w:snapToGrid/>
              <w:spacing w:line="600" w:lineRule="exact"/>
              <w:jc w:val="center"/>
              <w:textAlignment w:val="auto"/>
              <w:rPr>
                <w:rFonts w:hint="default"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韩曼莉</w:t>
            </w:r>
          </w:p>
        </w:tc>
        <w:tc>
          <w:tcPr>
            <w:tcW w:w="1190" w:type="dxa"/>
            <w:vAlign w:val="center"/>
          </w:tcPr>
          <w:p w14:paraId="37C7742B">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性   别</w:t>
            </w:r>
          </w:p>
        </w:tc>
        <w:tc>
          <w:tcPr>
            <w:tcW w:w="1968" w:type="dxa"/>
            <w:vAlign w:val="center"/>
          </w:tcPr>
          <w:p w14:paraId="79C06903">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女</w:t>
            </w:r>
          </w:p>
        </w:tc>
        <w:tc>
          <w:tcPr>
            <w:tcW w:w="2424" w:type="dxa"/>
            <w:vMerge w:val="restart"/>
            <w:vAlign w:val="center"/>
          </w:tcPr>
          <w:p w14:paraId="65899EA9">
            <w:pPr>
              <w:keepNext w:val="0"/>
              <w:keepLines w:val="0"/>
              <w:pageBreakBefore w:val="0"/>
              <w:widowControl/>
              <w:kinsoku/>
              <w:wordWrap/>
              <w:overflowPunct/>
              <w:topLinePunct w:val="0"/>
              <w:autoSpaceDE/>
              <w:autoSpaceDN/>
              <w:bidi w:val="0"/>
              <w:adjustRightInd/>
              <w:snapToGrid/>
              <w:spacing w:line="600" w:lineRule="exact"/>
              <w:jc w:val="both"/>
              <w:textAlignment w:val="auto"/>
              <w:rPr>
                <w:rFonts w:hint="eastAsia" w:ascii="仿宋" w:hAnsi="仿宋" w:eastAsia="仿宋" w:cs="仿宋"/>
                <w:color w:val="000000"/>
                <w:kern w:val="0"/>
                <w:sz w:val="24"/>
                <w:szCs w:val="24"/>
              </w:rPr>
            </w:pPr>
            <w:r>
              <w:rPr>
                <w:rFonts w:hint="eastAsia" w:ascii="宋体" w:hAnsi="宋体" w:eastAsia="宋体"/>
                <w:b/>
                <w:sz w:val="24"/>
                <w:szCs w:val="24"/>
              </w:rPr>
              <w:drawing>
                <wp:anchor distT="0" distB="0" distL="114300" distR="114300" simplePos="0" relativeHeight="251660288" behindDoc="0" locked="0" layoutInCell="1" allowOverlap="1">
                  <wp:simplePos x="0" y="0"/>
                  <wp:positionH relativeFrom="column">
                    <wp:posOffset>5715</wp:posOffset>
                  </wp:positionH>
                  <wp:positionV relativeFrom="paragraph">
                    <wp:posOffset>93980</wp:posOffset>
                  </wp:positionV>
                  <wp:extent cx="1261745" cy="1686560"/>
                  <wp:effectExtent l="0" t="0" r="3175" b="5080"/>
                  <wp:wrapNone/>
                  <wp:docPr id="5" name="图片 5" descr="韩曼莉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韩曼莉证件照"/>
                          <pic:cNvPicPr>
                            <a:picLocks noChangeAspect="1"/>
                          </pic:cNvPicPr>
                        </pic:nvPicPr>
                        <pic:blipFill>
                          <a:blip r:embed="rId6"/>
                          <a:stretch>
                            <a:fillRect/>
                          </a:stretch>
                        </pic:blipFill>
                        <pic:spPr>
                          <a:xfrm>
                            <a:off x="0" y="0"/>
                            <a:ext cx="1261745" cy="1686560"/>
                          </a:xfrm>
                          <a:prstGeom prst="rect">
                            <a:avLst/>
                          </a:prstGeom>
                          <a:noFill/>
                          <a:ln>
                            <a:noFill/>
                          </a:ln>
                        </pic:spPr>
                      </pic:pic>
                    </a:graphicData>
                  </a:graphic>
                </wp:anchor>
              </w:drawing>
            </w:r>
          </w:p>
        </w:tc>
      </w:tr>
      <w:tr w14:paraId="22BB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740" w:type="dxa"/>
            <w:vAlign w:val="center"/>
          </w:tcPr>
          <w:p w14:paraId="58A2A777">
            <w:pPr>
              <w:keepNext w:val="0"/>
              <w:keepLines w:val="0"/>
              <w:pageBreakBefore w:val="0"/>
              <w:kinsoku/>
              <w:wordWrap/>
              <w:overflowPunct/>
              <w:topLinePunct w:val="0"/>
              <w:autoSpaceDE/>
              <w:autoSpaceDN/>
              <w:bidi w:val="0"/>
              <w:adjustRightInd/>
              <w:snapToGrid/>
              <w:spacing w:line="600" w:lineRule="exact"/>
              <w:ind w:firstLine="360" w:firstLineChars="15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出生年月</w:t>
            </w:r>
          </w:p>
        </w:tc>
        <w:tc>
          <w:tcPr>
            <w:tcW w:w="2508" w:type="dxa"/>
            <w:vAlign w:val="center"/>
          </w:tcPr>
          <w:p w14:paraId="72FF6E72">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1982.06</w:t>
            </w:r>
          </w:p>
        </w:tc>
        <w:tc>
          <w:tcPr>
            <w:tcW w:w="1190" w:type="dxa"/>
            <w:vAlign w:val="center"/>
          </w:tcPr>
          <w:p w14:paraId="4C3D1309">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民   族</w:t>
            </w:r>
          </w:p>
        </w:tc>
        <w:tc>
          <w:tcPr>
            <w:tcW w:w="1968" w:type="dxa"/>
            <w:vAlign w:val="center"/>
          </w:tcPr>
          <w:p w14:paraId="5E10116A">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汉族</w:t>
            </w:r>
          </w:p>
        </w:tc>
        <w:tc>
          <w:tcPr>
            <w:tcW w:w="2424" w:type="dxa"/>
            <w:vMerge w:val="continue"/>
            <w:vAlign w:val="center"/>
          </w:tcPr>
          <w:p w14:paraId="297904D9">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p>
        </w:tc>
      </w:tr>
      <w:tr w14:paraId="19D6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740" w:type="dxa"/>
            <w:vAlign w:val="center"/>
          </w:tcPr>
          <w:p w14:paraId="176346A1">
            <w:pPr>
              <w:keepNext w:val="0"/>
              <w:keepLines w:val="0"/>
              <w:pageBreakBefore w:val="0"/>
              <w:kinsoku/>
              <w:wordWrap/>
              <w:overflowPunct/>
              <w:topLinePunct w:val="0"/>
              <w:autoSpaceDE/>
              <w:autoSpaceDN/>
              <w:bidi w:val="0"/>
              <w:adjustRightInd/>
              <w:snapToGrid/>
              <w:spacing w:line="600" w:lineRule="exact"/>
              <w:ind w:firstLine="360" w:firstLineChars="15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政治面貌</w:t>
            </w:r>
          </w:p>
        </w:tc>
        <w:tc>
          <w:tcPr>
            <w:tcW w:w="2508" w:type="dxa"/>
            <w:vAlign w:val="center"/>
          </w:tcPr>
          <w:p w14:paraId="56994CC1">
            <w:pPr>
              <w:keepNext w:val="0"/>
              <w:keepLines w:val="0"/>
              <w:pageBreakBefore w:val="0"/>
              <w:kinsoku/>
              <w:wordWrap/>
              <w:overflowPunct/>
              <w:topLinePunct w:val="0"/>
              <w:autoSpaceDE/>
              <w:autoSpaceDN/>
              <w:bidi w:val="0"/>
              <w:adjustRightInd/>
              <w:snapToGrid/>
              <w:spacing w:line="600" w:lineRule="exact"/>
              <w:jc w:val="center"/>
              <w:textAlignment w:val="auto"/>
              <w:rPr>
                <w:rFonts w:hint="default"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中共党员</w:t>
            </w:r>
          </w:p>
        </w:tc>
        <w:tc>
          <w:tcPr>
            <w:tcW w:w="1190" w:type="dxa"/>
            <w:vAlign w:val="center"/>
          </w:tcPr>
          <w:p w14:paraId="52225FC7">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学   历</w:t>
            </w:r>
          </w:p>
        </w:tc>
        <w:tc>
          <w:tcPr>
            <w:tcW w:w="1968" w:type="dxa"/>
            <w:vAlign w:val="center"/>
          </w:tcPr>
          <w:p w14:paraId="0BC14311">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本科</w:t>
            </w:r>
          </w:p>
        </w:tc>
        <w:tc>
          <w:tcPr>
            <w:tcW w:w="2424" w:type="dxa"/>
            <w:vMerge w:val="continue"/>
            <w:vAlign w:val="center"/>
          </w:tcPr>
          <w:p w14:paraId="10369AA0">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p>
        </w:tc>
      </w:tr>
      <w:tr w14:paraId="23A6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740" w:type="dxa"/>
            <w:vAlign w:val="center"/>
          </w:tcPr>
          <w:p w14:paraId="5C170D33">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开始执业时间</w:t>
            </w:r>
          </w:p>
        </w:tc>
        <w:tc>
          <w:tcPr>
            <w:tcW w:w="2508" w:type="dxa"/>
            <w:vAlign w:val="center"/>
          </w:tcPr>
          <w:p w14:paraId="7B623F9B">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2010年9月</w:t>
            </w:r>
          </w:p>
        </w:tc>
        <w:tc>
          <w:tcPr>
            <w:tcW w:w="1190" w:type="dxa"/>
            <w:vAlign w:val="center"/>
          </w:tcPr>
          <w:p w14:paraId="032F1499">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执业类别</w:t>
            </w:r>
          </w:p>
        </w:tc>
        <w:tc>
          <w:tcPr>
            <w:tcW w:w="1968" w:type="dxa"/>
            <w:tcBorders>
              <w:top w:val="nil"/>
            </w:tcBorders>
            <w:vAlign w:val="center"/>
          </w:tcPr>
          <w:p w14:paraId="4035EBA7">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专职</w:t>
            </w:r>
          </w:p>
        </w:tc>
        <w:tc>
          <w:tcPr>
            <w:tcW w:w="2424" w:type="dxa"/>
            <w:vMerge w:val="continue"/>
            <w:vAlign w:val="center"/>
          </w:tcPr>
          <w:p w14:paraId="6F9E36BD">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p>
        </w:tc>
      </w:tr>
      <w:tr w14:paraId="4E91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1740" w:type="dxa"/>
            <w:vAlign w:val="center"/>
          </w:tcPr>
          <w:p w14:paraId="57397708">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执业证号码</w:t>
            </w:r>
          </w:p>
        </w:tc>
        <w:tc>
          <w:tcPr>
            <w:tcW w:w="2508" w:type="dxa"/>
            <w:vAlign w:val="center"/>
          </w:tcPr>
          <w:p w14:paraId="52985DD9">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14401201011193809</w:t>
            </w:r>
          </w:p>
        </w:tc>
        <w:tc>
          <w:tcPr>
            <w:tcW w:w="1190" w:type="dxa"/>
            <w:vAlign w:val="center"/>
          </w:tcPr>
          <w:p w14:paraId="3A5535E8">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身份证号码</w:t>
            </w:r>
          </w:p>
        </w:tc>
        <w:tc>
          <w:tcPr>
            <w:tcW w:w="4392" w:type="dxa"/>
            <w:gridSpan w:val="2"/>
            <w:vAlign w:val="center"/>
          </w:tcPr>
          <w:p w14:paraId="7201EA95">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440103198206264523</w:t>
            </w:r>
          </w:p>
        </w:tc>
      </w:tr>
      <w:tr w14:paraId="086D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1740" w:type="dxa"/>
            <w:vAlign w:val="center"/>
          </w:tcPr>
          <w:p w14:paraId="363CE890">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工作单位</w:t>
            </w:r>
          </w:p>
        </w:tc>
        <w:tc>
          <w:tcPr>
            <w:tcW w:w="2508" w:type="dxa"/>
            <w:vAlign w:val="center"/>
          </w:tcPr>
          <w:p w14:paraId="59B29E19">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rPr>
              <w:t>北京瀛和（广州）律师事务</w:t>
            </w:r>
            <w:r>
              <w:rPr>
                <w:rFonts w:hint="eastAsia" w:ascii="仿宋" w:hAnsi="仿宋" w:eastAsia="仿宋" w:cs="仿宋"/>
                <w:snapToGrid w:val="0"/>
                <w:color w:val="000000"/>
                <w:kern w:val="0"/>
                <w:sz w:val="24"/>
                <w:szCs w:val="24"/>
                <w:lang w:val="en-US" w:eastAsia="zh-CN"/>
              </w:rPr>
              <w:t>所</w:t>
            </w:r>
          </w:p>
        </w:tc>
        <w:tc>
          <w:tcPr>
            <w:tcW w:w="1190" w:type="dxa"/>
            <w:vAlign w:val="center"/>
          </w:tcPr>
          <w:p w14:paraId="3468115B">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单位职务</w:t>
            </w:r>
          </w:p>
        </w:tc>
        <w:tc>
          <w:tcPr>
            <w:tcW w:w="4392" w:type="dxa"/>
            <w:gridSpan w:val="2"/>
            <w:vAlign w:val="center"/>
          </w:tcPr>
          <w:p w14:paraId="176E9598">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律师</w:t>
            </w:r>
          </w:p>
        </w:tc>
      </w:tr>
      <w:tr w14:paraId="0F79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1740" w:type="dxa"/>
            <w:vAlign w:val="center"/>
          </w:tcPr>
          <w:p w14:paraId="7336A816">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手机</w:t>
            </w:r>
          </w:p>
        </w:tc>
        <w:tc>
          <w:tcPr>
            <w:tcW w:w="2508" w:type="dxa"/>
            <w:vAlign w:val="center"/>
          </w:tcPr>
          <w:p w14:paraId="12DB5625">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sz w:val="24"/>
                <w:lang w:val="en-US" w:eastAsia="zh-CN"/>
              </w:rPr>
              <w:t>15920310513</w:t>
            </w:r>
          </w:p>
        </w:tc>
        <w:tc>
          <w:tcPr>
            <w:tcW w:w="1190" w:type="dxa"/>
            <w:vAlign w:val="center"/>
          </w:tcPr>
          <w:p w14:paraId="0384908D">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邮箱</w:t>
            </w:r>
          </w:p>
        </w:tc>
        <w:tc>
          <w:tcPr>
            <w:tcW w:w="4392" w:type="dxa"/>
            <w:gridSpan w:val="2"/>
            <w:vAlign w:val="center"/>
          </w:tcPr>
          <w:p w14:paraId="0FAA332A">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vinetoby@126.com</w:t>
            </w:r>
          </w:p>
        </w:tc>
      </w:tr>
      <w:tr w14:paraId="3F89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trPr>
        <w:tc>
          <w:tcPr>
            <w:tcW w:w="1740" w:type="dxa"/>
            <w:vAlign w:val="center"/>
          </w:tcPr>
          <w:p w14:paraId="43265951">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自荐或他荐</w:t>
            </w:r>
          </w:p>
          <w:p w14:paraId="313D423B">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（请在□内打√）</w:t>
            </w:r>
          </w:p>
        </w:tc>
        <w:tc>
          <w:tcPr>
            <w:tcW w:w="8090" w:type="dxa"/>
            <w:gridSpan w:val="4"/>
            <w:vAlign w:val="center"/>
          </w:tcPr>
          <w:p w14:paraId="1622A80E">
            <w:pPr>
              <w:keepNext w:val="0"/>
              <w:keepLines w:val="0"/>
              <w:pageBreakBefore w:val="0"/>
              <w:kinsoku/>
              <w:wordWrap/>
              <w:overflowPunct/>
              <w:topLinePunct w:val="0"/>
              <w:autoSpaceDE/>
              <w:autoSpaceDN/>
              <w:bidi w:val="0"/>
              <w:adjustRightInd/>
              <w:snapToGrid/>
              <w:spacing w:line="600" w:lineRule="exact"/>
              <w:ind w:firstLine="1440" w:firstLineChars="600"/>
              <w:textAlignment w:val="auto"/>
              <w:rPr>
                <w:rFonts w:hint="eastAsia" w:ascii="仿宋" w:hAnsi="仿宋" w:eastAsia="仿宋" w:cs="仿宋"/>
                <w:snapToGrid w:val="0"/>
                <w:color w:val="000000"/>
                <w:kern w:val="0"/>
                <w:sz w:val="24"/>
                <w:szCs w:val="24"/>
                <w:lang w:eastAsia="zh-CN"/>
              </w:rPr>
            </w:pPr>
            <w:r>
              <w:rPr>
                <w:rFonts w:hint="eastAsia" w:ascii="仿宋" w:hAnsi="仿宋" w:eastAsia="仿宋" w:cs="仿宋"/>
                <w:snapToGrid w:val="0"/>
                <w:color w:val="000000"/>
                <w:kern w:val="0"/>
                <w:sz w:val="24"/>
                <w:szCs w:val="24"/>
              </w:rPr>
              <w:t xml:space="preserve">自荐    </w:t>
            </w:r>
            <w:r>
              <w:rPr>
                <w:rFonts w:hint="eastAsia" w:ascii="仿宋" w:hAnsi="仿宋" w:eastAsia="仿宋" w:cs="仿宋"/>
                <w:snapToGrid w:val="0"/>
                <w:color w:val="000000"/>
                <w:kern w:val="0"/>
                <w:sz w:val="24"/>
                <w:szCs w:val="24"/>
                <w:lang w:eastAsia="zh-CN"/>
              </w:rPr>
              <w:t>□</w:t>
            </w:r>
          </w:p>
          <w:p w14:paraId="4A95D3AA">
            <w:pPr>
              <w:keepNext w:val="0"/>
              <w:keepLines w:val="0"/>
              <w:pageBreakBefore w:val="0"/>
              <w:kinsoku/>
              <w:wordWrap/>
              <w:overflowPunct/>
              <w:topLinePunct w:val="0"/>
              <w:autoSpaceDE/>
              <w:autoSpaceDN/>
              <w:bidi w:val="0"/>
              <w:adjustRightInd/>
              <w:snapToGrid/>
              <w:spacing w:line="600" w:lineRule="exact"/>
              <w:ind w:firstLine="1440" w:firstLineChars="6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他荐    </w:t>
            </w:r>
            <w:r>
              <w:rPr>
                <w:rFonts w:hint="eastAsia" w:ascii="仿宋" w:hAnsi="仿宋" w:eastAsia="仿宋" w:cs="仿宋"/>
                <w:snapToGrid w:val="0"/>
                <w:color w:val="000000"/>
                <w:kern w:val="0"/>
                <w:sz w:val="24"/>
                <w:szCs w:val="24"/>
                <w:lang w:eastAsia="zh-CN"/>
              </w:rPr>
              <w:t>☑</w:t>
            </w:r>
            <w:r>
              <w:rPr>
                <w:rFonts w:hint="eastAsia" w:ascii="仿宋" w:hAnsi="仿宋" w:eastAsia="仿宋" w:cs="仿宋"/>
                <w:snapToGrid w:val="0"/>
                <w:color w:val="000000"/>
                <w:kern w:val="0"/>
                <w:sz w:val="24"/>
                <w:szCs w:val="24"/>
              </w:rPr>
              <w:t xml:space="preserve">  </w:t>
            </w:r>
          </w:p>
          <w:p w14:paraId="70E5EB89">
            <w:pPr>
              <w:keepNext w:val="0"/>
              <w:keepLines w:val="0"/>
              <w:pageBreakBefore w:val="0"/>
              <w:kinsoku/>
              <w:wordWrap/>
              <w:overflowPunct/>
              <w:topLinePunct w:val="0"/>
              <w:autoSpaceDE/>
              <w:autoSpaceDN/>
              <w:bidi w:val="0"/>
              <w:adjustRightInd/>
              <w:snapToGrid/>
              <w:spacing w:line="600" w:lineRule="exact"/>
              <w:ind w:firstLine="1440" w:firstLineChars="600"/>
              <w:textAlignment w:val="auto"/>
              <w:rPr>
                <w:rFonts w:hint="eastAsia" w:ascii="仿宋" w:hAnsi="仿宋" w:eastAsia="仿宋" w:cs="仿宋"/>
                <w:snapToGrid w:val="0"/>
                <w:color w:val="000000"/>
                <w:kern w:val="0"/>
                <w:sz w:val="24"/>
                <w:szCs w:val="24"/>
                <w:u w:val="single"/>
              </w:rPr>
            </w:pPr>
            <w:r>
              <w:rPr>
                <w:rFonts w:hint="eastAsia" w:ascii="仿宋" w:hAnsi="仿宋" w:eastAsia="仿宋" w:cs="仿宋"/>
                <w:snapToGrid w:val="0"/>
                <w:color w:val="000000"/>
                <w:kern w:val="0"/>
                <w:sz w:val="24"/>
                <w:szCs w:val="24"/>
              </w:rPr>
              <w:t>推荐机构</w:t>
            </w:r>
            <w:r>
              <w:rPr>
                <w:rFonts w:hint="eastAsia" w:ascii="仿宋" w:hAnsi="仿宋" w:eastAsia="仿宋" w:cs="仿宋"/>
                <w:snapToGrid w:val="0"/>
                <w:color w:val="000000"/>
                <w:kern w:val="0"/>
                <w:sz w:val="24"/>
                <w:szCs w:val="24"/>
                <w:u w:val="single"/>
              </w:rPr>
              <w:t xml:space="preserve">  北京瀛和（广州）律师事务</w:t>
            </w:r>
            <w:r>
              <w:rPr>
                <w:rFonts w:hint="eastAsia" w:ascii="仿宋" w:hAnsi="仿宋" w:eastAsia="仿宋" w:cs="仿宋"/>
                <w:snapToGrid w:val="0"/>
                <w:color w:val="000000"/>
                <w:kern w:val="0"/>
                <w:sz w:val="24"/>
                <w:szCs w:val="24"/>
                <w:u w:val="single"/>
                <w:lang w:val="en-US" w:eastAsia="zh-CN"/>
              </w:rPr>
              <w:t>所</w:t>
            </w:r>
            <w:r>
              <w:rPr>
                <w:rFonts w:hint="eastAsia" w:ascii="仿宋" w:hAnsi="仿宋" w:eastAsia="仿宋" w:cs="仿宋"/>
                <w:snapToGrid w:val="0"/>
                <w:color w:val="000000"/>
                <w:kern w:val="0"/>
                <w:sz w:val="24"/>
                <w:szCs w:val="24"/>
                <w:u w:val="single"/>
              </w:rPr>
              <w:t xml:space="preserve">    </w:t>
            </w:r>
          </w:p>
        </w:tc>
      </w:tr>
      <w:tr w14:paraId="70F4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1740" w:type="dxa"/>
            <w:vAlign w:val="center"/>
          </w:tcPr>
          <w:p w14:paraId="2447200E">
            <w:pPr>
              <w:keepNext w:val="0"/>
              <w:keepLines w:val="0"/>
              <w:pageBreakBefore w:val="0"/>
              <w:kinsoku/>
              <w:wordWrap/>
              <w:overflowPunct/>
              <w:topLinePunct w:val="0"/>
              <w:autoSpaceDE/>
              <w:autoSpaceDN/>
              <w:bidi w:val="0"/>
              <w:adjustRightInd/>
              <w:snapToGrid/>
              <w:spacing w:line="600" w:lineRule="exact"/>
              <w:ind w:left="480" w:hanging="480" w:hanging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个人主要事迹介绍</w:t>
            </w:r>
          </w:p>
        </w:tc>
        <w:tc>
          <w:tcPr>
            <w:tcW w:w="8090" w:type="dxa"/>
            <w:gridSpan w:val="4"/>
            <w:vAlign w:val="center"/>
          </w:tcPr>
          <w:p w14:paraId="25A82511">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韩曼莉律师系北京瀛和（广州）律师事务所高级合伙人、家业传承财富中心主理人，拥有近二十年资深执业经历，始终坚守政治初心、深耕专业领域、践行行业担当、热心公益法律服务，全方位契合第二届“律政红棉荟——羊城巾帼律师”申报要求，以过硬素养、卓越实绩展现新时代羊城巾帼律师的巾帼风采与责任担当。</w:t>
            </w:r>
          </w:p>
          <w:p w14:paraId="3E5CE1C1">
            <w:pPr>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仿宋" w:hAnsi="仿宋" w:eastAsia="仿宋" w:cs="仿宋"/>
                <w:b/>
                <w:bCs/>
                <w:snapToGrid w:val="0"/>
                <w:color w:val="000000"/>
                <w:kern w:val="0"/>
                <w:sz w:val="24"/>
                <w:szCs w:val="24"/>
              </w:rPr>
            </w:pPr>
            <w:r>
              <w:rPr>
                <w:rFonts w:hint="eastAsia" w:ascii="仿宋" w:hAnsi="仿宋" w:eastAsia="仿宋" w:cs="仿宋"/>
                <w:b/>
                <w:bCs/>
                <w:snapToGrid w:val="0"/>
                <w:color w:val="000000"/>
                <w:kern w:val="0"/>
                <w:sz w:val="24"/>
                <w:szCs w:val="24"/>
              </w:rPr>
              <w:t>党建引领先锋，聚力推动律所党建共建</w:t>
            </w:r>
          </w:p>
          <w:p w14:paraId="5F45FEFA">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韩曼莉律师政治素质过硬，坚决拥护党的领导，深入践行习近平法治思想，恪守律师职业道德与执业纪律，执业多年年度考核均为称职，无任何不良执业记录。作为广州市律师行业优秀共产党员，充分发挥党员先锋模范作用，主动牵头、积极引领律所开展党建共建工作，搭建律所与司法行政机关、行业协会、社区等党建联动平台，推动党建工作与律师业务深度融合、协同发展；积极探索新时代律所党务工作新路径，带头落实党组织各项工作部署，勇于承担行业急难险重任务，以党建引领律所规范化、高质量发展，党建工作成效获行业党委充分认可，彰显了党员律师的先锋本色与责任担当。</w:t>
            </w:r>
          </w:p>
          <w:p w14:paraId="7E138C3A">
            <w:pPr>
              <w:keepNext w:val="0"/>
              <w:keepLines w:val="0"/>
              <w:pageBreakBefore w:val="0"/>
              <w:numPr>
                <w:ilvl w:val="0"/>
                <w:numId w:val="2"/>
              </w:numPr>
              <w:kinsoku/>
              <w:wordWrap/>
              <w:overflowPunct/>
              <w:topLinePunct w:val="0"/>
              <w:autoSpaceDE/>
              <w:autoSpaceDN/>
              <w:bidi w:val="0"/>
              <w:adjustRightInd/>
              <w:snapToGrid/>
              <w:spacing w:line="600" w:lineRule="exact"/>
              <w:ind w:firstLine="482" w:firstLineChars="200"/>
              <w:textAlignment w:val="auto"/>
              <w:rPr>
                <w:rFonts w:hint="eastAsia" w:ascii="仿宋" w:hAnsi="仿宋" w:eastAsia="仿宋" w:cs="仿宋"/>
                <w:b/>
                <w:bCs/>
                <w:snapToGrid w:val="0"/>
                <w:color w:val="000000"/>
                <w:kern w:val="0"/>
                <w:sz w:val="24"/>
                <w:szCs w:val="24"/>
              </w:rPr>
            </w:pPr>
            <w:r>
              <w:rPr>
                <w:rFonts w:hint="eastAsia" w:ascii="仿宋" w:hAnsi="仿宋" w:eastAsia="仿宋" w:cs="仿宋"/>
                <w:b/>
                <w:bCs/>
                <w:snapToGrid w:val="0"/>
                <w:color w:val="000000"/>
                <w:kern w:val="0"/>
                <w:sz w:val="24"/>
                <w:szCs w:val="24"/>
              </w:rPr>
              <w:t>深耕行业建设，引领业务创新与青年律师培养</w:t>
            </w:r>
          </w:p>
          <w:p w14:paraId="2122454B">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在行业执业贡献方面，韩曼莉律师履职能力突出，现任广东省律师协会信托与财富管理法律专业委员会副主任、广州市律师协会信托与财富管理业务专业委员会秘书长，同时兼任广州市律协实习考核委员会委员、天河区律师工作委员会委员等多项行业重要职务，深度参与省市律师行业治理与专业化建设工作。主动引领业务合作创新，聚焦财富传承、家事法律等专业领域，打破业务壁垒，推动跨领域、跨区域业务合作，牵头研发“A类特殊人群的人财保·传”创新法律服务产品，打造行业领先的法律服务模式，荣获中国政法大学律师学研究中心综合性法律服务创新产品提名案例奖。同时，全力践行传帮带责任，深耕青年律师培养工作，通过实务授课、案例指导、项目带教等方式，系统性为律所及行业培育青年法律人才，助力青年律师快速成长；主持策划省律协财富管理交流会、开展多场专业实务培训，参与编写行业实务指引，为省市律师行业专业化、规范化发展注入强劲动力。</w:t>
            </w:r>
          </w:p>
          <w:p w14:paraId="098D59F3">
            <w:pPr>
              <w:keepNext w:val="0"/>
              <w:keepLines w:val="0"/>
              <w:pageBreakBefore w:val="0"/>
              <w:numPr>
                <w:ilvl w:val="0"/>
                <w:numId w:val="0"/>
              </w:numPr>
              <w:kinsoku/>
              <w:wordWrap/>
              <w:overflowPunct/>
              <w:topLinePunct w:val="0"/>
              <w:autoSpaceDE/>
              <w:autoSpaceDN/>
              <w:bidi w:val="0"/>
              <w:adjustRightInd/>
              <w:snapToGrid/>
              <w:spacing w:line="600" w:lineRule="exact"/>
              <w:ind w:firstLine="482"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b/>
                <w:bCs/>
                <w:snapToGrid w:val="0"/>
                <w:color w:val="000000"/>
                <w:kern w:val="0"/>
                <w:sz w:val="24"/>
                <w:szCs w:val="24"/>
              </w:rPr>
              <w:t>三、专业深耕开拓，领域实绩与学术成果斐然</w:t>
            </w:r>
          </w:p>
          <w:p w14:paraId="54AB6AE3">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韩曼莉律师深耕财富规划与传承、家（企）法律顾问、争议解决等专业领域数十年，坚持专业深耕与开拓创新并行，在婚姻家事、家族财富传承、特殊人群权益保障等领域形成核心专业优势，承办大量疑难复杂诉讼与非诉案件，涵盖家族股权顶层设计、婚姻财富保全、复杂继承纠纷、复合监护创新实务等，多起案件成为领域内典型实务案例，专业能力与办案成效广受客户与行业认可。专业成果硕果累累，近五年荣获广州市律师协会理论成果奖、业务成果奖，撰写的专业论文多次荣获广东省法学会婚姻家庭法学研究会优秀论文奖，出版《华南地区婚姻继承典型案例评析》《家事应对攻略66/68场景分析》等多部专业著作，公开发表近千篇专业文章，多篇论文收录于省级法学研究会论文集，持续引领家事与财富传承领域专业研究方向，成为该领域极具知名度与影响力的专业律师。</w:t>
            </w:r>
          </w:p>
          <w:p w14:paraId="6EC80FE1">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w:t>
            </w:r>
            <w:r>
              <w:rPr>
                <w:rFonts w:hint="eastAsia" w:ascii="仿宋" w:hAnsi="仿宋" w:eastAsia="仿宋" w:cs="仿宋"/>
                <w:b/>
                <w:bCs/>
                <w:snapToGrid w:val="0"/>
                <w:color w:val="000000"/>
                <w:kern w:val="0"/>
                <w:sz w:val="24"/>
                <w:szCs w:val="24"/>
              </w:rPr>
              <w:t>四、积极履职尽责，参政议政与社会服务成效显著</w:t>
            </w:r>
          </w:p>
          <w:p w14:paraId="7C95ECF1">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韩曼莉律师积极履行社会责任，深度参与参政议政与法治社会建设工作，受聘担任粤港澳全面合作法律事务专家咨询委员会专家、青年创新创业合作专家组副主任、广州市调解专家库专家等多项重要职务，同时担任广州国际商贸商事调解中心、广州市婚姻家庭纠纷人民调解委员会等多家机构调解员，以及河源、茂名仲裁委员会仲裁员、广州市越秀区检察院听证员等职。充分发挥专业优势，参与地方规范性文件审查、重大决策论证、矛盾纠纷多元化解等工作，深耕家事纠纷调解工作，2026年荣获广州市调解协会“金牌调解员”称号；积极为地方法治建设、社会治理建言献策，以专业力量助力法治政府建设与社会公平正义，履职成效获各级部门高度认可。</w:t>
            </w:r>
          </w:p>
          <w:p w14:paraId="122E67D2">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w:t>
            </w:r>
            <w:r>
              <w:rPr>
                <w:rFonts w:hint="eastAsia" w:ascii="仿宋" w:hAnsi="仿宋" w:eastAsia="仿宋" w:cs="仿宋"/>
                <w:b/>
                <w:bCs/>
                <w:snapToGrid w:val="0"/>
                <w:color w:val="000000"/>
                <w:kern w:val="0"/>
                <w:sz w:val="24"/>
                <w:szCs w:val="24"/>
              </w:rPr>
              <w:t>五、践行公益初心，筑牢弱势群体法律服务屏障</w:t>
            </w:r>
          </w:p>
          <w:p w14:paraId="03F916CF">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始终坚守公益法律服务初心，持续开展系统性、常态化公益服务，积极参与妇女儿童权益保护、未成年人法律援助、老龄群体法律服务等公益事业，常年担任广州普法、广州法治频道等媒体特邀嘉宾，通过公益课堂、普法节目录制、法律咨询等形式，开展全民普法宣传工作；深入社区开展公益法律宣讲，主动参与基层法律援助、村居法律顾问服务，用心用情为弱势群体提供专业公益法律帮扶，以实际行动践行律师社会责任。其公益服务表现突出，荣获优秀公益律师奖等多项公益荣誉，用专业力量传递法治温暖，彰显巾帼律师的为民情怀。</w:t>
            </w:r>
          </w:p>
          <w:p w14:paraId="7DAD5DD1">
            <w:pPr>
              <w:keepNext w:val="0"/>
              <w:keepLines w:val="0"/>
              <w:pageBreakBefore w:val="0"/>
              <w:numPr>
                <w:ilvl w:val="0"/>
                <w:numId w:val="3"/>
              </w:numPr>
              <w:kinsoku/>
              <w:wordWrap/>
              <w:overflowPunct/>
              <w:topLinePunct w:val="0"/>
              <w:autoSpaceDE/>
              <w:autoSpaceDN/>
              <w:bidi w:val="0"/>
              <w:adjustRightInd/>
              <w:snapToGrid/>
              <w:spacing w:line="600" w:lineRule="exact"/>
              <w:ind w:firstLine="482" w:firstLineChars="200"/>
              <w:textAlignment w:val="auto"/>
              <w:rPr>
                <w:rFonts w:hint="eastAsia" w:ascii="仿宋" w:hAnsi="仿宋" w:eastAsia="仿宋" w:cs="仿宋"/>
                <w:b/>
                <w:bCs/>
                <w:snapToGrid w:val="0"/>
                <w:color w:val="000000"/>
                <w:kern w:val="0"/>
                <w:sz w:val="24"/>
                <w:szCs w:val="24"/>
              </w:rPr>
            </w:pPr>
            <w:r>
              <w:rPr>
                <w:rFonts w:hint="eastAsia" w:ascii="仿宋" w:hAnsi="仿宋" w:eastAsia="仿宋" w:cs="仿宋"/>
                <w:b/>
                <w:bCs/>
                <w:snapToGrid w:val="0"/>
                <w:color w:val="000000"/>
                <w:kern w:val="0"/>
                <w:sz w:val="24"/>
                <w:szCs w:val="24"/>
              </w:rPr>
              <w:t>荣誉授聘满载，行业认可与综合实力彰显</w:t>
            </w:r>
          </w:p>
          <w:p w14:paraId="503D52C4">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从业多年，韩曼莉律师凭借过硬的专业能力、突出的行业贡献与良好的职业口碑，荣获省市司法行政机关、律师协会、法学研究机构、公益组织等各级部门、机构授予的多项荣誉与授聘：先后获评广州市律师行业优秀共产党员、广东省法学会优秀论文奖得主、广东省/市律协优秀专业委员会委员、律新社婚姻家事领域“匠心律师”、广州市优秀青年律师“凌云计划”入选者、金牌调解员等；受聘担任省市律协专业委员、各类调解组织、仲裁机构、专家咨询委员会等数十项重要职务，荣誉与授聘覆盖党建、专业、行业、公益、社会服务等多个领域，全方位展现了其卓越的职业素养与综合实力，是广州女律师积极向上、敢于担当、甘于奉献的典型代表。</w:t>
            </w:r>
          </w:p>
          <w:p w14:paraId="72BA524D">
            <w:pPr>
              <w:keepNext w:val="0"/>
              <w:keepLines w:val="0"/>
              <w:pageBreakBefore w:val="0"/>
              <w:numPr>
                <w:ilvl w:val="0"/>
                <w:numId w:val="0"/>
              </w:numPr>
              <w:kinsoku/>
              <w:wordWrap/>
              <w:overflowPunct/>
              <w:topLinePunct w:val="0"/>
              <w:autoSpaceDE/>
              <w:autoSpaceDN/>
              <w:bidi w:val="0"/>
              <w:adjustRightInd/>
              <w:snapToGrid/>
              <w:spacing w:line="600" w:lineRule="exact"/>
              <w:ind w:firstLine="480" w:firstLineChars="20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综上，韩曼莉律师完全符合本次“律政红棉荟——羊城巾帼律师”各项申报条件，特此申报。</w:t>
            </w:r>
          </w:p>
        </w:tc>
      </w:tr>
      <w:tr w14:paraId="0285D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4" w:hRule="atLeast"/>
        </w:trPr>
        <w:tc>
          <w:tcPr>
            <w:tcW w:w="1740" w:type="dxa"/>
            <w:vAlign w:val="center"/>
          </w:tcPr>
          <w:p w14:paraId="66C445E3">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社会任职</w:t>
            </w:r>
          </w:p>
        </w:tc>
        <w:tc>
          <w:tcPr>
            <w:tcW w:w="8090" w:type="dxa"/>
            <w:gridSpan w:val="4"/>
            <w:vAlign w:val="center"/>
          </w:tcPr>
          <w:p w14:paraId="3C16E549">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广东省律师协会信托与财富管理法律专业委员会副主任</w:t>
            </w:r>
          </w:p>
          <w:p w14:paraId="7B30F50C">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广州市律师协会信托与财富管理业务专业委员会秘书长</w:t>
            </w:r>
          </w:p>
          <w:p w14:paraId="2B3D8EF0">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粤港澳全面合作法律事务专家咨询委员会青年创新创业合作专家组副组长</w:t>
            </w:r>
          </w:p>
          <w:p w14:paraId="09B627EB">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广东省法学会婚烟家庭法学研究会理事</w:t>
            </w:r>
          </w:p>
          <w:p w14:paraId="0C9B8806">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广州市天河区天河南街道商会理事</w:t>
            </w:r>
          </w:p>
          <w:p w14:paraId="63D8B37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广州市电视台经济与法频道特约法律顾问</w:t>
            </w:r>
          </w:p>
          <w:p w14:paraId="6E96987C">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广州市和合家事中心特聘专家顾问</w:t>
            </w:r>
          </w:p>
          <w:p w14:paraId="7D508F61">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广东省法律援助局公益律师</w:t>
            </w:r>
          </w:p>
          <w:p w14:paraId="3DE73106">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广东省（市）妇女维权站律师</w:t>
            </w:r>
          </w:p>
          <w:p w14:paraId="366C57C4">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广州市司法局调解专家库专家</w:t>
            </w:r>
          </w:p>
          <w:p w14:paraId="6E9EFBC4">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广州国际商贸商事调解中心 (GICMC) 调解员</w:t>
            </w:r>
          </w:p>
          <w:p w14:paraId="493AFED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广州市婚姻家庭纠纷人民调解委员会调解员</w:t>
            </w:r>
          </w:p>
          <w:p w14:paraId="3E8872CB">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广州铁路运输两级法院驻场调解员</w:t>
            </w:r>
          </w:p>
          <w:p w14:paraId="79F346CB">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广州市法院家事调解员</w:t>
            </w:r>
          </w:p>
          <w:p w14:paraId="7D149F2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广州市民间文艺家协会数智专委会副主任</w:t>
            </w:r>
          </w:p>
          <w:p w14:paraId="5CAE4500">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广州市律兴律师业务发展研究院成员</w:t>
            </w:r>
          </w:p>
          <w:p w14:paraId="2BC3F9EB">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广州市天河区律师工作委员会委员</w:t>
            </w:r>
          </w:p>
          <w:p w14:paraId="66BE5593">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广州市律师协会实习考核委员会委员</w:t>
            </w:r>
          </w:p>
          <w:p w14:paraId="5BAF9DBB">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广州市越秀区人民检察院听证员 </w:t>
            </w:r>
          </w:p>
          <w:p w14:paraId="2BB79551">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河源/茂名仲裁委员会仲裁员</w:t>
            </w:r>
          </w:p>
          <w:p w14:paraId="115AB99D">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FIR家族承传研究员</w:t>
            </w:r>
          </w:p>
          <w:p w14:paraId="4442F57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成和家族办公室联合创始人</w:t>
            </w:r>
          </w:p>
          <w:p w14:paraId="2A234F90">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广州市武术协会咏春拳会常务理事</w:t>
            </w:r>
          </w:p>
          <w:p w14:paraId="01FFEC27">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咏春拳（白云）非遗项目负责人/非遗咏春第八代传承人</w:t>
            </w:r>
          </w:p>
        </w:tc>
      </w:tr>
      <w:tr w14:paraId="08C7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2" w:hRule="atLeast"/>
        </w:trPr>
        <w:tc>
          <w:tcPr>
            <w:tcW w:w="1740" w:type="dxa"/>
            <w:vAlign w:val="center"/>
          </w:tcPr>
          <w:p w14:paraId="6296EB2E">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获奖情况</w:t>
            </w:r>
          </w:p>
        </w:tc>
        <w:tc>
          <w:tcPr>
            <w:tcW w:w="8090" w:type="dxa"/>
            <w:gridSpan w:val="4"/>
            <w:vAlign w:val="center"/>
          </w:tcPr>
          <w:p w14:paraId="244A8001">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1、2015年度，获得广州市律师协会颁发的“公益爱心奖”。</w:t>
            </w:r>
          </w:p>
          <w:p w14:paraId="2791D016">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2、2017年度，参加广州电视台与广州市律师协会联合主办的首届“律战行动”律师调解电视大赛，并获得“月度战士”、“季度战将”荣誉称号。</w:t>
            </w:r>
          </w:p>
          <w:p w14:paraId="0458326A">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highlight w:val="none"/>
              </w:rPr>
            </w:pPr>
            <w:r>
              <w:rPr>
                <w:rFonts w:hint="eastAsia" w:ascii="仿宋" w:hAnsi="仿宋" w:eastAsia="仿宋" w:cs="仿宋"/>
                <w:snapToGrid w:val="0"/>
                <w:color w:val="000000"/>
                <w:kern w:val="0"/>
                <w:sz w:val="24"/>
                <w:szCs w:val="24"/>
                <w:highlight w:val="none"/>
              </w:rPr>
              <w:t>3、201</w:t>
            </w:r>
            <w:r>
              <w:rPr>
                <w:rFonts w:hint="eastAsia" w:ascii="仿宋" w:hAnsi="仿宋" w:eastAsia="仿宋" w:cs="仿宋"/>
                <w:snapToGrid w:val="0"/>
                <w:color w:val="000000"/>
                <w:kern w:val="0"/>
                <w:sz w:val="24"/>
                <w:szCs w:val="24"/>
                <w:highlight w:val="none"/>
                <w:lang w:val="en-US" w:eastAsia="zh-CN"/>
              </w:rPr>
              <w:t>8</w:t>
            </w:r>
            <w:r>
              <w:rPr>
                <w:rFonts w:hint="eastAsia" w:ascii="仿宋" w:hAnsi="仿宋" w:eastAsia="仿宋" w:cs="仿宋"/>
                <w:snapToGrid w:val="0"/>
                <w:color w:val="000000"/>
                <w:kern w:val="0"/>
                <w:sz w:val="24"/>
                <w:szCs w:val="24"/>
                <w:highlight w:val="none"/>
              </w:rPr>
              <w:t>-20</w:t>
            </w:r>
            <w:r>
              <w:rPr>
                <w:rFonts w:hint="eastAsia" w:ascii="仿宋" w:hAnsi="仿宋" w:eastAsia="仿宋" w:cs="仿宋"/>
                <w:snapToGrid w:val="0"/>
                <w:color w:val="000000"/>
                <w:kern w:val="0"/>
                <w:sz w:val="24"/>
                <w:szCs w:val="24"/>
                <w:highlight w:val="none"/>
                <w:lang w:val="en-US" w:eastAsia="zh-CN"/>
              </w:rPr>
              <w:t>20</w:t>
            </w:r>
            <w:r>
              <w:rPr>
                <w:rFonts w:hint="eastAsia" w:ascii="仿宋" w:hAnsi="仿宋" w:eastAsia="仿宋" w:cs="仿宋"/>
                <w:snapToGrid w:val="0"/>
                <w:color w:val="000000"/>
                <w:kern w:val="0"/>
                <w:sz w:val="24"/>
                <w:szCs w:val="24"/>
                <w:highlight w:val="none"/>
              </w:rPr>
              <w:t>年度，多年获得广东正平天成律师事务所“杰出贡献奖”、“业务贡献奖”、“优秀</w:t>
            </w:r>
            <w:r>
              <w:rPr>
                <w:rFonts w:hint="eastAsia" w:ascii="仿宋" w:hAnsi="仿宋" w:eastAsia="仿宋" w:cs="仿宋"/>
                <w:snapToGrid w:val="0"/>
                <w:color w:val="000000"/>
                <w:kern w:val="0"/>
                <w:sz w:val="24"/>
                <w:szCs w:val="24"/>
                <w:highlight w:val="none"/>
                <w:lang w:val="en-US" w:eastAsia="zh-CN"/>
              </w:rPr>
              <w:t>律师</w:t>
            </w:r>
            <w:r>
              <w:rPr>
                <w:rFonts w:hint="eastAsia" w:ascii="仿宋" w:hAnsi="仿宋" w:eastAsia="仿宋" w:cs="仿宋"/>
                <w:snapToGrid w:val="0"/>
                <w:color w:val="000000"/>
                <w:kern w:val="0"/>
                <w:sz w:val="24"/>
                <w:szCs w:val="24"/>
                <w:highlight w:val="none"/>
              </w:rPr>
              <w:t>”等称号。</w:t>
            </w:r>
          </w:p>
          <w:p w14:paraId="46DB43F9">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4</w:t>
            </w:r>
            <w:r>
              <w:rPr>
                <w:rFonts w:hint="eastAsia" w:ascii="仿宋" w:hAnsi="仿宋" w:eastAsia="仿宋" w:cs="仿宋"/>
                <w:snapToGrid w:val="0"/>
                <w:color w:val="000000"/>
                <w:kern w:val="0"/>
                <w:sz w:val="24"/>
                <w:szCs w:val="24"/>
              </w:rPr>
              <w:t>、2019年11月，获得广东省法学会婚姻法研究会“优秀论文奖”。</w:t>
            </w:r>
          </w:p>
          <w:p w14:paraId="6EAEABCF">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default"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5</w:t>
            </w:r>
            <w:r>
              <w:rPr>
                <w:rFonts w:hint="eastAsia" w:ascii="仿宋" w:hAnsi="仿宋" w:eastAsia="仿宋" w:cs="仿宋"/>
                <w:snapToGrid w:val="0"/>
                <w:color w:val="000000"/>
                <w:kern w:val="0"/>
                <w:sz w:val="24"/>
                <w:szCs w:val="24"/>
              </w:rPr>
              <w:t>、</w:t>
            </w:r>
            <w:r>
              <w:rPr>
                <w:rFonts w:hint="eastAsia" w:ascii="仿宋" w:hAnsi="仿宋" w:eastAsia="仿宋" w:cs="仿宋"/>
                <w:snapToGrid w:val="0"/>
                <w:color w:val="000000"/>
                <w:kern w:val="0"/>
                <w:sz w:val="24"/>
                <w:szCs w:val="24"/>
                <w:lang w:val="en-US" w:eastAsia="zh-CN"/>
              </w:rPr>
              <w:t>2020年6月</w:t>
            </w:r>
            <w:r>
              <w:rPr>
                <w:rFonts w:hint="eastAsia" w:ascii="仿宋" w:hAnsi="仿宋" w:eastAsia="仿宋" w:cs="仿宋"/>
                <w:snapToGrid w:val="0"/>
                <w:color w:val="000000"/>
                <w:kern w:val="0"/>
                <w:sz w:val="24"/>
                <w:szCs w:val="24"/>
              </w:rPr>
              <w:t>。</w:t>
            </w:r>
            <w:r>
              <w:rPr>
                <w:rFonts w:hint="eastAsia" w:ascii="仿宋" w:hAnsi="仿宋" w:eastAsia="仿宋" w:cs="仿宋"/>
                <w:snapToGrid w:val="0"/>
                <w:color w:val="000000"/>
                <w:kern w:val="0"/>
                <w:sz w:val="24"/>
                <w:szCs w:val="24"/>
                <w:lang w:val="en-US" w:eastAsia="zh-CN"/>
              </w:rPr>
              <w:t>被广州市律师协会授予“理论成果奖三等奖”。</w:t>
            </w:r>
          </w:p>
          <w:p w14:paraId="28AC77D8">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6</w:t>
            </w:r>
            <w:r>
              <w:rPr>
                <w:rFonts w:hint="eastAsia" w:ascii="仿宋" w:hAnsi="仿宋" w:eastAsia="仿宋" w:cs="仿宋"/>
                <w:snapToGrid w:val="0"/>
                <w:color w:val="000000"/>
                <w:kern w:val="0"/>
                <w:sz w:val="24"/>
                <w:szCs w:val="24"/>
              </w:rPr>
              <w:t>、2019年11月，参与广州市妇联“玫瑰公益”项目，获得“爱心奖”。</w:t>
            </w:r>
          </w:p>
          <w:p w14:paraId="33E679A9">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7</w:t>
            </w:r>
            <w:r>
              <w:rPr>
                <w:rFonts w:hint="eastAsia" w:ascii="仿宋" w:hAnsi="仿宋" w:eastAsia="仿宋" w:cs="仿宋"/>
                <w:snapToGrid w:val="0"/>
                <w:color w:val="000000"/>
                <w:kern w:val="0"/>
                <w:sz w:val="24"/>
                <w:szCs w:val="24"/>
              </w:rPr>
              <w:t>、</w:t>
            </w:r>
            <w:r>
              <w:rPr>
                <w:rFonts w:hint="eastAsia" w:ascii="仿宋" w:hAnsi="仿宋" w:eastAsia="仿宋" w:cs="仿宋"/>
                <w:snapToGrid w:val="0"/>
                <w:color w:val="000000"/>
                <w:kern w:val="0"/>
                <w:sz w:val="24"/>
                <w:szCs w:val="24"/>
                <w:highlight w:val="none"/>
              </w:rPr>
              <w:t>2021年1月，获得事务所优秀律师奖、突出贡献奖。</w:t>
            </w:r>
          </w:p>
          <w:p w14:paraId="5F894663">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highlight w:val="none"/>
              </w:rPr>
            </w:pPr>
            <w:r>
              <w:rPr>
                <w:rFonts w:hint="eastAsia" w:ascii="仿宋" w:hAnsi="仿宋" w:eastAsia="仿宋" w:cs="仿宋"/>
                <w:snapToGrid w:val="0"/>
                <w:color w:val="000000"/>
                <w:kern w:val="0"/>
                <w:sz w:val="24"/>
                <w:szCs w:val="24"/>
                <w:highlight w:val="none"/>
                <w:lang w:val="en-US" w:eastAsia="zh-CN"/>
              </w:rPr>
              <w:t>8</w:t>
            </w:r>
            <w:r>
              <w:rPr>
                <w:rFonts w:hint="eastAsia" w:ascii="仿宋" w:hAnsi="仿宋" w:eastAsia="仿宋" w:cs="仿宋"/>
                <w:snapToGrid w:val="0"/>
                <w:color w:val="000000"/>
                <w:kern w:val="0"/>
                <w:sz w:val="24"/>
                <w:szCs w:val="24"/>
                <w:highlight w:val="none"/>
              </w:rPr>
              <w:t>、2021年</w:t>
            </w:r>
            <w:r>
              <w:rPr>
                <w:rFonts w:hint="eastAsia" w:ascii="仿宋" w:hAnsi="仿宋" w:eastAsia="仿宋" w:cs="仿宋"/>
                <w:snapToGrid w:val="0"/>
                <w:color w:val="000000"/>
                <w:kern w:val="0"/>
                <w:sz w:val="24"/>
                <w:szCs w:val="24"/>
                <w:highlight w:val="none"/>
                <w:lang w:val="en-US" w:eastAsia="zh-CN"/>
              </w:rPr>
              <w:t>8</w:t>
            </w:r>
            <w:r>
              <w:rPr>
                <w:rFonts w:hint="eastAsia" w:ascii="仿宋" w:hAnsi="仿宋" w:eastAsia="仿宋" w:cs="仿宋"/>
                <w:snapToGrid w:val="0"/>
                <w:color w:val="000000"/>
                <w:kern w:val="0"/>
                <w:sz w:val="24"/>
                <w:szCs w:val="24"/>
                <w:highlight w:val="none"/>
              </w:rPr>
              <w:t>月，获得广州市律师协会“理论成果</w:t>
            </w:r>
            <w:r>
              <w:rPr>
                <w:rFonts w:hint="eastAsia" w:ascii="仿宋" w:hAnsi="仿宋" w:eastAsia="仿宋" w:cs="仿宋"/>
                <w:snapToGrid w:val="0"/>
                <w:color w:val="000000"/>
                <w:kern w:val="0"/>
                <w:sz w:val="24"/>
                <w:szCs w:val="24"/>
                <w:highlight w:val="none"/>
                <w:lang w:val="en-US" w:eastAsia="zh-CN"/>
              </w:rPr>
              <w:t>鼓励</w:t>
            </w:r>
            <w:r>
              <w:rPr>
                <w:rFonts w:hint="eastAsia" w:ascii="仿宋" w:hAnsi="仿宋" w:eastAsia="仿宋" w:cs="仿宋"/>
                <w:snapToGrid w:val="0"/>
                <w:color w:val="000000"/>
                <w:kern w:val="0"/>
                <w:sz w:val="24"/>
                <w:szCs w:val="24"/>
                <w:highlight w:val="none"/>
              </w:rPr>
              <w:t>奖”。</w:t>
            </w:r>
          </w:p>
          <w:p w14:paraId="39A6E9FD">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highlight w:val="yellow"/>
              </w:rPr>
            </w:pPr>
            <w:r>
              <w:rPr>
                <w:rFonts w:hint="eastAsia" w:ascii="仿宋" w:hAnsi="仿宋" w:eastAsia="仿宋" w:cs="仿宋"/>
                <w:snapToGrid w:val="0"/>
                <w:color w:val="000000"/>
                <w:kern w:val="0"/>
                <w:sz w:val="24"/>
                <w:szCs w:val="24"/>
                <w:lang w:val="en-US" w:eastAsia="zh-CN"/>
              </w:rPr>
              <w:t>9</w:t>
            </w:r>
            <w:r>
              <w:rPr>
                <w:rFonts w:hint="eastAsia" w:ascii="仿宋" w:hAnsi="仿宋" w:eastAsia="仿宋" w:cs="仿宋"/>
                <w:snapToGrid w:val="0"/>
                <w:color w:val="000000"/>
                <w:kern w:val="0"/>
                <w:sz w:val="24"/>
                <w:szCs w:val="24"/>
              </w:rPr>
              <w:t>、</w:t>
            </w:r>
            <w:r>
              <w:rPr>
                <w:rFonts w:hint="eastAsia" w:ascii="仿宋" w:hAnsi="仿宋" w:eastAsia="仿宋" w:cs="仿宋"/>
                <w:snapToGrid w:val="0"/>
                <w:color w:val="000000"/>
                <w:kern w:val="0"/>
                <w:sz w:val="24"/>
                <w:szCs w:val="24"/>
                <w:lang w:val="en-US" w:eastAsia="zh-CN"/>
              </w:rPr>
              <w:t>2020、</w:t>
            </w:r>
            <w:r>
              <w:rPr>
                <w:rFonts w:hint="eastAsia" w:ascii="仿宋" w:hAnsi="仿宋" w:eastAsia="仿宋" w:cs="仿宋"/>
                <w:snapToGrid w:val="0"/>
                <w:color w:val="000000"/>
                <w:kern w:val="0"/>
                <w:sz w:val="24"/>
                <w:szCs w:val="24"/>
              </w:rPr>
              <w:t>202</w:t>
            </w:r>
            <w:r>
              <w:rPr>
                <w:rFonts w:hint="eastAsia" w:ascii="仿宋" w:hAnsi="仿宋" w:eastAsia="仿宋" w:cs="仿宋"/>
                <w:snapToGrid w:val="0"/>
                <w:color w:val="000000"/>
                <w:kern w:val="0"/>
                <w:sz w:val="24"/>
                <w:szCs w:val="24"/>
                <w:lang w:val="en-US" w:eastAsia="zh-CN"/>
              </w:rPr>
              <w:t>1</w:t>
            </w:r>
            <w:r>
              <w:rPr>
                <w:rFonts w:hint="eastAsia" w:ascii="仿宋" w:hAnsi="仿宋" w:eastAsia="仿宋" w:cs="仿宋"/>
                <w:snapToGrid w:val="0"/>
                <w:color w:val="000000"/>
                <w:kern w:val="0"/>
                <w:sz w:val="24"/>
                <w:szCs w:val="24"/>
              </w:rPr>
              <w:t>年度被广州市律师协会评为“优秀专业委员会委员”。</w:t>
            </w:r>
          </w:p>
          <w:p w14:paraId="63B68830">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10</w:t>
            </w:r>
            <w:r>
              <w:rPr>
                <w:rFonts w:hint="eastAsia" w:ascii="仿宋" w:hAnsi="仿宋" w:eastAsia="仿宋" w:cs="仿宋"/>
                <w:snapToGrid w:val="0"/>
                <w:color w:val="000000"/>
                <w:kern w:val="0"/>
                <w:sz w:val="24"/>
                <w:szCs w:val="24"/>
              </w:rPr>
              <w:t>、2022年7月，获得广州市律师协会“广州市律师行业优秀共产党员”荣誉称号。</w:t>
            </w:r>
          </w:p>
          <w:p w14:paraId="37639B6D">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highlight w:val="none"/>
              </w:rPr>
            </w:pPr>
            <w:r>
              <w:rPr>
                <w:rFonts w:hint="eastAsia" w:ascii="仿宋" w:hAnsi="仿宋" w:eastAsia="仿宋" w:cs="仿宋"/>
                <w:snapToGrid w:val="0"/>
                <w:color w:val="000000"/>
                <w:kern w:val="0"/>
                <w:sz w:val="24"/>
                <w:szCs w:val="24"/>
                <w:highlight w:val="none"/>
              </w:rPr>
              <w:t>1</w:t>
            </w:r>
            <w:r>
              <w:rPr>
                <w:rFonts w:hint="eastAsia" w:ascii="仿宋" w:hAnsi="仿宋" w:eastAsia="仿宋" w:cs="仿宋"/>
                <w:snapToGrid w:val="0"/>
                <w:color w:val="000000"/>
                <w:kern w:val="0"/>
                <w:sz w:val="24"/>
                <w:szCs w:val="24"/>
                <w:highlight w:val="none"/>
                <w:lang w:val="en-US" w:eastAsia="zh-CN"/>
              </w:rPr>
              <w:t>1</w:t>
            </w:r>
            <w:r>
              <w:rPr>
                <w:rFonts w:hint="eastAsia" w:ascii="仿宋" w:hAnsi="仿宋" w:eastAsia="仿宋" w:cs="仿宋"/>
                <w:snapToGrid w:val="0"/>
                <w:color w:val="000000"/>
                <w:kern w:val="0"/>
                <w:sz w:val="24"/>
                <w:szCs w:val="24"/>
                <w:highlight w:val="none"/>
              </w:rPr>
              <w:t>、2022年10月，获得律新社授予的婚姻家事领域“匠心律师”品牌之星荣誉。</w:t>
            </w:r>
          </w:p>
          <w:p w14:paraId="4A173680">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12</w:t>
            </w:r>
            <w:r>
              <w:rPr>
                <w:rFonts w:hint="eastAsia" w:ascii="仿宋" w:hAnsi="仿宋" w:eastAsia="仿宋" w:cs="仿宋"/>
                <w:snapToGrid w:val="0"/>
                <w:color w:val="000000"/>
                <w:kern w:val="0"/>
                <w:sz w:val="24"/>
                <w:szCs w:val="24"/>
              </w:rPr>
              <w:t>、2024年3月，被评为“2023年度广东省律师协会委员会优秀委员”。</w:t>
            </w:r>
          </w:p>
          <w:p w14:paraId="30AD1B79">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highlight w:val="none"/>
                <w:lang w:val="en-US" w:eastAsia="zh-CN"/>
              </w:rPr>
              <w:t>13、</w:t>
            </w:r>
            <w:r>
              <w:rPr>
                <w:rFonts w:hint="eastAsia" w:ascii="仿宋" w:hAnsi="仿宋" w:eastAsia="仿宋" w:cs="仿宋"/>
                <w:snapToGrid w:val="0"/>
                <w:color w:val="000000"/>
                <w:kern w:val="0"/>
                <w:sz w:val="24"/>
                <w:szCs w:val="24"/>
                <w:highlight w:val="none"/>
              </w:rPr>
              <w:t>2024年7月，因在2023年热心慈善事业表现突出，被广州市律协授予“优秀公益律师奖”。</w:t>
            </w:r>
          </w:p>
          <w:p w14:paraId="6C7303C6">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14</w:t>
            </w:r>
            <w:r>
              <w:rPr>
                <w:rFonts w:hint="eastAsia" w:ascii="仿宋" w:hAnsi="仿宋" w:eastAsia="仿宋" w:cs="仿宋"/>
                <w:snapToGrid w:val="0"/>
                <w:color w:val="000000"/>
                <w:kern w:val="0"/>
                <w:sz w:val="24"/>
                <w:szCs w:val="24"/>
              </w:rPr>
              <w:t>、2024年8月，获得东莞市律师协会“荣誉纪念证书”。</w:t>
            </w:r>
          </w:p>
          <w:p w14:paraId="129CE154">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15</w:t>
            </w:r>
            <w:r>
              <w:rPr>
                <w:rFonts w:hint="eastAsia" w:ascii="仿宋" w:hAnsi="仿宋" w:eastAsia="仿宋" w:cs="仿宋"/>
                <w:snapToGrid w:val="0"/>
                <w:color w:val="000000"/>
                <w:kern w:val="0"/>
                <w:sz w:val="24"/>
                <w:szCs w:val="24"/>
              </w:rPr>
              <w:t>、2024年9月，获得广州市白云区农业农村局“荣誉证书”。</w:t>
            </w:r>
          </w:p>
          <w:p w14:paraId="0C83E4D9">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16</w:t>
            </w:r>
            <w:r>
              <w:rPr>
                <w:rFonts w:hint="eastAsia" w:ascii="仿宋" w:hAnsi="仿宋" w:eastAsia="仿宋" w:cs="仿宋"/>
                <w:snapToGrid w:val="0"/>
                <w:color w:val="000000"/>
                <w:kern w:val="0"/>
                <w:sz w:val="24"/>
                <w:szCs w:val="24"/>
              </w:rPr>
              <w:t>、2024年12月14日，获得广东省法学会婚姻家庭法学研究会2024年学术年会优秀论文“优秀奖”。</w:t>
            </w:r>
          </w:p>
          <w:p w14:paraId="22426231">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highlight w:val="yellow"/>
              </w:rPr>
            </w:pPr>
            <w:r>
              <w:rPr>
                <w:rFonts w:hint="eastAsia" w:ascii="仿宋" w:hAnsi="仿宋" w:eastAsia="仿宋" w:cs="仿宋"/>
                <w:snapToGrid w:val="0"/>
                <w:color w:val="000000"/>
                <w:kern w:val="0"/>
                <w:sz w:val="24"/>
                <w:szCs w:val="24"/>
                <w:lang w:val="en-US" w:eastAsia="zh-CN"/>
              </w:rPr>
              <w:t>17</w:t>
            </w:r>
            <w:r>
              <w:rPr>
                <w:rFonts w:hint="eastAsia" w:ascii="仿宋" w:hAnsi="仿宋" w:eastAsia="仿宋" w:cs="仿宋"/>
                <w:snapToGrid w:val="0"/>
                <w:color w:val="000000"/>
                <w:kern w:val="0"/>
                <w:sz w:val="24"/>
                <w:szCs w:val="24"/>
              </w:rPr>
              <w:t>、2024年12月，《传承红色革命精神 谱写新时代法治乐章》被天河科技园党委评为“微党课”案例特等奖。</w:t>
            </w:r>
          </w:p>
          <w:p w14:paraId="4E99B6AF">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18</w:t>
            </w:r>
            <w:r>
              <w:rPr>
                <w:rFonts w:hint="eastAsia" w:ascii="仿宋" w:hAnsi="仿宋" w:eastAsia="仿宋" w:cs="仿宋"/>
                <w:snapToGrid w:val="0"/>
                <w:color w:val="000000"/>
                <w:kern w:val="0"/>
                <w:sz w:val="24"/>
                <w:szCs w:val="24"/>
              </w:rPr>
              <w:t>、2025年3月9日，被广东济方律师事务所评为先进律师。</w:t>
            </w:r>
          </w:p>
          <w:p w14:paraId="119C3FE1">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19、</w:t>
            </w:r>
            <w:r>
              <w:rPr>
                <w:rFonts w:hint="eastAsia" w:ascii="仿宋" w:hAnsi="仿宋" w:eastAsia="仿宋" w:cs="仿宋"/>
                <w:snapToGrid w:val="0"/>
                <w:color w:val="000000"/>
                <w:kern w:val="0"/>
                <w:sz w:val="24"/>
                <w:szCs w:val="24"/>
              </w:rPr>
              <w:t>2025年6月29日，研发的“A类特殊人群的人财保·传”荣获中国政法大学律师学研究中心主办的第二届法律服务创新产品案例奖“综合性法律服务创新产品提名案例”奖项。</w:t>
            </w:r>
          </w:p>
          <w:p w14:paraId="23762DCD">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highlight w:val="none"/>
              </w:rPr>
            </w:pPr>
            <w:r>
              <w:rPr>
                <w:rFonts w:hint="eastAsia" w:ascii="仿宋" w:hAnsi="仿宋" w:eastAsia="仿宋" w:cs="仿宋"/>
                <w:snapToGrid w:val="0"/>
                <w:color w:val="000000"/>
                <w:kern w:val="0"/>
                <w:sz w:val="24"/>
                <w:szCs w:val="24"/>
                <w:highlight w:val="none"/>
                <w:lang w:val="en-US" w:eastAsia="zh-CN"/>
              </w:rPr>
              <w:t>20</w:t>
            </w:r>
            <w:r>
              <w:rPr>
                <w:rFonts w:hint="eastAsia" w:ascii="仿宋" w:hAnsi="仿宋" w:eastAsia="仿宋" w:cs="仿宋"/>
                <w:snapToGrid w:val="0"/>
                <w:color w:val="000000"/>
                <w:kern w:val="0"/>
                <w:sz w:val="24"/>
                <w:szCs w:val="24"/>
                <w:highlight w:val="none"/>
              </w:rPr>
              <w:t>、2025年8月，撰写的《老龄社会应如何实现心智障碍人群的“人财保传”》论文，被广州市律师协会授予“理论成果奖三等奖”。</w:t>
            </w:r>
          </w:p>
          <w:p w14:paraId="56CAADC8">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21</w:t>
            </w:r>
            <w:r>
              <w:rPr>
                <w:rFonts w:hint="eastAsia" w:ascii="仿宋" w:hAnsi="仿宋" w:eastAsia="仿宋" w:cs="仿宋"/>
                <w:snapToGrid w:val="0"/>
                <w:color w:val="000000"/>
                <w:kern w:val="0"/>
                <w:sz w:val="24"/>
                <w:szCs w:val="24"/>
              </w:rPr>
              <w:t>、2025年11月22日，撰写的《跨境继承中监护与监督机制的实务探究》论文，在广东省法学会婚姻家庭法学研究会2025年学术年会优秀论文评选中荣获鼓励奖。</w:t>
            </w:r>
          </w:p>
          <w:p w14:paraId="52C91F6D">
            <w:pPr>
              <w:keepNext w:val="0"/>
              <w:keepLines w:val="0"/>
              <w:pageBreakBefore w:val="0"/>
              <w:widowControl w:val="0"/>
              <w:kinsoku/>
              <w:wordWrap/>
              <w:overflowPunct/>
              <w:topLinePunct w:val="0"/>
              <w:autoSpaceDE/>
              <w:autoSpaceDN/>
              <w:bidi w:val="0"/>
              <w:adjustRightInd/>
              <w:snapToGrid/>
              <w:spacing w:line="440" w:lineRule="exact"/>
              <w:ind w:firstLine="360" w:firstLineChars="150"/>
              <w:jc w:val="lef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lang w:val="en-US" w:eastAsia="zh-CN"/>
              </w:rPr>
              <w:t>22</w:t>
            </w:r>
            <w:r>
              <w:rPr>
                <w:rFonts w:hint="eastAsia" w:ascii="仿宋" w:hAnsi="仿宋" w:eastAsia="仿宋" w:cs="仿宋"/>
                <w:snapToGrid w:val="0"/>
                <w:color w:val="000000"/>
                <w:kern w:val="0"/>
                <w:sz w:val="24"/>
                <w:szCs w:val="24"/>
              </w:rPr>
              <w:t>、2026年1月29日，被广州市调解协会授予“金牌调解员”的荣誉称号。</w:t>
            </w:r>
          </w:p>
        </w:tc>
      </w:tr>
      <w:tr w14:paraId="49E5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5" w:hRule="atLeast"/>
        </w:trPr>
        <w:tc>
          <w:tcPr>
            <w:tcW w:w="1740" w:type="dxa"/>
            <w:vAlign w:val="center"/>
          </w:tcPr>
          <w:p w14:paraId="6613A924">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本人签名确认</w:t>
            </w:r>
          </w:p>
        </w:tc>
        <w:tc>
          <w:tcPr>
            <w:tcW w:w="8090" w:type="dxa"/>
            <w:gridSpan w:val="4"/>
            <w:vAlign w:val="center"/>
          </w:tcPr>
          <w:p w14:paraId="1B4CC8DC">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p>
          <w:p w14:paraId="6BC26048">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本人承诺以上所述属实，如有虚假，愿意承担“一票否决”后果。</w:t>
            </w:r>
          </w:p>
          <w:p w14:paraId="1AF4AB7C">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p>
          <w:p w14:paraId="37637B4E">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（签名）</w:t>
            </w:r>
          </w:p>
          <w:p w14:paraId="7E7E2F35">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年     月     日</w:t>
            </w:r>
          </w:p>
        </w:tc>
      </w:tr>
      <w:tr w14:paraId="30F7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1" w:hRule="atLeast"/>
        </w:trPr>
        <w:tc>
          <w:tcPr>
            <w:tcW w:w="1740" w:type="dxa"/>
            <w:vAlign w:val="center"/>
          </w:tcPr>
          <w:p w14:paraId="1623A6D3">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律师事务所（单位）意见</w:t>
            </w:r>
          </w:p>
        </w:tc>
        <w:tc>
          <w:tcPr>
            <w:tcW w:w="8090" w:type="dxa"/>
            <w:gridSpan w:val="4"/>
            <w:vAlign w:val="center"/>
          </w:tcPr>
          <w:p w14:paraId="70C3B661">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p>
          <w:p w14:paraId="1F389D41">
            <w:pPr>
              <w:keepNext w:val="0"/>
              <w:keepLines w:val="0"/>
              <w:pageBreakBefore w:val="0"/>
              <w:kinsoku/>
              <w:wordWrap/>
              <w:overflowPunct/>
              <w:topLinePunct w:val="0"/>
              <w:autoSpaceDE/>
              <w:autoSpaceDN/>
              <w:bidi w:val="0"/>
              <w:adjustRightInd/>
              <w:snapToGrid/>
              <w:spacing w:line="600" w:lineRule="exact"/>
              <w:ind w:firstLine="360" w:firstLineChars="150"/>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相关信息属实，同意推荐。</w:t>
            </w:r>
          </w:p>
          <w:p w14:paraId="59F57D62">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（加盖公章）</w:t>
            </w:r>
          </w:p>
          <w:p w14:paraId="39D81056">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年     月     日</w:t>
            </w:r>
          </w:p>
        </w:tc>
      </w:tr>
      <w:tr w14:paraId="7B15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7" w:hRule="atLeast"/>
        </w:trPr>
        <w:tc>
          <w:tcPr>
            <w:tcW w:w="1740" w:type="dxa"/>
            <w:vAlign w:val="center"/>
          </w:tcPr>
          <w:p w14:paraId="256D5EF9">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党组织（单位人事部门）</w:t>
            </w:r>
          </w:p>
          <w:p w14:paraId="6FE140B5">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意见</w:t>
            </w:r>
          </w:p>
        </w:tc>
        <w:tc>
          <w:tcPr>
            <w:tcW w:w="8090" w:type="dxa"/>
            <w:gridSpan w:val="4"/>
            <w:vAlign w:val="center"/>
          </w:tcPr>
          <w:p w14:paraId="2F7C602F">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p>
          <w:p w14:paraId="5182AB70">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p>
          <w:p w14:paraId="1CF7C2A7">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（加盖公章）</w:t>
            </w:r>
          </w:p>
          <w:p w14:paraId="67F347C6">
            <w:pPr>
              <w:keepNext w:val="0"/>
              <w:keepLines w:val="0"/>
              <w:pageBreakBefore w:val="0"/>
              <w:kinsoku/>
              <w:wordWrap/>
              <w:overflowPunct/>
              <w:topLinePunct w:val="0"/>
              <w:autoSpaceDE/>
              <w:autoSpaceDN/>
              <w:bidi w:val="0"/>
              <w:adjustRightInd/>
              <w:snapToGrid/>
              <w:spacing w:line="600" w:lineRule="exact"/>
              <w:ind w:firstLine="360" w:firstLineChars="150"/>
              <w:jc w:val="center"/>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                                             年     月     日</w:t>
            </w:r>
          </w:p>
        </w:tc>
      </w:tr>
      <w:tr w14:paraId="37B9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1" w:hRule="atLeast"/>
        </w:trPr>
        <w:tc>
          <w:tcPr>
            <w:tcW w:w="9830" w:type="dxa"/>
            <w:gridSpan w:val="5"/>
            <w:vAlign w:val="center"/>
          </w:tcPr>
          <w:p w14:paraId="7DF32E46">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注意事项：</w:t>
            </w:r>
          </w:p>
          <w:p w14:paraId="75433D85">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1.本表格所有项目均为必填，填写内容应保证客观、真实，无内容的项目请填“无”。</w:t>
            </w:r>
          </w:p>
          <w:p w14:paraId="2F9C0E87">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2.“全日制学历”请填写大学专科、大学本科、硕士研究生、博士研究生等。</w:t>
            </w:r>
          </w:p>
          <w:p w14:paraId="10E62A96">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3.获奖情况须同时提供相关证明材料复印件，并加盖律师事务所骑缝章，上传附件每个不得超过10M。</w:t>
            </w:r>
          </w:p>
          <w:p w14:paraId="68FC724A">
            <w:pPr>
              <w:keepNext w:val="0"/>
              <w:keepLines w:val="0"/>
              <w:pageBreakBefore w:val="0"/>
              <w:kinsoku/>
              <w:wordWrap/>
              <w:overflowPunct/>
              <w:topLinePunct w:val="0"/>
              <w:autoSpaceDE/>
              <w:autoSpaceDN/>
              <w:bidi w:val="0"/>
              <w:adjustRightInd/>
              <w:snapToGrid/>
              <w:spacing w:line="600" w:lineRule="exact"/>
              <w:textAlignment w:val="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4.“党组织（单位人事部门）意见”由申报人员所在工作单位党组织或联合党支部，根据报名条件中的政治条件对申报人员进行政治鉴定，并出具意见（加盖党组织专用章）；如申报人员所在工作单位未成立党组织的，由所在单位人事部门出具意见（加盖工作单位公章）。例如：经严格审查，该律师符合报名条件中所列的政治条件。</w:t>
            </w:r>
          </w:p>
        </w:tc>
      </w:tr>
      <w:bookmarkEnd w:id="0"/>
    </w:tbl>
    <w:p w14:paraId="7B366DF3">
      <w:pPr>
        <w:rPr>
          <w:rFonts w:hint="eastAsia"/>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00"/>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F3FFA">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100E7B">
                          <w:pPr>
                            <w:pStyle w:val="1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9100E7B">
                    <w:pPr>
                      <w:pStyle w:val="1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D2DCB">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15825"/>
    <w:multiLevelType w:val="singleLevel"/>
    <w:tmpl w:val="A1C15825"/>
    <w:lvl w:ilvl="0" w:tentative="0">
      <w:start w:val="1"/>
      <w:numFmt w:val="chineseCounting"/>
      <w:suff w:val="nothing"/>
      <w:lvlText w:val="%1、"/>
      <w:lvlJc w:val="left"/>
      <w:rPr>
        <w:rFonts w:hint="eastAsia"/>
      </w:rPr>
    </w:lvl>
  </w:abstractNum>
  <w:abstractNum w:abstractNumId="1">
    <w:nsid w:val="A713CEBF"/>
    <w:multiLevelType w:val="singleLevel"/>
    <w:tmpl w:val="A713CEBF"/>
    <w:lvl w:ilvl="0" w:tentative="0">
      <w:start w:val="2"/>
      <w:numFmt w:val="chineseCounting"/>
      <w:suff w:val="nothing"/>
      <w:lvlText w:val="%1、"/>
      <w:lvlJc w:val="left"/>
      <w:rPr>
        <w:rFonts w:hint="eastAsia"/>
      </w:rPr>
    </w:lvl>
  </w:abstractNum>
  <w:abstractNum w:abstractNumId="2">
    <w:nsid w:val="67CE2F28"/>
    <w:multiLevelType w:val="singleLevel"/>
    <w:tmpl w:val="67CE2F28"/>
    <w:lvl w:ilvl="0" w:tentative="0">
      <w:start w:val="6"/>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21A"/>
    <w:rsid w:val="00013C86"/>
    <w:rsid w:val="000C499B"/>
    <w:rsid w:val="00177AC6"/>
    <w:rsid w:val="001B6F5E"/>
    <w:rsid w:val="0024121A"/>
    <w:rsid w:val="00275826"/>
    <w:rsid w:val="00947089"/>
    <w:rsid w:val="00967A3D"/>
    <w:rsid w:val="00A84CE2"/>
    <w:rsid w:val="00A9214F"/>
    <w:rsid w:val="00E209E3"/>
    <w:rsid w:val="00ED554D"/>
    <w:rsid w:val="00EF6FA5"/>
    <w:rsid w:val="013D290D"/>
    <w:rsid w:val="02590402"/>
    <w:rsid w:val="025F5973"/>
    <w:rsid w:val="02641DFB"/>
    <w:rsid w:val="03B67D67"/>
    <w:rsid w:val="03C3395E"/>
    <w:rsid w:val="045B4F4B"/>
    <w:rsid w:val="05B9111D"/>
    <w:rsid w:val="05BE584E"/>
    <w:rsid w:val="05F02DC0"/>
    <w:rsid w:val="07035F04"/>
    <w:rsid w:val="073A4391"/>
    <w:rsid w:val="07C57401"/>
    <w:rsid w:val="08297F72"/>
    <w:rsid w:val="093920B1"/>
    <w:rsid w:val="09DB5054"/>
    <w:rsid w:val="0AA17496"/>
    <w:rsid w:val="0AC9296F"/>
    <w:rsid w:val="0B496603"/>
    <w:rsid w:val="0D1A24E3"/>
    <w:rsid w:val="0E1D2A3F"/>
    <w:rsid w:val="0EEA6DD3"/>
    <w:rsid w:val="1000747D"/>
    <w:rsid w:val="10437371"/>
    <w:rsid w:val="10E81EF1"/>
    <w:rsid w:val="117F12E2"/>
    <w:rsid w:val="11EE77B0"/>
    <w:rsid w:val="11EF7A73"/>
    <w:rsid w:val="125A4A09"/>
    <w:rsid w:val="151505A6"/>
    <w:rsid w:val="16A3369E"/>
    <w:rsid w:val="16B6715F"/>
    <w:rsid w:val="16B72D95"/>
    <w:rsid w:val="17867883"/>
    <w:rsid w:val="179664AD"/>
    <w:rsid w:val="17DF5B98"/>
    <w:rsid w:val="18333E36"/>
    <w:rsid w:val="187A7192"/>
    <w:rsid w:val="188454E6"/>
    <w:rsid w:val="19930995"/>
    <w:rsid w:val="1A1C3315"/>
    <w:rsid w:val="1A3B684E"/>
    <w:rsid w:val="1A7C1108"/>
    <w:rsid w:val="1ADE00A1"/>
    <w:rsid w:val="1C890FAC"/>
    <w:rsid w:val="1D2C6A13"/>
    <w:rsid w:val="1E6257AE"/>
    <w:rsid w:val="1E726D03"/>
    <w:rsid w:val="1EB16FF0"/>
    <w:rsid w:val="1EB47547"/>
    <w:rsid w:val="1EDC2F65"/>
    <w:rsid w:val="1FE01FA9"/>
    <w:rsid w:val="20564C93"/>
    <w:rsid w:val="209604B4"/>
    <w:rsid w:val="210D1AAA"/>
    <w:rsid w:val="217117CA"/>
    <w:rsid w:val="217F6677"/>
    <w:rsid w:val="226B4F39"/>
    <w:rsid w:val="228B6B0F"/>
    <w:rsid w:val="23C66840"/>
    <w:rsid w:val="24CF4151"/>
    <w:rsid w:val="24DB67D5"/>
    <w:rsid w:val="257E6CC3"/>
    <w:rsid w:val="28E1022D"/>
    <w:rsid w:val="29421AC0"/>
    <w:rsid w:val="296315D6"/>
    <w:rsid w:val="29A11AD9"/>
    <w:rsid w:val="29CA0B66"/>
    <w:rsid w:val="2B6A0D48"/>
    <w:rsid w:val="2BFA3C87"/>
    <w:rsid w:val="2DE40AE8"/>
    <w:rsid w:val="2E7A22E1"/>
    <w:rsid w:val="2F11754B"/>
    <w:rsid w:val="2FD90B27"/>
    <w:rsid w:val="30A1544B"/>
    <w:rsid w:val="311B4118"/>
    <w:rsid w:val="32110C25"/>
    <w:rsid w:val="32231E61"/>
    <w:rsid w:val="32253171"/>
    <w:rsid w:val="335F514F"/>
    <w:rsid w:val="33E91A6C"/>
    <w:rsid w:val="344352E2"/>
    <w:rsid w:val="35395190"/>
    <w:rsid w:val="359D6D3A"/>
    <w:rsid w:val="35B53C53"/>
    <w:rsid w:val="37C1589B"/>
    <w:rsid w:val="37C70626"/>
    <w:rsid w:val="37E52C32"/>
    <w:rsid w:val="388F6727"/>
    <w:rsid w:val="38DB555B"/>
    <w:rsid w:val="39A14A8C"/>
    <w:rsid w:val="3AFF0D6C"/>
    <w:rsid w:val="3B64270E"/>
    <w:rsid w:val="3B9D5CA4"/>
    <w:rsid w:val="3BE14070"/>
    <w:rsid w:val="3CBB2C8E"/>
    <w:rsid w:val="3D7C6112"/>
    <w:rsid w:val="3E446815"/>
    <w:rsid w:val="3EE01D9D"/>
    <w:rsid w:val="3F4F3E0A"/>
    <w:rsid w:val="3FDA366E"/>
    <w:rsid w:val="4041220F"/>
    <w:rsid w:val="40602AD5"/>
    <w:rsid w:val="4098530B"/>
    <w:rsid w:val="43625B18"/>
    <w:rsid w:val="439F77F0"/>
    <w:rsid w:val="445F138B"/>
    <w:rsid w:val="451B45AC"/>
    <w:rsid w:val="456B35F2"/>
    <w:rsid w:val="46263EBC"/>
    <w:rsid w:val="46362EF9"/>
    <w:rsid w:val="46D06A74"/>
    <w:rsid w:val="483909AA"/>
    <w:rsid w:val="489B15FB"/>
    <w:rsid w:val="49C152CA"/>
    <w:rsid w:val="4C567E51"/>
    <w:rsid w:val="4CE42257"/>
    <w:rsid w:val="4D6D768F"/>
    <w:rsid w:val="4E1E6C22"/>
    <w:rsid w:val="4E6278A4"/>
    <w:rsid w:val="4F2A14D9"/>
    <w:rsid w:val="4FB42A47"/>
    <w:rsid w:val="506C277D"/>
    <w:rsid w:val="50EA304C"/>
    <w:rsid w:val="52EE029E"/>
    <w:rsid w:val="52F82C60"/>
    <w:rsid w:val="535350EA"/>
    <w:rsid w:val="535C08D2"/>
    <w:rsid w:val="54C664C3"/>
    <w:rsid w:val="55C2618E"/>
    <w:rsid w:val="571D00BA"/>
    <w:rsid w:val="594823DD"/>
    <w:rsid w:val="5AC40FE2"/>
    <w:rsid w:val="5B5E63DA"/>
    <w:rsid w:val="5C9B193B"/>
    <w:rsid w:val="5C9E41F9"/>
    <w:rsid w:val="608B2FED"/>
    <w:rsid w:val="61095CDB"/>
    <w:rsid w:val="616102D8"/>
    <w:rsid w:val="6166423A"/>
    <w:rsid w:val="61960E04"/>
    <w:rsid w:val="632070CF"/>
    <w:rsid w:val="636212F2"/>
    <w:rsid w:val="64D02AA8"/>
    <w:rsid w:val="65526949"/>
    <w:rsid w:val="671E047C"/>
    <w:rsid w:val="67DC5256"/>
    <w:rsid w:val="68A436AB"/>
    <w:rsid w:val="68D10619"/>
    <w:rsid w:val="6A05092F"/>
    <w:rsid w:val="6AD15F1E"/>
    <w:rsid w:val="6D1A7F7D"/>
    <w:rsid w:val="6DD50EC8"/>
    <w:rsid w:val="6E8821B7"/>
    <w:rsid w:val="6E8D77E2"/>
    <w:rsid w:val="6F4C29A7"/>
    <w:rsid w:val="6FB727D4"/>
    <w:rsid w:val="6FCF7772"/>
    <w:rsid w:val="728B5C67"/>
    <w:rsid w:val="733529C6"/>
    <w:rsid w:val="744F53BB"/>
    <w:rsid w:val="75A0768A"/>
    <w:rsid w:val="75C06AA8"/>
    <w:rsid w:val="75E06D33"/>
    <w:rsid w:val="77492442"/>
    <w:rsid w:val="778C1481"/>
    <w:rsid w:val="79D3126F"/>
    <w:rsid w:val="7A6A5BFB"/>
    <w:rsid w:val="7C617B9C"/>
    <w:rsid w:val="7CD461A4"/>
    <w:rsid w:val="7D4A4A99"/>
    <w:rsid w:val="7E5B6A5D"/>
    <w:rsid w:val="7E861575"/>
    <w:rsid w:val="7ECE5A25"/>
    <w:rsid w:val="7F2F6A35"/>
    <w:rsid w:val="7F5E1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0"/>
    <w:pPr>
      <w:keepNext/>
      <w:keepLines/>
      <w:spacing w:before="340" w:after="330" w:line="578" w:lineRule="auto"/>
      <w:outlineLvl w:val="0"/>
    </w:pPr>
    <w:rPr>
      <w:rFonts w:ascii="Cambria" w:hAnsi="Cambria" w:eastAsia="微软雅黑"/>
      <w:b/>
      <w:bCs/>
      <w:kern w:val="44"/>
      <w:sz w:val="24"/>
      <w:szCs w:val="44"/>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0"/>
    <w:rPr>
      <w:rFonts w:ascii="Cambria" w:hAnsi="Cambria" w:eastAsia="微软雅黑"/>
      <w:b/>
      <w:bCs/>
      <w:kern w:val="44"/>
      <w:sz w:val="24"/>
      <w:szCs w:val="44"/>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3883</Words>
  <Characters>4080</Characters>
  <Lines>40</Lines>
  <Paragraphs>33</Paragraphs>
  <TotalTime>30</TotalTime>
  <ScaleCrop>false</ScaleCrop>
  <LinksUpToDate>false</LinksUpToDate>
  <CharactersWithSpaces>4369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2026-03-07T11:37:00Z</dcterms:created>
  <dc:creator>俊杰 汤</dc:creator>
  <cp:lastModifiedBy>乖</cp:lastModifiedBy>
  <dcterms:modified xsi:type="dcterms:W3CDTF">2026-04-13T07:56:01Z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eyJoZGlkIjoiMjUxYTZiZTdiZGUwZjIzODJlZTFiMDQyMGEwZDg3YmIiLCJ1c2VySWQiOiIyODk4MzIyODAifQ==</vt:lpwstr>
  </property>
  <property fmtid="{D5CDD505-2E9C-101B-9397-08002B2CF9AE}" pid="3" name="KSOProductBuildVer">
    <vt:lpwstr>2052-12.1.0.25225</vt:lpwstr>
  </property>
  <property fmtid="{D5CDD505-2E9C-101B-9397-08002B2CF9AE}" pid="4" name="ICV">
    <vt:lpwstr>E4D975A9A45C445CA99E4019D8566574_13</vt:lpwstr>
  </property>
</Properties>
</file>