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pPr>
        <w:pBdr>
          <w:bottom w:val="single" w:sz="6" w:space="1" w:color="auto"/>
        </w:pBdr>
      </w:pPr>
      <w:r>
        <w:rPr>
          <w:sz w:val="14"/>
        </w:rPr>
        <w:t/>
      </w:r>
    </w:p>
    <w:p>
      <w:r>
        <w:rPr>
          <w:sz w:val="16"/>
        </w:rPr>
        <w:t xml:space="preserve">第2页脚注：</w:t>
      </w:r>
    </w:p>
    <w:p>
      <w:r>
        <w:rPr>
          <w:sz w:val="16"/>
        </w:rPr>
        <w:t xml:space="preserve">1. 朱熹. 朱子语类[M]. 北京: 中华书局, 1986.</w:t>
      </w:r>
    </w:p>
    <w:p>
      <w:r>
        <w:rPr>
          <w:sz w:val="16"/>
        </w:rPr>
        <w:t xml:space="preserve">2. 周敦颐. 周敦颐集[M]. 北京: 中华书局, 2009.</w:t>
      </w:r>
    </w:p>
    <w:p>
      <w:r>
        <w:rPr>
          <w:sz w:val="16"/>
        </w:rPr>
        <w:t xml:space="preserve">3. 程颢, 程颐. 二程遗书[M]. 上海: 上海古籍出版社, 2000.</w:t>
      </w:r>
    </w:p>
    <w:p>
      <w:r>
        <w:rPr>
          <w:sz w:val="16"/>
        </w:rPr>
        <w:t xml:space="preserve">4. 张载. 张载集[M]. 北京: 中华书局, 1978.</w:t>
      </w:r>
    </w:p>
    <w:p>
      <w:r>
        <w:rPr>
          <w:sz w:val="16"/>
        </w:rPr>
        <w:t xml:space="preserve">5. 朱熹. 四书章句集注[M]. 北京: 中华书局, 1983.</w:t>
      </w:r>
    </w:p>
    <w:p>
      <w:r>
        <w:rPr>
          <w:sz w:val="16"/>
        </w:rPr>
        <w:t xml:space="preserve">6. 利玛窦. 天主实义[A]. 利玛窦中文著译集[C]. 上海: 复旦大学出版社, 2001.</w:t>
      </w:r>
    </w:p>
    <w:p>
      <w:r>
        <w:rPr>
          <w:sz w:val="16"/>
        </w:rPr>
        <w:t xml:space="preserve">7. 蒙培元. 理学范畴系统[M]. 北京: 人民出版社, 1989.</w:t>
      </w:r>
    </w:p>
    <w:p>
      <w:r>
        <w:rPr>
          <w:sz w:val="16"/>
        </w:rPr>
        <w:t xml:space="preserve">8. 孙尚扬. 基督教与明末儒学[M]. 北京: 东方出版社, 1994.</w:t>
      </w:r>
    </w:p>
    <w:p>
      <w:r>
        <w:rPr>
          <w:sz w:val="16"/>
        </w:rPr>
        <w:t xml:space="preserve">9. 陈来. 宋明理学[M]. 沈阳: 辽宁教育出版社, 1991.</w:t>
      </w:r>
    </w:p>
    <w:p>
      <w:r>
        <w:rPr>
          <w:sz w:val="16"/>
        </w:rPr>
        <w:t xml:space="preserve">10. Meynard, T. The Jesuit Reading of Confucius: The First Complete Translation of the Lunyu (1687) Published in the West[J]. Brill's Series in Church History, 2011, 52: 1-420.</w:t>
      </w:r>
    </w:p>
    <w:p>
      <w:r>
        <w:rPr>
          <w:sz w:val="16"/>
        </w:rPr>
        <w:t xml:space="preserve">11. 王晓宁. 蒙培元理学范畴系统研究[D]. 北京: 北京大学哲学系, 2012.</w:t>
      </w:r>
    </w:p>
    <w:p>
      <w:r>
        <w:rPr>
          <w:sz w:val="16"/>
        </w:rPr>
        <w:t xml:space="preserve">12. 罗钦顺. 困知记[M]. 北京: 中华书局, 1990.</w:t>
      </w:r>
    </w:p>
    <w:p>
      <w:r>
        <w:rPr>
          <w:sz w:val="16"/>
        </w:rPr>
        <w:t xml:space="preserve">13. 王廷相. 王氏肃松录[M]. 北京: 中华书局, 1989.</w:t>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pPr>
        <w:pBdr>
          <w:bottom w:val="single" w:sz="6" w:space="1" w:color="auto"/>
        </w:pBdr>
      </w:pPr>
      <w:r>
        <w:rPr>
          <w:sz w:val="14"/>
        </w:rPr>
        <w:t/>
      </w:r>
    </w:p>
    <w:p>
      <w:r>
        <w:rPr>
          <w:sz w:val="16"/>
        </w:rPr>
        <w:t xml:space="preserve">第3页脚注：</w:t>
      </w:r>
    </w:p>
    <w:p>
      <w:r>
        <w:rPr>
          <w:sz w:val="16"/>
        </w:rPr>
        <w:t xml:space="preserve">1. 朱熹. 朱子语类[M]. 北京: 中华书局, 1986.</w:t>
      </w:r>
    </w:p>
    <w:p>
      <w:r>
        <w:rPr>
          <w:sz w:val="16"/>
        </w:rPr>
        <w:t xml:space="preserve">2. 周敦颐. 周敦颐集[M]. 北京: 中华书局, 2009.</w:t>
      </w:r>
    </w:p>
    <w:p>
      <w:r>
        <w:rPr>
          <w:sz w:val="16"/>
        </w:rPr>
        <w:t xml:space="preserve">3. 利玛窦. 天主实义[A]. 利玛窦中文著译集[C]. 上海: 复旦大学出版社, 2001.</w:t>
      </w:r>
    </w:p>
    <w:p>
      <w:r>
        <w:rPr>
          <w:sz w:val="16"/>
        </w:rPr>
        <w:t xml:space="preserve">4. 蒙培元. 理学范畴系统[M]. 北京: 人民出版社, 1989.</w:t>
      </w:r>
    </w:p>
    <w:p>
      <w:r>
        <w:rPr>
          <w:sz w:val="16"/>
        </w:rPr>
        <w:t xml:space="preserve">5. 朱谦之. 中国哲学对欧洲的影响[M]. 石家庄: 河北人民出版社, 2004.</w:t>
      </w:r>
    </w:p>
    <w:p>
      <w:r>
        <w:rPr>
          <w:sz w:val="16"/>
        </w:rPr>
        <w:t xml:space="preserve">6. 孙尚扬. 基督教与明末儒学[M]. 北京: 东方出版社, 1994.</w:t>
      </w:r>
    </w:p>
    <w:p>
      <w:r>
        <w:rPr>
          <w:sz w:val="16"/>
        </w:rPr>
        <w:t xml:space="preserve">7. 王夫之. 张子正蒙注[M]. 北京: 中华书局, 1975.</w:t>
      </w:r>
    </w:p>
    <w:p>
      <w:r>
        <w:rPr>
          <w:sz w:val="16"/>
        </w:rPr>
        <w:t xml:space="preserve">8. 牟宗三. 心体与性体[M]. 上海: 上海古籍出版社, 1999.</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pPr>
        <w:pBdr>
          <w:bottom w:val="single" w:sz="6" w:space="1" w:color="auto"/>
        </w:pBdr>
      </w:pPr>
      <w:r>
        <w:rPr>
          <w:sz w:val="14"/>
        </w:rPr>
        <w:t/>
      </w:r>
    </w:p>
    <w:p>
      <w:r>
        <w:rPr>
          <w:sz w:val="16"/>
        </w:rPr>
        <w:t xml:space="preserve">第4页脚注：</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Cocks, N. P. Matteo Ricci and Neo-Confucian Thought: A Hermeneutical Study[D]. PhD dissertation. Sydney: University of Sydney, 2004.</w:t>
      </w:r>
    </w:p>
    <w:p>
      <w:r>
        <w:rPr>
          <w:sz w:val="16"/>
        </w:rPr>
        <w:t xml:space="preserve">4. 孔颖达. 周易正义[M]. 北京: 北京大学出版社, 1999.</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pPr>
        <w:pBdr>
          <w:bottom w:val="single" w:sz="6" w:space="1" w:color="auto"/>
        </w:pBdr>
      </w:pPr>
      <w:r>
        <w:rPr>
          <w:sz w:val="14"/>
        </w:rPr>
        <w:t/>
      </w:r>
    </w:p>
    <w:p>
      <w:r>
        <w:rPr>
          <w:sz w:val="16"/>
        </w:rPr>
        <w:t xml:space="preserve">第5页脚注：</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谢和耐(J. Gernet). 中国与基督教：一种文化的冲突[M]. 耿昇, 译. 上海: 上海古籍出版社, 2003.</w:t>
      </w:r>
    </w:p>
    <w:p>
      <w:r>
        <w:rPr>
          <w:sz w:val="16"/>
        </w:rPr>
        <w:t xml:space="preserve">4. 孙尚扬. 基督教与明末儒学[M]. 北京: 东方出版社, 1994.</w:t>
      </w:r>
    </w:p>
    <w:p>
      <w:r>
        <w:rPr>
          <w:sz w:val="16"/>
        </w:rPr>
        <w:t xml:space="preserve">5. 张西平. 中国与欧洲早期宗教和哲学交流史[M]. 北京: 东方出版社, 2001.</w:t>
      </w:r>
    </w:p>
    <w:p>
      <w:r>
        <w:rPr>
          <w:sz w:val="16"/>
        </w:rPr>
        <w:t xml:space="preserve">6. 张西平. 耶稣会与天主教进入中国[M]. 北京: 商务印书馆, 2017.</w:t>
      </w:r>
    </w:p>
    <w:p>
      <w:r>
        <w:rPr>
          <w:sz w:val="16"/>
        </w:rPr>
        <w:t xml:space="preserve">7. 孔颖达. 周易正义[M]. 北京: 北京大学出版社, 1999.</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pPr>
        <w:pBdr>
          <w:bottom w:val="single" w:sz="6" w:space="1" w:color="auto"/>
        </w:pBdr>
      </w:pPr>
      <w:r>
        <w:rPr>
          <w:sz w:val="14"/>
        </w:rPr>
        <w:t/>
      </w:r>
    </w:p>
    <w:p>
      <w:r>
        <w:rPr>
          <w:sz w:val="16"/>
        </w:rPr>
        <w:t xml:space="preserve">第6页脚注：</w:t>
      </w:r>
    </w:p>
    <w:p>
      <w:r>
        <w:rPr>
          <w:sz w:val="16"/>
        </w:rPr>
        <w:t xml:space="preserve">1. 黄宗羲. 明儒学案[M]. 北京: 中华书局, 2008.</w:t>
      </w:r>
    </w:p>
    <w:p>
      <w:r>
        <w:rPr>
          <w:sz w:val="16"/>
        </w:rPr>
        <w:t xml:space="preserve">2. 徐光启. 农政全书[M]. 上海: 上海古籍出版社, 1979.</w:t>
      </w:r>
    </w:p>
    <w:p>
      <w:r>
        <w:rPr>
          <w:sz w:val="16"/>
        </w:rPr>
        <w:t xml:space="preserve">3. 利玛窦. 天主实义[A]. 利玛窦中文著译集[C]. 上海: 复旦大学出版社, 2001.</w:t>
      </w:r>
    </w:p>
    <w:p>
      <w:r>
        <w:rPr>
          <w:sz w:val="16"/>
        </w:rPr>
        <w:t xml:space="preserve">4. 谢和耐(J. Gernet). 中国与基督教：一种文化的冲突[M]. 耿昇, 译. 上海: 上海古籍出版社, 2003.</w:t>
      </w:r>
    </w:p>
    <w:p>
      <w:r>
        <w:rPr>
          <w:sz w:val="16"/>
        </w:rPr>
        <w:t xml:space="preserve">5. 张西平. 中国与欧洲早期宗教和哲学交流史[M]. 北京: 东方出版社, 2001.</w:t>
      </w:r>
    </w:p>
    <w:p>
      <w:r>
        <w:rPr>
          <w:sz w:val="16"/>
        </w:rPr>
        <w:t xml:space="preserve">6. 孙尚扬. 明末耶儒之间的论辩及其现代意义[J]. 世界宗教研究, 1993(3): 25-36.</w:t>
      </w:r>
    </w:p>
    <w:p>
      <w:r>
        <w:rPr>
          <w:sz w:val="16"/>
        </w:rPr>
        <w:t xml:space="preserve">7. 林金水. 徐光启与利玛窦关系考[J]. 中国史研究, 2001(2): 81-93.</w:t>
      </w:r>
    </w:p>
    <w:p>
      <w:r>
        <w:rPr>
          <w:sz w:val="16"/>
        </w:rPr>
        <w:t xml:space="preserve">8. 李之藻. 浑盖通宪图说[A]. 天学初函[C]. 台北: 台湾学生书局, 1965.</w:t>
      </w:r>
    </w:p>
    <w:p>
      <w:r>
        <w:rPr>
          <w:sz w:val="16"/>
        </w:rPr>
        <w:t xml:space="preserve">9. 李贽. 续焚书[M]. 北京: 中华书局, 1975.</w:t>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pPr>
        <w:pBdr>
          <w:bottom w:val="single" w:sz="6" w:space="1" w:color="auto"/>
        </w:pBdr>
      </w:pPr>
      <w:r>
        <w:rPr>
          <w:sz w:val="14"/>
        </w:rPr>
        <w:t/>
      </w:r>
    </w:p>
    <w:p>
      <w:r>
        <w:rPr>
          <w:sz w:val="16"/>
        </w:rPr>
        <w:t xml:space="preserve">第7页脚注：</w:t>
      </w:r>
    </w:p>
    <w:p>
      <w:r>
        <w:rPr>
          <w:sz w:val="16"/>
        </w:rPr>
        <w:t xml:space="preserve">1. 黄宗羲. 明夷待访录[M]. 北京: 中华书局, 2011.</w:t>
      </w:r>
    </w:p>
    <w:p>
      <w:r>
        <w:rPr>
          <w:sz w:val="16"/>
        </w:rPr>
        <w:t xml:space="preserve">2. 谢和耐(J. Gernet). 中国与基督教：一种文化的冲突[M]. 耿昇, 译. 上海: 上海古籍出版社, 2003.</w:t>
      </w:r>
    </w:p>
    <w:p>
      <w:r>
        <w:rPr>
          <w:sz w:val="16"/>
        </w:rPr>
        <w:t xml:space="preserve">3. 孙尚扬. 基督教与明末儒学[M]. 北京: 东方出版社, 1994.</w:t>
      </w:r>
    </w:p>
    <w:p>
      <w:r>
        <w:rPr>
          <w:sz w:val="16"/>
        </w:rPr>
        <w:t xml:space="preserve">4. 孙尚扬. 明清之际的基督教与儒学[M]. 北京: 首都师范大学出版社, 2010.</w:t>
      </w:r>
    </w:p>
    <w:p>
      <w:r>
        <w:rPr>
          <w:sz w:val="16"/>
        </w:rPr>
        <w:t xml:space="preserve">5. 林金水. 徐光启与利玛窦关系考[J]. 中国史研究, 2001(2): 81-93.</w:t>
      </w:r>
    </w:p>
    <w:p>
      <w:r>
        <w:rPr>
          <w:sz w:val="16"/>
        </w:rPr>
        <w:t xml:space="preserve">6. 李楠. 利玛窦《天主实义》中"理"概念的批判与重构[D]. 北京: 中国人民大学哲学院, 2015.</w:t>
      </w:r>
    </w:p>
    <w:p>
      <w:r>
        <w:rPr>
          <w:sz w:val="16"/>
        </w:rPr>
        <w:t xml:space="preserve">7. 伽达默尔(H.-G. Gadamer). 真理与方法[M]. 洪汉鼎, 译. 北京: 商务印书馆, 2010.</w:t>
      </w:r>
    </w:p>
    <w:p>
      <w:r>
        <w:rPr>
          <w:sz w:val="16"/>
        </w:rPr>
        <w:t xml:space="preserve">8. 黄贞. 破邪集[M] // 韩琦, 等编. 耶稣会论中国科学[C]. 北京: 科学出版社, 2010.</w:t>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pPr>
        <w:pBdr>
          <w:bottom w:val="single" w:sz="6" w:space="1" w:color="auto"/>
        </w:pBdr>
      </w:pPr>
      <w:r>
        <w:rPr>
          <w:sz w:val="14"/>
        </w:rPr>
        <w:t/>
      </w:r>
    </w:p>
    <w:p>
      <w:r>
        <w:rPr>
          <w:sz w:val="16"/>
        </w:rPr>
        <w:t xml:space="preserve">第8页脚注：</w:t>
      </w:r>
    </w:p>
    <w:p>
      <w:r>
        <w:rPr>
          <w:sz w:val="16"/>
        </w:rPr>
        <w:t xml:space="preserve">1. 黄宗羲. 明夷待访录[M]. 北京: 中华书局, 2011.</w:t>
      </w:r>
    </w:p>
    <w:p>
      <w:r>
        <w:rPr>
          <w:sz w:val="16"/>
        </w:rPr>
        <w:t xml:space="preserve">2. 徐光启. 农政全书[M]. 上海: 上海古籍出版社, 1979.</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p>
    <w:p>
      <w:r>
        <w:rPr>
          <w:sz w:val="16"/>
        </w:rPr>
        <w:t xml:space="preserve">5. 李天纲. 中国礼仪之争——历史、文献和意义[M]. 上海: 上海古籍出版社, 1998.</w:t>
      </w:r>
    </w:p>
    <w:p>
      <w:r>
        <w:rPr>
          <w:sz w:val="16"/>
        </w:rPr>
        <w:t xml:space="preserve">6. 孙尚扬. 基督教与明末儒学[M]. 北京: 东方出版社, 1994.</w:t>
      </w:r>
    </w:p>
    <w:p>
      <w:r>
        <w:rPr>
          <w:sz w:val="16"/>
        </w:rPr>
        <w:t xml:space="preserve">7. 张西平. 中国与欧洲早期宗教和哲学交流史[M]. 北京: 东方出版社, 2001.</w:t>
      </w:r>
    </w:p>
    <w:p>
      <w:r>
        <w:rPr>
          <w:sz w:val="16"/>
        </w:rPr>
        <w:t xml:space="preserve">8. 李天纲. 中国礼仪论集[C]. 上海: 上海古籍出版社, 2010.</w:t>
      </w:r>
    </w:p>
    <w:p>
      <w:r>
        <w:rPr>
          <w:sz w:val="16"/>
        </w:rPr>
        <w:t xml:space="preserve">9. 林金水. 徐光启与利玛窦关系考[J]. 中国史研究, 2001(2): 81-93.</w:t>
      </w:r>
    </w:p>
    <w:p>
      <w:r>
        <w:rPr>
          <w:sz w:val="16"/>
        </w:rPr>
        <w:t xml:space="preserve">10. 丁耘. 西方哲学中国化的第一阶段[J]. 哲学研究, 2010(5): 63-71.</w:t>
      </w:r>
    </w:p>
    <w:p w14:paraId="754615B3">
      <w:pPr>
        <w:pStyle w:val="5"/>
        <w:numPr>
          <w:ilvl w:val="0"/>
          <w:numId w:val="15"/>
        </w:numPr>
        <w:ind w:firstLineChars="0"/>
        <w:rPr>
          <w:lang w:eastAsia="zh-CN"/>
        </w:rPr>
      </w:pPr>
      <w:r>
        <w:rPr>
          <w:lang w:eastAsia="zh-CN"/>
        </w:rPr>
        <w:t xml:space="preserve"> “礼仪之争”中的核心分歧：两个关键问题的回响</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14:paraId="5C89A2A6">
      <w:pPr>
        <w:pStyle w:val="5"/>
        <w:ind w:firstLine="482"/>
        <w:rPr>
          <w:lang w:eastAsia="zh-CN"/>
        </w:rPr>
      </w:pPr>
      <w:r>
        <w:rPr>
          <w:lang w:eastAsia="zh-CN"/>
        </w:rPr>
        <w:t xml:space="preserve"> 利玛窦策略的未完成性</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36565004">
      <w:pPr>
        <w:pStyle w:val="3"/>
        <w:spacing w:before="240" w:after="240"/>
        <w:rPr>
          <w:lang w:eastAsia="zh-CN"/>
        </w:rPr>
      </w:pPr>
      <w:r>
        <w:rPr>
          <w:lang w:eastAsia="zh-CN"/>
        </w:rPr>
        <w:t>第五章 历史效应与反思</w:t>
      </w:r>
    </w:p>
    <w:p w14:paraId="28486C84">
      <w:pPr>
        <w:pStyle w:val="4"/>
        <w:spacing w:before="120" w:after="120"/>
        <w:ind w:firstLine="562"/>
        <w:rPr>
          <w:lang w:eastAsia="zh-CN"/>
        </w:rPr>
      </w:pPr>
      <w:r>
        <w:rPr>
          <w:rFonts w:hint="eastAsia"/>
          <w:lang w:eastAsia="zh-CN"/>
        </w:rPr>
        <w:t>第一节</w:t>
      </w:r>
      <w:r>
        <w:rPr>
          <w:lang w:eastAsia="zh-CN"/>
        </w:rPr>
        <w:t xml:space="preserve"> 从“概念挪用”到“思想再生产”：利玛窦案例的历史效应</w:t>
      </w:r>
    </w:p>
    <w:p w14:paraId="7D77CD3B">
      <w:pPr>
        <w:spacing w:line="360" w:lineRule="auto"/>
        <w:ind w:firstLine="420"/>
        <w:rPr>
          <w:lang w:eastAsia="zh-CN"/>
        </w:rPr>
      </w:pPr>
      <w:r>
        <w:rPr>
          <w:rFonts w:ascii="宋体" w:hAnsi="宋体" w:eastAsia="宋体"/>
          <w:sz w:val="24"/>
          <w:lang w:eastAsia="zh-CN"/>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r>
        <w:rPr>
          <w:sz w:val="16"/>
          <w:vertAlign w:val="superscript"/>
        </w:rPr>
        <w:t>[21][41][40]</w:t>
      </w:r>
    </w:p>
    <w:p w14:paraId="780942FF">
      <w:pPr>
        <w:pStyle w:val="5"/>
        <w:numPr>
          <w:ilvl w:val="0"/>
          <w:numId w:val="16"/>
        </w:numPr>
        <w:ind w:firstLineChars="0"/>
        <w:rPr>
          <w:lang w:eastAsia="zh-CN"/>
        </w:rPr>
      </w:pPr>
      <w:r>
        <w:rPr>
          <w:lang w:eastAsia="zh-CN"/>
        </w:rPr>
        <w:t>从“挪用”到“再挪用”：接受者的二次创造</w:t>
      </w:r>
    </w:p>
    <w:p w14:paraId="165C2680">
      <w:pPr>
        <w:spacing w:line="360" w:lineRule="auto"/>
        <w:ind w:firstLine="420"/>
        <w:rPr>
          <w:lang w:eastAsia="zh-CN"/>
        </w:rPr>
      </w:pPr>
      <w:r>
        <w:rPr>
          <w:rFonts w:ascii="宋体" w:hAnsi="宋体" w:eastAsia="宋体"/>
          <w:sz w:val="24"/>
          <w:lang w:eastAsia="zh-CN"/>
        </w:rPr>
        <w:t>徐光启、李之藻、杨廷筠等人对利玛窦思想的接受，并非被动的“照单全收”，而是主动的“再创造”。这种“再创造”的过程，本质上是一种“再挪用”——接受者从自己的文化立场出发，对利玛窦已经“挪用”过的中国概念进行第二次改造。</w:t>
      </w:r>
      <w:r>
        <w:rPr>
          <w:sz w:val="16"/>
          <w:vertAlign w:val="superscript"/>
        </w:rPr>
        <w:t>[10][38]</w:t>
      </w:r>
    </w:p>
    <w:p w14:paraId="683DCBB2">
      <w:pPr>
        <w:spacing w:line="360" w:lineRule="auto"/>
        <w:ind w:firstLine="420"/>
        <w:rPr>
          <w:lang w:eastAsia="zh-CN"/>
        </w:rPr>
      </w:pPr>
      <w:r>
        <w:rPr>
          <w:rFonts w:ascii="宋体" w:hAnsi="宋体" w:eastAsia="宋体"/>
          <w:sz w:val="24"/>
          <w:lang w:eastAsia="zh-CN"/>
        </w:rPr>
        <w:t>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w:t>
      </w:r>
      <w:r>
        <w:rPr>
          <w:sz w:val="16"/>
          <w:vertAlign w:val="superscript"/>
        </w:rPr>
        <w:t>[10][38][20][32][29]</w:t>
      </w:r>
    </w:p>
    <w:p w14:paraId="25BC6BA5">
      <w:pPr>
        <w:spacing w:line="360" w:lineRule="auto"/>
        <w:ind w:firstLine="420"/>
        <w:rPr>
          <w:lang w:eastAsia="zh-CN"/>
        </w:rPr>
      </w:pPr>
      <w:r>
        <w:rPr>
          <w:rFonts w:ascii="宋体" w:hAnsi="宋体" w:eastAsia="宋体"/>
          <w:sz w:val="24"/>
          <w:lang w:eastAsia="zh-CN"/>
        </w:rPr>
        <w:t>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r>
        <w:rPr>
          <w:sz w:val="16"/>
          <w:vertAlign w:val="superscript"/>
        </w:rPr>
        <w:t>[13][20]</w:t>
      </w:r>
    </w:p>
    <w:p w14:paraId="487A55B5">
      <w:pPr>
        <w:pStyle w:val="5"/>
        <w:ind w:firstLine="482"/>
        <w:rPr>
          <w:lang w:eastAsia="zh-CN"/>
        </w:rPr>
      </w:pPr>
      <w:r>
        <w:rPr>
          <w:lang w:eastAsia="zh-CN"/>
        </w:rPr>
        <w:t xml:space="preserve"> 对儒家思想的刺激与激活：明清思想转型中的西学因素</w:t>
      </w:r>
    </w:p>
    <w:p w14:paraId="1836E682">
      <w:pPr>
        <w:spacing w:line="360" w:lineRule="auto"/>
        <w:ind w:firstLine="420"/>
        <w:rPr>
          <w:lang w:eastAsia="zh-CN"/>
        </w:rPr>
      </w:pPr>
      <w:r>
        <w:rPr>
          <w:rFonts w:ascii="宋体" w:hAnsi="宋体" w:eastAsia="宋体"/>
          <w:sz w:val="24"/>
          <w:lang w:eastAsia="zh-CN"/>
        </w:rPr>
        <w:t>利玛窦的“概念挪用”不仅影响了天主教的在华传播，还对儒家思想本身产生了刺激与激活作用。明清之际的思想转型虽有其内部逻辑，但西学的传入无疑为这一转型提供了重要的外部推力。</w:t>
      </w:r>
      <w:r>
        <w:rPr>
          <w:sz w:val="16"/>
          <w:vertAlign w:val="superscript"/>
        </w:rPr>
        <w:t>[21][41]</w:t>
      </w:r>
    </w:p>
    <w:p w14:paraId="0D35D655">
      <w:pPr>
        <w:spacing w:line="360" w:lineRule="auto"/>
        <w:ind w:firstLine="420"/>
        <w:rPr>
          <w:lang w:eastAsia="zh-CN"/>
        </w:rPr>
      </w:pPr>
      <w:r>
        <w:rPr>
          <w:rFonts w:ascii="宋体" w:hAnsi="宋体" w:eastAsia="宋体"/>
          <w:sz w:val="24"/>
          <w:lang w:eastAsia="zh-CN"/>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r>
        <w:rPr>
          <w:sz w:val="16"/>
          <w:vertAlign w:val="superscript"/>
        </w:rPr>
        <w:t>[11][16][67][25][36]</w:t>
      </w:r>
    </w:p>
    <w:p w14:paraId="656C2AD5">
      <w:pPr>
        <w:spacing w:line="360" w:lineRule="auto"/>
        <w:ind w:firstLine="420"/>
        <w:rPr>
          <w:lang w:eastAsia="zh-CN"/>
        </w:rPr>
      </w:pPr>
      <w:r>
        <w:rPr>
          <w:rFonts w:ascii="宋体" w:hAnsi="宋体" w:eastAsia="宋体"/>
          <w:sz w:val="24"/>
          <w:lang w:eastAsia="zh-CN"/>
        </w:rPr>
        <w:t>第二，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r>
        <w:rPr>
          <w:sz w:val="16"/>
          <w:vertAlign w:val="superscript"/>
        </w:rPr>
        <w:t>[12][10][61]</w:t>
      </w:r>
    </w:p>
    <w:p w14:paraId="01B410D0">
      <w:pPr>
        <w:spacing w:line="360" w:lineRule="auto"/>
        <w:ind w:firstLine="420"/>
        <w:rPr>
          <w:lang w:eastAsia="zh-CN"/>
        </w:rPr>
      </w:pPr>
      <w:r>
        <w:rPr>
          <w:rFonts w:ascii="宋体" w:hAnsi="宋体" w:eastAsia="宋体"/>
          <w:sz w:val="24"/>
          <w:lang w:eastAsia="zh-CN"/>
        </w:rPr>
        <w:t>这种“科学精神”的传入，与清初“经世致用”思潮形成了良性互动。徐光启在《农政全书》中提出“欲求超胜，必先会通”的科学观；方以智在《物理小识》中引用利玛窦理论，批判“天圆地方”说，开启中国近代科学思想的先河。</w:t>
      </w:r>
      <w:r>
        <w:rPr>
          <w:sz w:val="16"/>
          <w:vertAlign w:val="superscript"/>
        </w:rPr>
        <w:t>[10][18][68]</w:t>
      </w:r>
    </w:p>
    <w:p w14:paraId="73F5B076">
      <w:pPr>
        <w:pStyle w:val="5"/>
        <w:ind w:firstLine="482"/>
        <w:rPr>
          <w:lang w:eastAsia="zh-CN"/>
        </w:rPr>
      </w:pPr>
      <w:r>
        <w:rPr>
          <w:lang w:eastAsia="zh-CN"/>
        </w:rPr>
        <w:t xml:space="preserve"> 近代中国思想史中的回响：从“中体西用”到“全盘西化”</w:t>
      </w:r>
    </w:p>
    <w:p w14:paraId="337F81DA">
      <w:pPr>
        <w:spacing w:line="360" w:lineRule="auto"/>
        <w:ind w:firstLine="420"/>
        <w:rPr>
          <w:lang w:eastAsia="zh-CN"/>
        </w:rPr>
      </w:pPr>
      <w:r>
        <w:rPr>
          <w:rFonts w:ascii="宋体" w:hAnsi="宋体" w:eastAsia="宋体"/>
          <w:sz w:val="24"/>
          <w:lang w:eastAsia="zh-CN"/>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w:t>
      </w:r>
      <w:r>
        <w:rPr>
          <w:rFonts w:ascii="Times New Roman" w:hAnsi="Times New Roman" w:eastAsia="宋体"/>
          <w:vertAlign w:val="superscript"/>
        </w:rPr>
        <w:footnoteReference w:id="26"/>
      </w:r>
      <w:r>
        <w:t>；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w:t>
      </w:r>
      <w:r>
        <w:rPr>
          <w:rFonts w:ascii="宋体" w:hAnsi="宋体" w:eastAsia="宋体"/>
          <w:sz w:val="24"/>
          <w:lang w:eastAsia="zh-CN"/>
        </w:rPr>
        <w:t>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w:t>
      </w:r>
      <w:r>
        <w:rPr>
          <w:rFonts w:ascii="Times New Roman" w:hAnsi="Times New Roman" w:eastAsia="宋体"/>
          <w:vertAlign w:val="superscript"/>
        </w:rPr>
        <w:footnoteReference w:id="27"/>
      </w:r>
      <w:r>
        <w:t>。利玛窦的“适应策略”被现代天主教重新发现并加以推崇。正如哈佛大学史景迁教授所言：“利玛</w:t>
      </w:r>
      <w:r>
        <w:rPr>
          <w:rFonts w:ascii="宋体" w:hAnsi="宋体" w:eastAsia="宋体"/>
          <w:sz w:val="24"/>
          <w:lang w:eastAsia="zh-CN"/>
        </w:rPr>
        <w:t>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r>
        <w:rPr>
          <w:sz w:val="16"/>
          <w:vertAlign w:val="superscript"/>
        </w:rPr>
        <w:t>[21][43][17][35]</w:t>
      </w:r>
    </w:p>
    <w:p w14:paraId="3DA550A7">
      <w:pPr>
        <w:pStyle w:val="4"/>
        <w:spacing w:before="120" w:after="120"/>
        <w:ind w:firstLine="562"/>
        <w:rPr>
          <w:lang w:eastAsia="zh-CN"/>
        </w:rPr>
      </w:pPr>
      <w:r>
        <w:rPr>
          <w:rFonts w:hint="eastAsia"/>
          <w:lang w:eastAsia="zh-CN"/>
        </w:rPr>
        <w:t>第二节</w:t>
      </w:r>
      <w:r>
        <w:rPr>
          <w:lang w:eastAsia="zh-CN"/>
        </w:rPr>
        <w:t xml:space="preserve"> 跨文化对话中的“不可通约性”问题</w:t>
      </w:r>
    </w:p>
    <w:p w14:paraId="0A13E2F3">
      <w:pPr>
        <w:spacing w:line="360" w:lineRule="auto"/>
        <w:ind w:firstLine="420"/>
        <w:rPr>
          <w:lang w:eastAsia="zh-CN"/>
        </w:rPr>
      </w:pPr>
      <w:r>
        <w:rPr>
          <w:rFonts w:ascii="宋体" w:hAnsi="宋体" w:eastAsia="宋体"/>
          <w:sz w:val="24"/>
          <w:lang w:eastAsia="zh-CN"/>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r>
        <w:rPr>
          <w:sz w:val="16"/>
          <w:vertAlign w:val="superscript"/>
        </w:rPr>
        <w:t>[13][49][69][34]</w:t>
      </w:r>
    </w:p>
    <w:p w14:paraId="37F6344F">
      <w:pPr>
        <w:pStyle w:val="5"/>
        <w:numPr>
          <w:ilvl w:val="0"/>
          <w:numId w:val="17"/>
        </w:numPr>
        <w:ind w:firstLineChars="0"/>
        <w:rPr>
          <w:lang w:eastAsia="zh-CN"/>
        </w:rPr>
      </w:pPr>
      <w:r>
        <w:rPr>
          <w:lang w:eastAsia="zh-CN"/>
        </w:rPr>
        <w:t xml:space="preserve"> “不可通约性”的理论内涵及其在利玛窦案例中的体现</w:t>
      </w:r>
    </w:p>
    <w:p w14:paraId="7B417EBB">
      <w:pPr>
        <w:spacing w:line="360" w:lineRule="auto"/>
        <w:ind w:firstLine="420"/>
        <w:rPr>
          <w:lang w:eastAsia="zh-CN"/>
        </w:rPr>
      </w:pPr>
      <w:r>
        <w:rPr>
          <w:rFonts w:ascii="宋体" w:hAnsi="宋体" w:eastAsia="宋体"/>
          <w:sz w:val="24"/>
          <w:lang w:eastAsia="zh-CN"/>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r>
        <w:rPr>
          <w:sz w:val="16"/>
          <w:vertAlign w:val="superscript"/>
        </w:rPr>
        <w:t>[49][39][53]</w:t>
      </w:r>
    </w:p>
    <w:p w14:paraId="1AA7C971">
      <w:pPr>
        <w:pStyle w:val="5"/>
        <w:ind w:firstLine="482"/>
        <w:rPr>
          <w:lang w:eastAsia="zh-CN"/>
        </w:rPr>
      </w:pPr>
      <w:r>
        <w:rPr>
          <w:lang w:eastAsia="zh-CN"/>
        </w:rPr>
        <w:t xml:space="preserve"> “翻译即背离”：语言转换中的意义流失</w:t>
      </w:r>
    </w:p>
    <w:p w14:paraId="31E7B11E">
      <w:pPr>
        <w:spacing w:line="360" w:lineRule="auto"/>
        <w:ind w:firstLine="420"/>
        <w:rPr>
          <w:lang w:eastAsia="zh-CN"/>
        </w:rPr>
      </w:pPr>
      <w:r>
        <w:rPr>
          <w:rFonts w:ascii="宋体" w:hAnsi="宋体" w:eastAsia="宋体"/>
          <w:sz w:val="24"/>
          <w:lang w:eastAsia="zh-CN"/>
        </w:rPr>
        <w:t>与“不可通约性”密切相关的另一个概念是“不可译性”——因语言结构、文化背景或思维模式差异，导致源语文本在翻译为目的语时无法被准确、完整地再现的现象。这一概念，直接切中了利玛窦“概念挪用”策略的核心困难。</w:t>
      </w:r>
      <w:r>
        <w:rPr>
          <w:sz w:val="16"/>
          <w:vertAlign w:val="superscript"/>
        </w:rPr>
        <w:t>[11][21]</w:t>
      </w:r>
    </w:p>
    <w:p w14:paraId="2082A72A">
      <w:pPr>
        <w:spacing w:line="360" w:lineRule="auto"/>
        <w:ind w:firstLine="420"/>
        <w:rPr>
          <w:lang w:eastAsia="zh-CN"/>
        </w:rPr>
      </w:pPr>
      <w:r>
        <w:rPr>
          <w:rFonts w:ascii="宋体" w:hAnsi="宋体" w:eastAsia="宋体"/>
          <w:sz w:val="24"/>
          <w:lang w:eastAsia="zh-CN"/>
        </w:rPr>
        <w:t>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w:t>
      </w:r>
      <w:r>
        <w:rPr>
          <w:sz w:val="16"/>
          <w:vertAlign w:val="superscript"/>
        </w:rPr>
        <w:t>[11]</w:t>
      </w:r>
    </w:p>
    <w:p w14:paraId="4F53B2E0">
      <w:pPr>
        <w:spacing w:line="360" w:lineRule="auto"/>
        <w:ind w:firstLine="420"/>
        <w:rPr>
          <w:lang w:eastAsia="zh-CN"/>
        </w:rPr>
      </w:pPr>
      <w:r>
        <w:rPr>
          <w:rFonts w:ascii="宋体" w:hAnsi="宋体" w:eastAsia="宋体"/>
          <w:sz w:val="24"/>
          <w:lang w:eastAsia="zh-CN"/>
        </w:rPr>
        <w:t>利玛窦面临的第二重困难是“文化不可译性”——由文化负载词差异所导致。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r>
        <w:rPr>
          <w:sz w:val="16"/>
          <w:vertAlign w:val="superscript"/>
        </w:rPr>
        <w:t>[11][21]</w:t>
      </w:r>
    </w:p>
    <w:p w14:paraId="59021331">
      <w:pPr>
        <w:spacing w:line="360" w:lineRule="auto"/>
        <w:ind w:firstLine="420"/>
        <w:rPr>
          <w:lang w:eastAsia="zh-CN"/>
        </w:rPr>
      </w:pPr>
      <w:r>
        <w:rPr>
          <w:rFonts w:ascii="宋体" w:hAnsi="宋体" w:eastAsia="宋体"/>
          <w:sz w:val="24"/>
          <w:lang w:eastAsia="zh-CN"/>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r>
        <w:rPr>
          <w:sz w:val="16"/>
          <w:vertAlign w:val="superscript"/>
        </w:rPr>
        <w:t>[45]</w:t>
      </w:r>
    </w:p>
    <w:p w14:paraId="3FA71425">
      <w:pPr>
        <w:pStyle w:val="5"/>
        <w:ind w:firstLine="482"/>
        <w:rPr>
          <w:lang w:eastAsia="zh-CN"/>
        </w:rPr>
      </w:pPr>
      <w:r>
        <w:rPr>
          <w:lang w:eastAsia="zh-CN"/>
        </w:rPr>
        <w:t xml:space="preserve"> 如何在“不可通约”中寻找“可通约”？</w:t>
      </w:r>
    </w:p>
    <w:p w14:paraId="07BCA503">
      <w:pPr>
        <w:spacing w:line="360" w:lineRule="auto"/>
        <w:ind w:firstLine="420"/>
        <w:rPr>
          <w:lang w:eastAsia="zh-CN"/>
        </w:rPr>
      </w:pPr>
      <w:r>
        <w:rPr>
          <w:rFonts w:ascii="宋体" w:hAnsi="宋体" w:eastAsia="宋体"/>
          <w:sz w:val="24"/>
          <w:lang w:eastAsia="zh-CN"/>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w:t>
      </w:r>
      <w:r>
        <w:rPr>
          <w:rFonts w:ascii="Times New Roman" w:hAnsi="Times New Roman" w:eastAsia="宋体"/>
          <w:vertAlign w:val="superscript"/>
        </w:rPr>
        <w:footnoteReference w:id="28"/>
      </w:r>
      <w:r>
        <w:t>。丁耘进一步指出：“格义对于准确地理解外来思想是不利的，但好处是在未尝触及中国学术思想传统的主体性的前提下，从另外的</w:t>
      </w:r>
      <w:r>
        <w:rPr>
          <w:rFonts w:ascii="宋体" w:hAnsi="宋体" w:eastAsia="宋体"/>
          <w:sz w:val="24"/>
          <w:lang w:eastAsia="zh-CN"/>
        </w:rPr>
        <w:t>既……又……”的辩证姿态，或许才是跨文化对话的成熟之道。</w:t>
      </w:r>
      <w:r>
        <w:rPr>
          <w:vertAlign w:val="superscript"/>
        </w:rPr>
        <w:footnoteReference w:id="29"/>
      </w:r>
      <w:r>
        <w:t>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w:t>
      </w:r>
      <w:r>
        <w:rPr>
          <w:vertAlign w:val="superscript"/>
        </w:rPr>
        <w:footnoteReference w:id="30"/>
      </w:r>
      <w:r>
        <w:t>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w:t>
      </w:r>
      <w:r>
        <w:rPr>
          <w:sz w:val="16"/>
          <w:vertAlign w:val="superscript"/>
        </w:rPr>
        <w:t>[10][38][49][44]</w:t>
      </w:r>
    </w:p>
    <w:p w14:paraId="6B132833">
      <w:pPr>
        <w:pStyle w:val="5"/>
        <w:ind w:firstLine="482"/>
        <w:rPr>
          <w:lang w:eastAsia="zh-CN"/>
        </w:rPr>
      </w:pPr>
      <w:r>
        <w:rPr>
          <w:lang w:eastAsia="zh-CN"/>
        </w:rPr>
        <w:t xml:space="preserve"> 利玛窦案例的理论启示：从“不可通约”到“视域融合”</w:t>
      </w:r>
    </w:p>
    <w:p w14:paraId="58FA0AA3">
      <w:pPr>
        <w:spacing w:line="360" w:lineRule="auto"/>
        <w:ind w:firstLine="420"/>
        <w:rPr>
          <w:lang w:eastAsia="zh-CN"/>
        </w:rPr>
      </w:pPr>
      <w:r>
        <w:rPr>
          <w:rFonts w:ascii="宋体" w:hAnsi="宋体" w:eastAsia="宋体"/>
          <w:sz w:val="24"/>
          <w:lang w:eastAsia="zh-CN"/>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r>
        <w:rPr>
          <w:sz w:val="16"/>
          <w:vertAlign w:val="superscript"/>
        </w:rPr>
        <w:t>[58]</w:t>
      </w:r>
    </w:p>
    <w:p w14:paraId="0B76EE74">
      <w:pPr>
        <w:spacing w:line="360" w:lineRule="auto"/>
        <w:ind w:firstLine="420"/>
        <w:rPr>
          <w:lang w:eastAsia="zh-CN"/>
        </w:rPr>
      </w:pPr>
      <w:r>
        <w:rPr>
          <w:rFonts w:ascii="宋体" w:hAnsi="宋体" w:eastAsia="宋体"/>
          <w:sz w:val="24"/>
          <w:lang w:eastAsia="zh-CN"/>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r>
        <w:rPr>
          <w:sz w:val="16"/>
          <w:vertAlign w:val="superscript"/>
        </w:rPr>
        <w:t>[10][38][20]</w:t>
      </w:r>
    </w:p>
    <w:p w14:paraId="6CA68672">
      <w:pPr>
        <w:spacing w:line="360" w:lineRule="auto"/>
        <w:ind w:firstLine="420"/>
        <w:rPr>
          <w:lang w:eastAsia="zh-CN"/>
        </w:rPr>
      </w:pPr>
      <w:r>
        <w:rPr>
          <w:rFonts w:ascii="宋体" w:hAnsi="宋体" w:eastAsia="宋体"/>
          <w:sz w:val="24"/>
          <w:lang w:eastAsia="zh-CN"/>
        </w:rPr>
        <w:t>从“不可通约”到“视域融合”，从“翻译即背离”到“创造性误解”，跨文化对话的路径从来都不是一条坦途，而是一次充满风险但同时也充满创造潜力的旅程。利玛窦的案例告诉我们：跨文化对话的关键，不在于找到一种“完美”的翻译方案（这是不存在的），而在于在意识到“不可通约性”的前提下，依然保持对话的开放性和创造性。</w:t>
      </w:r>
      <w:r>
        <w:rPr>
          <w:sz w:val="16"/>
          <w:vertAlign w:val="superscript"/>
        </w:rPr>
        <w:t>[13][49]</w:t>
      </w:r>
    </w:p>
    <w:p w14:paraId="4B80A6FE">
      <w:pPr>
        <w:spacing w:line="360" w:lineRule="auto"/>
        <w:ind w:firstLine="420"/>
        <w:rPr>
          <w:lang w:eastAsia="zh-CN"/>
        </w:rPr>
      </w:pPr>
      <w:r>
        <w:rPr>
          <w:rFonts w:ascii="宋体" w:hAnsi="宋体" w:eastAsia="宋体"/>
          <w:sz w:val="24"/>
          <w:lang w:eastAsia="zh-CN"/>
        </w:rPr>
        <w:t>从“不可通约”到“视域融合”，利玛窦的案例为跨文明对话提供了丰富的理论资源。然而，这一历史个案的意义并不仅限于思想史的回望——它更蕴含着可供当代文明互鉴实践借鉴的方法论原则。从利玛窦与徐光启的对话，到白鹿洞书院与韩国陶山书院的跨文化学术交流，再到当代“朱子学与全球文明对话大会”等国际平台，我们可以从中提炼出文明互鉴的若干核心原则。这些原则并非凭空建构，而是从历史经验中逐步抽象出来的实践智慧；它们既是对利玛窦“适应策略”的当代重释，也是对未来跨文化对话的路径指引。</w:t>
      </w:r>
      <w:r>
        <w:rPr>
          <w:sz w:val="16"/>
          <w:vertAlign w:val="superscript"/>
        </w:rPr>
        <w:t>[21][45]</w:t>
      </w:r>
    </w:p>
    <w:p w14:paraId="2193478D">
      <w:pPr>
        <w:pStyle w:val="4"/>
        <w:spacing w:before="120" w:after="120"/>
        <w:ind w:firstLine="562"/>
        <w:rPr>
          <w:lang w:eastAsia="zh-CN"/>
        </w:rPr>
      </w:pPr>
      <w:r>
        <w:rPr>
          <w:rFonts w:hint="eastAsia"/>
          <w:lang w:eastAsia="zh-CN"/>
        </w:rPr>
        <w:t>第三节</w:t>
      </w:r>
      <w:r>
        <w:rPr>
          <w:lang w:eastAsia="zh-CN"/>
        </w:rPr>
        <w:t xml:space="preserve"> 从案例到原则：文明互鉴的方法论提炼</w:t>
      </w:r>
    </w:p>
    <w:p w14:paraId="2A2CA791">
      <w:pPr>
        <w:spacing w:line="360" w:lineRule="auto"/>
        <w:ind w:firstLine="420"/>
        <w:rPr>
          <w:lang w:eastAsia="zh-CN"/>
        </w:rPr>
      </w:pPr>
      <w:r>
        <w:rPr>
          <w:rFonts w:ascii="宋体" w:hAnsi="宋体" w:eastAsia="宋体"/>
          <w:sz w:val="24"/>
          <w:lang w:eastAsia="zh-CN"/>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r>
        <w:rPr>
          <w:sz w:val="16"/>
          <w:vertAlign w:val="superscript"/>
        </w:rPr>
        <w:t>[12][21]</w:t>
      </w:r>
    </w:p>
    <w:p w14:paraId="0E253A20">
      <w:pPr>
        <w:pStyle w:val="5"/>
        <w:numPr>
          <w:ilvl w:val="0"/>
          <w:numId w:val="18"/>
        </w:numPr>
        <w:ind w:firstLineChars="0"/>
        <w:rPr>
          <w:lang w:eastAsia="zh-CN"/>
        </w:rPr>
      </w:pPr>
      <w:r>
        <w:rPr>
          <w:lang w:eastAsia="zh-CN"/>
        </w:rPr>
        <w:t xml:space="preserve"> 原则一：文化适应与身份重构</w:t>
      </w:r>
    </w:p>
    <w:p w14:paraId="453385F0">
      <w:pPr>
        <w:spacing w:line="360" w:lineRule="auto"/>
        <w:ind w:firstLine="420"/>
        <w:rPr>
          <w:lang w:eastAsia="zh-CN"/>
        </w:rPr>
      </w:pPr>
      <w:r>
        <w:rPr>
          <w:rFonts w:ascii="宋体" w:hAnsi="宋体" w:eastAsia="宋体"/>
          <w:sz w:val="24"/>
          <w:lang w:eastAsia="zh-CN"/>
        </w:rPr>
        <w:t>利玛窦案例最核心的启示在于“文化适应”策略。他初入中国时身着僧袍，自称“西僧”，却很快发现僧侣在中国社会地位远低于儒家士大夫 。于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r>
        <w:rPr>
          <w:vertAlign w:val="superscript"/>
        </w:rPr>
        <w:footnoteReference w:id="31"/>
      </w:r>
      <w:r>
        <w:t>是，在弟子瞿汝</w:t>
      </w:r>
      <w:r>
        <w:rPr>
          <w:sz w:val="16"/>
          <w:vertAlign w:val="superscript"/>
        </w:rPr>
        <w:t>[12][18]</w:t>
      </w:r>
    </w:p>
    <w:p w14:paraId="64A61763">
      <w:pPr>
        <w:pStyle w:val="5"/>
        <w:ind w:firstLine="482"/>
        <w:rPr>
          <w:lang w:eastAsia="zh-CN"/>
        </w:rPr>
      </w:pPr>
      <w:r>
        <w:rPr>
          <w:lang w:eastAsia="zh-CN"/>
        </w:rPr>
        <w:t>原则二：双向互惠与知识共建</w:t>
      </w:r>
    </w:p>
    <w:p w14:paraId="52DC0A94">
      <w:pPr>
        <w:spacing w:line="360" w:lineRule="auto"/>
        <w:ind w:firstLine="420"/>
        <w:rPr>
          <w:lang w:eastAsia="zh-CN"/>
        </w:rPr>
      </w:pPr>
      <w:r>
        <w:rPr>
          <w:rFonts w:ascii="宋体" w:hAnsi="宋体" w:eastAsia="宋体"/>
          <w:sz w:val="24"/>
          <w:lang w:eastAsia="zh-CN"/>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徐光启合译《几何原本》，利玛窦获得了在中国传播学术的合法性，徐光启则接触到了全新的科学体系——这是双赢的典范。</w:t>
      </w:r>
      <w:r>
        <w:rPr>
          <w:vertAlign w:val="superscript"/>
        </w:rPr>
        <w:footnoteReference w:id="32"/>
      </w:r>
      <w:r>
        <w:t>力于不同价值观的分享，而不是取而代之。” 真正的互鉴，是双方都因对方的存在而变得更加丰富。 利玛窦与</w:t>
      </w:r>
      <w:r>
        <w:rPr>
          <w:sz w:val="16"/>
          <w:vertAlign w:val="superscript"/>
        </w:rPr>
        <w:t>[12][21][70]</w:t>
      </w:r>
    </w:p>
    <w:p w14:paraId="5E8EB2E5">
      <w:pPr>
        <w:pStyle w:val="5"/>
        <w:ind w:firstLine="482"/>
        <w:rPr>
          <w:lang w:eastAsia="zh-CN"/>
        </w:rPr>
      </w:pPr>
      <w:r>
        <w:rPr>
          <w:lang w:eastAsia="zh-CN"/>
        </w:rPr>
        <w:t>原则三：和而不同与求同存异</w:t>
      </w:r>
    </w:p>
    <w:p w14:paraId="2371E0F2">
      <w:pPr>
        <w:spacing w:line="360" w:lineRule="auto"/>
        <w:ind w:firstLine="420"/>
        <w:rPr>
          <w:lang w:eastAsia="zh-CN"/>
        </w:rPr>
      </w:pPr>
      <w:r>
        <w:rPr>
          <w:rFonts w:ascii="宋体" w:hAnsi="宋体" w:eastAsia="宋体"/>
          <w:sz w:val="24"/>
          <w:lang w:eastAsia="zh-CN"/>
        </w:rPr>
        <w:t>“和而不同”是中华文明处理差异的核心智慧，也是文明互鉴的根本原则。南宋鹅湖之会上，朱熹与陆九渊激烈论辩三日，事后朱熹却诚邀陆九渊赴白鹿洞书院讲学，陆九渊的演讲令听者“多有泣下”，朱熹“为之避席称善”</w:t>
      </w:r>
      <w:r>
        <w:rPr>
          <w:rFonts w:ascii="Times New Roman" w:hAnsi="Times New Roman" w:eastAsia="宋体"/>
          <w:vertAlign w:val="superscript"/>
        </w:rPr>
        <w:footnoteReference w:id="33"/>
      </w:r>
      <w:r>
        <w:t>。这种“在分歧中保持尊重”的精神，穿透了数百年的时光。 在当代语境下，这种精神转化为对文明多样性的自觉维护。正如泰国前副总理披尼·扎</w:t>
      </w:r>
      <w:r>
        <w:rPr>
          <w:rFonts w:ascii="宋体" w:hAnsi="宋体" w:eastAsia="宋体"/>
          <w:sz w:val="24"/>
          <w:lang w:eastAsia="zh-CN"/>
        </w:rPr>
        <w:t>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r>
        <w:rPr>
          <w:sz w:val="16"/>
          <w:vertAlign w:val="superscript"/>
        </w:rPr>
        <w:t>[5][14][71][27]</w:t>
      </w:r>
    </w:p>
    <w:p w14:paraId="62CF7103">
      <w:pPr>
        <w:pStyle w:val="5"/>
        <w:ind w:firstLine="482"/>
        <w:rPr>
          <w:lang w:eastAsia="zh-CN"/>
        </w:rPr>
      </w:pPr>
      <w:r>
        <w:rPr>
          <w:lang w:eastAsia="zh-CN"/>
        </w:rPr>
        <w:t>原则四：制度化保障与代际传承</w:t>
      </w:r>
    </w:p>
    <w:p w14:paraId="4B2F7CC5">
      <w:pPr>
        <w:spacing w:line="360" w:lineRule="auto"/>
        <w:ind w:firstLine="420"/>
        <w:rPr>
          <w:lang w:eastAsia="zh-CN"/>
        </w:rPr>
      </w:pPr>
      <w:r>
        <w:rPr>
          <w:rFonts w:ascii="宋体" w:hAnsi="宋体" w:eastAsia="宋体"/>
          <w:sz w:val="24"/>
          <w:lang w:eastAsia="zh-CN"/>
        </w:rPr>
        <w:t>利玛窦与徐光启的交往，本质上是个体与个体之间的信任缔结。而当代的文明互鉴，已经发展出更为制度化、常态化的形式。从白鹿洞书院与韩国陶山书院的定期学术交流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文明互鉴的生命力，最终取决于一代又一代人的接续努力。</w:t>
      </w:r>
      <w:r>
        <w:rPr>
          <w:vertAlign w:val="superscript"/>
        </w:rPr>
        <w:footnoteReference w:id="34"/>
      </w:r>
      <w:r>
        <w:t>，到复旦大学设立的“利玛窦—徐光启文明对话研究中心”，再到那不勒斯中华书院历经数百年演变成为今天的东方大学——这些机构平台为跨文化对话提供了稳定、持续的保障。 尤为重要的是代际传承。利玛</w:t>
      </w:r>
      <w:r>
        <w:rPr>
          <w:vertAlign w:val="superscript"/>
        </w:rPr>
        <w:footnoteReference w:id="35"/>
      </w:r>
      <w:r>
        <w:t>入彼此的生活环境，和当地人成为朋友。”</w:t>
      </w:r>
      <w:r>
        <w:rPr>
          <w:sz w:val="16"/>
          <w:vertAlign w:val="superscript"/>
        </w:rPr>
        <w:t>[12][19]</w:t>
      </w:r>
    </w:p>
    <w:p w14:paraId="77D274FE">
      <w:pPr>
        <w:pStyle w:val="4"/>
        <w:spacing w:before="120" w:after="120"/>
        <w:ind w:firstLine="562"/>
        <w:rPr>
          <w:lang w:eastAsia="zh-CN"/>
        </w:rPr>
      </w:pPr>
      <w:r>
        <w:rPr>
          <w:rFonts w:hint="eastAsia"/>
          <w:lang w:eastAsia="zh-CN"/>
        </w:rPr>
        <w:t xml:space="preserve">第四节 </w:t>
      </w:r>
      <w:r>
        <w:rPr>
          <w:lang w:eastAsia="zh-CN"/>
        </w:rPr>
        <w:t>文明互鉴的当代挑战与应对</w:t>
      </w:r>
    </w:p>
    <w:p w14:paraId="5FDF35E6">
      <w:pPr>
        <w:spacing w:line="360" w:lineRule="auto"/>
        <w:ind w:firstLine="420"/>
        <w:rPr>
          <w:lang w:eastAsia="zh-CN"/>
        </w:rPr>
      </w:pPr>
      <w:r>
        <w:rPr>
          <w:rFonts w:ascii="宋体" w:hAnsi="宋体" w:eastAsia="宋体"/>
          <w:sz w:val="24"/>
          <w:lang w:eastAsia="zh-CN"/>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r>
        <w:rPr>
          <w:sz w:val="16"/>
          <w:vertAlign w:val="superscript"/>
        </w:rPr>
        <w:t>[43][45][42]</w:t>
      </w:r>
    </w:p>
    <w:p w14:paraId="11239BB0">
      <w:pPr>
        <w:pStyle w:val="5"/>
        <w:numPr>
          <w:ilvl w:val="0"/>
          <w:numId w:val="19"/>
        </w:numPr>
        <w:ind w:firstLineChars="0"/>
        <w:rPr>
          <w:lang w:eastAsia="zh-CN"/>
        </w:rPr>
      </w:pPr>
      <w:r>
        <w:rPr>
          <w:lang w:eastAsia="zh-CN"/>
        </w:rPr>
        <w:t>挑战一：文化焦虑与身份政治的张力</w:t>
      </w:r>
    </w:p>
    <w:p w14:paraId="1E186E54">
      <w:pPr>
        <w:spacing w:line="360" w:lineRule="auto"/>
        <w:ind w:firstLine="420"/>
        <w:rPr>
          <w:lang w:eastAsia="zh-CN"/>
        </w:rPr>
      </w:pPr>
      <w:r>
        <w:rPr>
          <w:rFonts w:ascii="宋体" w:hAnsi="宋体" w:eastAsia="宋体"/>
          <w:sz w:val="24"/>
          <w:lang w:eastAsia="zh-CN"/>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r>
        <w:rPr>
          <w:sz w:val="16"/>
          <w:vertAlign w:val="superscript"/>
        </w:rPr>
        <w:t>[13][43]</w:t>
      </w:r>
    </w:p>
    <w:p w14:paraId="2A4D599E">
      <w:pPr>
        <w:spacing w:line="360" w:lineRule="auto"/>
        <w:ind w:firstLine="420"/>
        <w:rPr>
          <w:lang w:eastAsia="zh-CN"/>
        </w:rPr>
      </w:pPr>
      <w:r>
        <w:rPr>
          <w:rFonts w:ascii="宋体" w:hAnsi="宋体" w:eastAsia="宋体"/>
          <w:sz w:val="24"/>
          <w:lang w:eastAsia="zh-CN"/>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r>
        <w:rPr>
          <w:sz w:val="16"/>
          <w:vertAlign w:val="superscript"/>
        </w:rPr>
        <w:t>[12][20]</w:t>
      </w:r>
    </w:p>
    <w:p w14:paraId="7473D8B7">
      <w:pPr>
        <w:pStyle w:val="5"/>
        <w:ind w:firstLine="482"/>
        <w:rPr>
          <w:lang w:eastAsia="zh-CN"/>
        </w:rPr>
      </w:pPr>
      <w:r>
        <w:rPr>
          <w:lang w:eastAsia="zh-CN"/>
        </w:rPr>
        <w:t>挑战二：数字时代的“信息茧房”与认知壁垒</w:t>
      </w:r>
    </w:p>
    <w:p w14:paraId="1B4DC7EA">
      <w:pPr>
        <w:spacing w:line="360" w:lineRule="auto"/>
        <w:ind w:firstLine="420"/>
        <w:rPr>
          <w:lang w:eastAsia="zh-CN"/>
        </w:rPr>
      </w:pPr>
      <w:r>
        <w:rPr>
          <w:rFonts w:ascii="宋体" w:hAnsi="宋体" w:eastAsia="宋体"/>
          <w:sz w:val="24"/>
          <w:lang w:eastAsia="zh-CN"/>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r>
        <w:rPr>
          <w:sz w:val="16"/>
          <w:vertAlign w:val="superscript"/>
        </w:rPr>
        <w:t>[43][45]</w:t>
      </w:r>
    </w:p>
    <w:p w14:paraId="11FB10FC">
      <w:pPr>
        <w:pStyle w:val="5"/>
        <w:ind w:firstLine="482"/>
        <w:rPr>
          <w:lang w:eastAsia="zh-CN"/>
        </w:rPr>
      </w:pPr>
      <w:r>
        <w:rPr>
          <w:lang w:eastAsia="zh-CN"/>
        </w:rPr>
        <w:t>挑战三：从“精英对话”到“大众互鉴”的拓展</w:t>
      </w:r>
    </w:p>
    <w:p w14:paraId="67C75721">
      <w:pPr>
        <w:spacing w:line="360" w:lineRule="auto"/>
        <w:ind w:firstLine="420"/>
        <w:rPr>
          <w:lang w:eastAsia="zh-CN"/>
        </w:rPr>
      </w:pPr>
      <w:r>
        <w:rPr>
          <w:rFonts w:ascii="宋体" w:hAnsi="宋体" w:eastAsia="宋体"/>
          <w:sz w:val="24"/>
          <w:lang w:eastAsia="zh-CN"/>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r>
        <w:rPr>
          <w:sz w:val="16"/>
          <w:vertAlign w:val="superscript"/>
        </w:rPr>
        <w:t>[12][21]</w:t>
      </w:r>
    </w:p>
    <w:p w14:paraId="6566870B">
      <w:pPr>
        <w:pStyle w:val="4"/>
        <w:spacing w:before="120" w:after="120"/>
        <w:ind w:firstLine="562"/>
        <w:rPr>
          <w:lang w:eastAsia="zh-CN"/>
        </w:rPr>
      </w:pPr>
      <w:r>
        <w:rPr>
          <w:rFonts w:hint="eastAsia"/>
          <w:lang w:eastAsia="zh-CN"/>
        </w:rPr>
        <w:t>第五节</w:t>
      </w:r>
      <w:r>
        <w:rPr>
          <w:lang w:eastAsia="zh-CN"/>
        </w:rPr>
        <w:t xml:space="preserve"> 从互鉴到融合：文明共同体的构建之路</w:t>
      </w:r>
    </w:p>
    <w:p w14:paraId="2957AD14">
      <w:pPr>
        <w:spacing w:line="360" w:lineRule="auto"/>
        <w:ind w:firstLine="420"/>
        <w:rPr>
          <w:lang w:eastAsia="zh-CN"/>
        </w:rPr>
      </w:pPr>
      <w:r>
        <w:rPr>
          <w:rFonts w:ascii="宋体" w:hAnsi="宋体" w:eastAsia="宋体"/>
          <w:sz w:val="24"/>
          <w:lang w:eastAsia="zh-CN"/>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r>
        <w:rPr>
          <w:sz w:val="16"/>
          <w:vertAlign w:val="superscript"/>
        </w:rPr>
        <w:t>[14][5]</w:t>
      </w:r>
    </w:p>
    <w:p w14:paraId="2397AA50">
      <w:pPr>
        <w:spacing w:line="360" w:lineRule="auto"/>
        <w:ind w:firstLine="420"/>
        <w:rPr>
          <w:lang w:eastAsia="zh-CN"/>
        </w:rPr>
      </w:pPr>
      <w:r>
        <w:rPr>
          <w:rFonts w:ascii="宋体" w:hAnsi="宋体" w:eastAsia="宋体"/>
          <w:sz w:val="24"/>
          <w:lang w:eastAsia="zh-CN"/>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r>
        <w:rPr>
          <w:sz w:val="16"/>
          <w:vertAlign w:val="superscript"/>
        </w:rPr>
        <w:t>[12][21]</w:t>
      </w:r>
    </w:p>
    <w:p w14:paraId="0C6D94EF">
      <w:pPr>
        <w:pStyle w:val="3"/>
        <w:spacing w:before="240" w:after="240"/>
        <w:rPr>
          <w:lang w:eastAsia="zh-CN"/>
        </w:rPr>
      </w:pPr>
      <w:r>
        <w:rPr>
          <w:lang w:eastAsia="zh-CN"/>
        </w:rPr>
        <w:t>第六章 结语</w:t>
      </w:r>
    </w:p>
    <w:p w14:paraId="62F74E71">
      <w:pPr>
        <w:spacing w:line="360" w:lineRule="auto"/>
        <w:ind w:firstLine="420"/>
        <w:rPr>
          <w:lang w:eastAsia="zh-CN"/>
        </w:rPr>
      </w:pPr>
      <w:r>
        <w:rPr>
          <w:rFonts w:ascii="宋体" w:hAnsi="宋体" w:eastAsia="宋体"/>
          <w:sz w:val="24"/>
          <w:lang w:eastAsia="zh-CN"/>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r>
        <w:rPr>
          <w:sz w:val="16"/>
          <w:vertAlign w:val="superscript"/>
        </w:rPr>
        <w:t>[11][13][54]</w:t>
      </w:r>
    </w:p>
    <w:p w14:paraId="4489390A">
      <w:pPr>
        <w:pStyle w:val="4"/>
        <w:spacing w:before="120" w:after="120"/>
        <w:ind w:firstLine="562"/>
        <w:rPr>
          <w:lang w:eastAsia="zh-CN"/>
        </w:rPr>
      </w:pPr>
      <w:r>
        <w:rPr>
          <w:rFonts w:hint="eastAsia"/>
          <w:lang w:eastAsia="zh-CN"/>
        </w:rPr>
        <w:t>第一节</w:t>
      </w:r>
      <w:r>
        <w:rPr>
          <w:lang w:eastAsia="zh-CN"/>
        </w:rPr>
        <w:t xml:space="preserve"> 总结全文：一场“置换核心”的哲学工程</w:t>
      </w:r>
    </w:p>
    <w:p w14:paraId="5F5E155D">
      <w:pPr>
        <w:spacing w:line="360" w:lineRule="auto"/>
        <w:ind w:firstLine="420"/>
        <w:rPr>
          <w:lang w:eastAsia="zh-CN"/>
        </w:rPr>
      </w:pPr>
      <w:r>
        <w:rPr>
          <w:rFonts w:ascii="宋体" w:hAnsi="宋体" w:eastAsia="宋体"/>
          <w:sz w:val="24"/>
          <w:lang w:eastAsia="zh-CN"/>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r>
        <w:rPr>
          <w:sz w:val="16"/>
          <w:vertAlign w:val="superscript"/>
        </w:rPr>
        <w:t>[11][20]</w:t>
      </w:r>
    </w:p>
    <w:p w14:paraId="37667DBB">
      <w:pPr>
        <w:pStyle w:val="4"/>
        <w:spacing w:before="120" w:after="120"/>
        <w:ind w:firstLine="562"/>
        <w:rPr>
          <w:lang w:eastAsia="zh-CN"/>
        </w:rPr>
      </w:pPr>
      <w:r>
        <w:rPr>
          <w:rFonts w:hint="eastAsia"/>
          <w:lang w:eastAsia="zh-CN"/>
        </w:rPr>
        <w:t>第二节</w:t>
      </w:r>
      <w:r>
        <w:rPr>
          <w:lang w:eastAsia="zh-CN"/>
        </w:rPr>
        <w:t xml:space="preserve"> 定性评价：一场跨文明的“化学反应”</w:t>
      </w:r>
    </w:p>
    <w:p w14:paraId="71F24CD1">
      <w:pPr>
        <w:spacing w:line="360" w:lineRule="auto"/>
        <w:ind w:firstLine="420"/>
        <w:rPr>
          <w:lang w:eastAsia="zh-CN"/>
        </w:rPr>
      </w:pPr>
      <w:r>
        <w:rPr>
          <w:rFonts w:ascii="宋体" w:hAnsi="宋体" w:eastAsia="宋体"/>
          <w:sz w:val="24"/>
          <w:lang w:eastAsia="zh-CN"/>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r>
        <w:rPr>
          <w:sz w:val="16"/>
          <w:vertAlign w:val="superscript"/>
        </w:rPr>
        <w:t>[11][21][15][25][28]</w:t>
      </w:r>
    </w:p>
    <w:p w14:paraId="7779DE9D">
      <w:pPr>
        <w:pStyle w:val="4"/>
        <w:spacing w:before="120" w:after="120"/>
        <w:ind w:firstLine="562"/>
        <w:rPr>
          <w:lang w:eastAsia="zh-CN"/>
        </w:rPr>
      </w:pPr>
      <w:r>
        <w:rPr>
          <w:rFonts w:hint="eastAsia"/>
          <w:lang w:eastAsia="zh-CN"/>
        </w:rPr>
        <w:t>第三节</w:t>
      </w:r>
      <w:r>
        <w:rPr>
          <w:lang w:eastAsia="zh-CN"/>
        </w:rPr>
        <w:t xml:space="preserve"> 最终升华：深度对话的灵魂叩问</w:t>
      </w:r>
    </w:p>
    <w:p w14:paraId="195E346F">
      <w:pPr>
        <w:spacing w:line="360" w:lineRule="auto"/>
        <w:ind w:firstLine="420"/>
        <w:rPr>
          <w:lang w:eastAsia="zh-CN"/>
        </w:rPr>
      </w:pPr>
      <w:r>
        <w:rPr>
          <w:rFonts w:ascii="宋体" w:hAnsi="宋体" w:eastAsia="宋体"/>
          <w:sz w:val="24"/>
          <w:lang w:eastAsia="zh-CN"/>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r>
        <w:rPr>
          <w:sz w:val="16"/>
          <w:vertAlign w:val="superscript"/>
        </w:rPr>
        <w:t>[12][13][35][72]</w:t>
      </w:r>
    </w:p>
    <w:p w14:paraId="4E0E427E">
      <w:pPr>
        <w:pStyle w:val="4"/>
        <w:spacing w:before="120" w:after="120"/>
        <w:ind w:firstLine="562"/>
        <w:rPr>
          <w:lang w:eastAsia="zh-CN"/>
        </w:rPr>
      </w:pPr>
      <w:r>
        <w:rPr>
          <w:rFonts w:hint="eastAsia"/>
          <w:lang w:eastAsia="zh-CN"/>
        </w:rPr>
        <w:t>第四节</w:t>
      </w:r>
      <w:r>
        <w:rPr>
          <w:lang w:eastAsia="zh-CN"/>
        </w:rPr>
        <w:t xml:space="preserve"> 利玛窦译名实践对当代“基督教中国化”的正向意义</w:t>
      </w:r>
    </w:p>
    <w:p w14:paraId="1419B025">
      <w:pPr>
        <w:spacing w:line="360" w:lineRule="auto"/>
        <w:ind w:firstLine="420"/>
        <w:rPr>
          <w:lang w:eastAsia="zh-CN"/>
        </w:rPr>
      </w:pPr>
      <w:r>
        <w:rPr>
          <w:rFonts w:ascii="宋体" w:hAnsi="宋体" w:eastAsia="宋体"/>
          <w:sz w:val="24"/>
          <w:lang w:eastAsia="zh-CN"/>
        </w:rPr>
        <w:t>利玛窦的译名实践，虽然以“礼仪之争”的悲剧性中断而暂时画上句号，但其思想遗产却在四百年后的今天获得了新的生命力。进入21世纪，“基督教中国化”已成为当代中国基督教界和学术界的核心议题——如何让一种起源于西方文化语境的宗教，在中国文化中找到恰当的表达方式？利玛窦的案例，为这一当代议题提供了三个层面的正向启示。第一，“文化适应”不是教义的妥协，而是信仰的“本土化表达”。利玛窦用“上帝”、“天”等中国经典语汇翻译“Deus”，并非为了“迎合”中国文化而牺牲基督教教义的纯正性，而是为了让基督教信仰在中国文化的“土壤”中生根发芽。这种“本土化”的逻辑，正是当代“基督教中国化”的核心理念——基督教不应当永远以“外来宗教”的姿态存在，而应当在中国文化的语境中形成自身的表达形态与实践方式。第二，“概念对话”是跨文化理解的必由之路。利玛窦对“理”与“太极”的批判与重构，展示了基督教神学与中国哲学进行深度对话的可能性与必要性。当代“基督教中国化”不能仅仅停留在“用中文讲道”或“穿中式服装”的表层，而应当进入中国哲学的核心概念体系，在“天人关系”、“心性论”、“终极关怀”等根本问题上，与儒家、道家、佛家传统展开实质性的思想对话。只有在这种深度对话中，基督教才能真正“成为中国人的宗教”，而非仅仅“在中国传播的西方宗教”。第三，“创造性误解”是文化创新的源泉。利玛窦的“策略性曲解”虽然在后世引发了“礼仪之争”，但从长时段的历史视角来看，正是这种“误解”催生了耶儒融合的思想成果，推动了两种文明的相互丰富。当代“基督教中国化”同样需要容忍一定程度的“创造性张力”——不必追求“纯正教义”与“中国文化”之间的完全一致，而应当在两者的交汇处寻找新的思想生长点。利玛窦的案例告诉我们：文明互鉴的最高境界，不是一方“同化”另一方，而是在保持各自身份认同的前提下，通过深度对话实现“你中有我、我中有你”的创造性融合。这一智慧，对于今天在全球化语境下推进“基督教中国化”、构建“和而不同”的文明共同体，依然具有不可替代的启示价值。</w:t>
      </w:r>
      <w:r>
        <w:rPr>
          <w:sz w:val="16"/>
          <w:vertAlign w:val="superscript"/>
        </w:rPr>
        <w:t>[20][41][55]</w:t>
      </w:r>
    </w:p>
    <w:p w14:paraId="38874326">
      <w:pPr>
        <w:spacing w:line="360" w:lineRule="auto"/>
        <w:ind w:firstLine="420"/>
        <w:rPr>
          <w:lang w:eastAsia="zh-CN"/>
        </w:rPr>
      </w:pPr>
      <w:r>
        <w:rPr>
          <w:rFonts w:ascii="宋体" w:hAnsi="宋体" w:eastAsia="宋体"/>
          <w:sz w:val="24"/>
          <w:lang w:eastAsia="zh-CN"/>
        </w:rPr>
        <w:t>上述三个层面的正向启示，共同指向一个核心命题：利玛窦的译名实践为当代“基督教中国化”提供了一条不可替代的历史路径。这条路径的关键不在于“复制”利玛窦的具体做法——四百年后的中国已与明末截然不同——而在于继承其开放、灵活而又不失信仰根基的“方法精神”。具体而言，利玛窦的译名实践从以下三个方面为今日“基督教中国化”注入了正向动力。其一，它为“中国化”提供了历史正当性：利玛窦的实践证明，基督教自进入中国之初，就天然地处于与中国文化对话的过程之中，“中国化”不是当代人为构造的政治命题，而是基督教在华发展的内在逻辑和必然趋势。其二，它为“中国化”提供了方法论范本：利玛窦的“概念挪用”策略——在保持信仰内核的前提下，用中国文化的语言重新表述基督教教义——为当代神学家和教会工作者提供了具体而可操作的方法论借鉴。其三，它为“中国化”注入了历史信心：利玛窦在四百年前的历史条件下，尚且能够展开如此深度的耶儒对话，今日的中国教会与学者，在全球化、信息化和学术积累极大丰富的时代条件下，理应更有能力、更有智慧地推进这一未竟的事业。利玛窦的译名实践，犹如一盏穿越四百年的灯火，既照亮了基督教来华的历史起点，也为基督教在中国的未来之路标示出方向——不是疏离于中国文化之外的“他者”，而是融入中华文明血脉之中的“共同体成员”。这正是利玛窦译名实践对当代中国最具深意的正向遗产。</w:t>
      </w:r>
      <w:r>
        <w:rPr>
          <w:sz w:val="16"/>
          <w:vertAlign w:val="superscript"/>
        </w:rPr>
        <w:t>[11][20]</w:t>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