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1092"/>
        <w:gridCol w:w="1162"/>
      </w:tblGrid>
      <w:tr w14:paraId="648FC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6B311789">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7466D2E5">
            <w:pPr>
              <w:pStyle w:val="168"/>
              <w:rPr>
                <w:b/>
                <w:bCs/>
              </w:rPr>
            </w:pPr>
          </w:p>
        </w:tc>
        <w:tc>
          <w:tcPr>
            <w:tcW w:w="4203" w:type="dxa"/>
            <w:gridSpan w:val="3"/>
            <w:tcBorders>
              <w:top w:val="nil"/>
              <w:left w:val="nil"/>
              <w:bottom w:val="nil"/>
              <w:right w:val="nil"/>
            </w:tcBorders>
            <w:vAlign w:val="bottom"/>
          </w:tcPr>
          <w:p w14:paraId="27B57F39">
            <w:pPr>
              <w:pStyle w:val="168"/>
            </w:pPr>
            <w:bookmarkStart w:id="0" w:name="_GoBack"/>
            <w:bookmarkEnd w:id="0"/>
          </w:p>
        </w:tc>
        <w:tc>
          <w:tcPr>
            <w:tcW w:w="1092" w:type="dxa"/>
            <w:tcBorders>
              <w:top w:val="nil"/>
              <w:left w:val="nil"/>
              <w:bottom w:val="nil"/>
              <w:right w:val="nil"/>
            </w:tcBorders>
            <w:vAlign w:val="bottom"/>
          </w:tcPr>
          <w:p w14:paraId="78DE7410">
            <w:pPr>
              <w:pStyle w:val="168"/>
            </w:pPr>
            <w:r>
              <w:rPr>
                <w:rFonts w:hint="eastAsia"/>
              </w:rPr>
              <w:t>密 级</w:t>
            </w:r>
          </w:p>
        </w:tc>
        <w:tc>
          <w:tcPr>
            <w:tcW w:w="1162" w:type="dxa"/>
            <w:tcBorders>
              <w:top w:val="nil"/>
              <w:left w:val="nil"/>
              <w:bottom w:val="dashSmallGap" w:color="auto" w:sz="4" w:space="0"/>
              <w:right w:val="nil"/>
            </w:tcBorders>
            <w:vAlign w:val="bottom"/>
          </w:tcPr>
          <w:p w14:paraId="09177929">
            <w:pPr>
              <w:pStyle w:val="168"/>
            </w:pPr>
          </w:p>
        </w:tc>
      </w:tr>
      <w:tr w14:paraId="0324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B538C5A">
            <w:pPr>
              <w:pStyle w:val="168"/>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4F3C63D6">
            <w:pPr>
              <w:pStyle w:val="168"/>
            </w:pPr>
          </w:p>
        </w:tc>
        <w:tc>
          <w:tcPr>
            <w:tcW w:w="4203" w:type="dxa"/>
            <w:gridSpan w:val="3"/>
            <w:tcBorders>
              <w:top w:val="nil"/>
              <w:left w:val="nil"/>
              <w:bottom w:val="nil"/>
              <w:right w:val="nil"/>
            </w:tcBorders>
            <w:vAlign w:val="bottom"/>
          </w:tcPr>
          <w:p w14:paraId="5ACEEE6B">
            <w:pPr>
              <w:pStyle w:val="168"/>
            </w:pPr>
          </w:p>
        </w:tc>
        <w:tc>
          <w:tcPr>
            <w:tcW w:w="1092" w:type="dxa"/>
            <w:tcBorders>
              <w:top w:val="nil"/>
              <w:left w:val="nil"/>
              <w:bottom w:val="nil"/>
              <w:right w:val="nil"/>
            </w:tcBorders>
            <w:vAlign w:val="bottom"/>
          </w:tcPr>
          <w:p w14:paraId="4F9D6B5E">
            <w:pPr>
              <w:pStyle w:val="168"/>
            </w:pPr>
            <w:r>
              <w:rPr>
                <w:rFonts w:hint="eastAsia"/>
              </w:rPr>
              <w:t>编 号</w:t>
            </w:r>
          </w:p>
        </w:tc>
        <w:tc>
          <w:tcPr>
            <w:tcW w:w="1162" w:type="dxa"/>
            <w:tcBorders>
              <w:top w:val="dashSmallGap" w:color="auto" w:sz="4" w:space="0"/>
              <w:left w:val="nil"/>
              <w:bottom w:val="dashSmallGap" w:color="auto" w:sz="4" w:space="0"/>
              <w:right w:val="nil"/>
            </w:tcBorders>
            <w:vAlign w:val="bottom"/>
          </w:tcPr>
          <w:p w14:paraId="652CCF96">
            <w:pPr>
              <w:pStyle w:val="168"/>
              <w:rPr>
                <w:lang w:eastAsia="zh-CN"/>
              </w:rPr>
            </w:pPr>
          </w:p>
        </w:tc>
      </w:tr>
      <w:tr w14:paraId="23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8"/>
            <w:tcBorders>
              <w:top w:val="nil"/>
              <w:left w:val="nil"/>
              <w:bottom w:val="nil"/>
              <w:right w:val="nil"/>
            </w:tcBorders>
          </w:tcPr>
          <w:p w14:paraId="2CCA29A5">
            <w:pPr>
              <w:pStyle w:val="168"/>
              <w:rPr>
                <w:sz w:val="44"/>
              </w:rPr>
            </w:pPr>
            <w:r>
              <w:rPr>
                <w:rFonts w:hint="eastAsia" w:eastAsia="宋体"/>
                <w:color w:val="000000"/>
                <w:sz w:val="44"/>
                <w:lang w:eastAsia="zh-CN"/>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3810" b="114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6"/>
                          <a:srcRect t="18409" b="14924"/>
                          <a:stretch>
                            <a:fillRect/>
                          </a:stretch>
                        </pic:blipFill>
                        <pic:spPr>
                          <a:xfrm>
                            <a:off x="0" y="0"/>
                            <a:ext cx="4199890" cy="1118870"/>
                          </a:xfrm>
                          <a:prstGeom prst="rect">
                            <a:avLst/>
                          </a:prstGeom>
                        </pic:spPr>
                      </pic:pic>
                    </a:graphicData>
                  </a:graphic>
                </wp:anchor>
              </w:drawing>
            </w:r>
          </w:p>
          <w:p w14:paraId="62AC702A">
            <w:pPr>
              <w:pStyle w:val="168"/>
              <w:jc w:val="center"/>
              <w:rPr>
                <w:sz w:val="44"/>
                <w:lang w:eastAsia="zh-CN"/>
              </w:rPr>
            </w:pPr>
          </w:p>
          <w:p w14:paraId="0C57E835">
            <w:pPr>
              <w:pStyle w:val="168"/>
              <w:jc w:val="center"/>
              <w:rPr>
                <w:sz w:val="44"/>
                <w:lang w:eastAsia="zh-CN"/>
              </w:rPr>
            </w:pPr>
          </w:p>
        </w:tc>
      </w:tr>
      <w:tr w14:paraId="2C9C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8"/>
            <w:tcBorders>
              <w:top w:val="nil"/>
              <w:left w:val="nil"/>
              <w:bottom w:val="nil"/>
              <w:right w:val="nil"/>
            </w:tcBorders>
          </w:tcPr>
          <w:p w14:paraId="31E8CC9F">
            <w:pPr>
              <w:pStyle w:val="169"/>
              <w:rPr>
                <w:rFonts w:hint="eastAsia" w:ascii="微软雅黑" w:hAnsi="微软雅黑" w:eastAsia="微软雅黑" w:cs="微软雅黑"/>
                <w:b/>
                <w:color w:val="000000"/>
                <w:sz w:val="36"/>
                <w:szCs w:val="36"/>
                <w:lang w:eastAsia="zh-CN"/>
              </w:rPr>
            </w:pPr>
            <w:r>
              <w:rPr>
                <w:rFonts w:hint="eastAsia" w:ascii="微软雅黑" w:hAnsi="微软雅黑" w:eastAsia="微软雅黑" w:cs="微软雅黑"/>
                <w:b/>
                <w:color w:val="000000"/>
                <w:sz w:val="36"/>
                <w:szCs w:val="36"/>
                <w:lang w:eastAsia="zh-CN"/>
              </w:rPr>
              <w:t>浙江省宗教界“双通”人才研修班</w:t>
            </w:r>
          </w:p>
          <w:p w14:paraId="4AFED0CB">
            <w:pPr>
              <w:pStyle w:val="169"/>
              <w:rPr>
                <w:b/>
                <w:color w:val="000000"/>
              </w:rPr>
            </w:pPr>
            <w:r>
              <w:rPr>
                <w:rFonts w:hint="eastAsia" w:ascii="微软雅黑" w:hAnsi="微软雅黑" w:eastAsia="微软雅黑" w:cs="微软雅黑"/>
                <w:b/>
                <w:color w:val="000000"/>
                <w:sz w:val="48"/>
                <w:szCs w:val="48"/>
                <w:lang w:eastAsia="zh-CN"/>
              </w:rPr>
              <w:t>毕业论文</w:t>
            </w:r>
          </w:p>
        </w:tc>
      </w:tr>
      <w:tr w14:paraId="2E4E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8"/>
            <w:tcBorders>
              <w:top w:val="nil"/>
              <w:left w:val="nil"/>
              <w:bottom w:val="nil"/>
              <w:right w:val="nil"/>
            </w:tcBorders>
          </w:tcPr>
          <w:p w14:paraId="19053E4B">
            <w:pPr>
              <w:adjustRightInd w:val="0"/>
              <w:snapToGrid w:val="0"/>
              <w:jc w:val="center"/>
              <w:rPr>
                <w:rFonts w:hint="eastAsia" w:ascii="黑体" w:hAnsi="黑体" w:eastAsia="黑体" w:cs="黑体"/>
                <w:b/>
                <w:bCs/>
                <w:color w:val="000000"/>
                <w:sz w:val="32"/>
                <w:szCs w:val="32"/>
                <w:lang w:eastAsia="zh-CN"/>
              </w:rPr>
            </w:pPr>
          </w:p>
          <w:p w14:paraId="79338F12">
            <w:pPr>
              <w:adjustRightInd w:val="0"/>
              <w:snapToGrid w:val="0"/>
              <w:jc w:val="center"/>
              <w:rPr>
                <w:rFonts w:hint="eastAsia" w:ascii="黑体" w:hAnsi="黑体" w:eastAsia="黑体" w:cs="黑体"/>
                <w:b/>
                <w:bCs/>
                <w:color w:val="000000"/>
                <w:sz w:val="30"/>
                <w:szCs w:val="30"/>
                <w:lang w:eastAsia="zh-CN"/>
              </w:rPr>
            </w:pPr>
            <w:r>
              <w:rPr>
                <w:rFonts w:hint="eastAsia" w:ascii="黑体" w:hAnsi="黑体" w:eastAsia="黑体"/>
                <w:b/>
                <w:sz w:val="30"/>
                <w:szCs w:val="30"/>
                <w:lang w:eastAsia="zh-CN"/>
              </w:rPr>
              <w:t>利玛窦的译名实践——</w:t>
            </w:r>
            <w:r>
              <w:rPr>
                <w:rFonts w:ascii="黑体" w:hAnsi="黑体" w:eastAsia="黑体"/>
                <w:b/>
                <w:sz w:val="30"/>
                <w:szCs w:val="30"/>
                <w:lang w:eastAsia="zh-CN"/>
              </w:rPr>
              <w:t>从“太极”“理”的诠释看耶儒思想的碰撞与调适</w:t>
            </w:r>
          </w:p>
          <w:p w14:paraId="4A049ED9">
            <w:pPr>
              <w:adjustRightInd w:val="0"/>
              <w:snapToGrid w:val="0"/>
              <w:jc w:val="center"/>
              <w:rPr>
                <w:rFonts w:eastAsia="宋体"/>
                <w:color w:val="000000"/>
                <w:sz w:val="44"/>
                <w:lang w:eastAsia="zh-CN"/>
              </w:rPr>
            </w:pPr>
          </w:p>
        </w:tc>
      </w:tr>
      <w:tr w14:paraId="2C34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8"/>
            <w:tcBorders>
              <w:top w:val="nil"/>
              <w:left w:val="nil"/>
              <w:bottom w:val="nil"/>
              <w:right w:val="nil"/>
            </w:tcBorders>
          </w:tcPr>
          <w:p w14:paraId="1F4EC6FC">
            <w:pPr>
              <w:pStyle w:val="32"/>
              <w:spacing w:before="0" w:beforeAutospacing="0" w:after="0" w:afterAutospacing="0" w:line="260" w:lineRule="atLeast"/>
              <w:jc w:val="both"/>
              <w:rPr>
                <w:lang w:eastAsia="zh-CN"/>
              </w:rPr>
            </w:pPr>
          </w:p>
        </w:tc>
      </w:tr>
      <w:tr w14:paraId="422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50DFB11">
            <w:pPr>
              <w:adjustRightInd w:val="0"/>
              <w:snapToGrid w:val="0"/>
              <w:rPr>
                <w:rFonts w:eastAsia="楷体_GB2312"/>
                <w:color w:val="000000"/>
                <w:sz w:val="52"/>
                <w:lang w:eastAsia="zh-CN"/>
              </w:rPr>
            </w:pPr>
          </w:p>
        </w:tc>
        <w:tc>
          <w:tcPr>
            <w:tcW w:w="3352" w:type="dxa"/>
            <w:gridSpan w:val="2"/>
            <w:tcBorders>
              <w:top w:val="nil"/>
              <w:left w:val="nil"/>
              <w:bottom w:val="nil"/>
              <w:right w:val="nil"/>
            </w:tcBorders>
            <w:vAlign w:val="center"/>
          </w:tcPr>
          <w:p w14:paraId="3465B9E1">
            <w:pPr>
              <w:pStyle w:val="170"/>
              <w:ind w:firstLine="280" w:firstLineChars="100"/>
              <w:rPr>
                <w:b/>
                <w:bCs/>
              </w:rPr>
            </w:pPr>
            <w:r>
              <w:rPr>
                <w:rFonts w:hint="eastAsia"/>
                <w:b/>
                <w:bCs/>
                <w:lang w:eastAsia="zh-CN"/>
              </w:rPr>
              <w:t>作   者</w:t>
            </w:r>
            <w:r>
              <w:rPr>
                <w:rFonts w:hint="eastAsia"/>
                <w:b/>
                <w:bCs/>
              </w:rPr>
              <w:t xml:space="preserve"> </w:t>
            </w:r>
            <w:r>
              <w:rPr>
                <w:rFonts w:hint="eastAsia"/>
                <w:b/>
                <w:bCs/>
                <w:lang w:eastAsia="zh-CN"/>
              </w:rPr>
              <w:t xml:space="preserve">  </w:t>
            </w:r>
            <w:r>
              <w:rPr>
                <w:rFonts w:hint="eastAsia"/>
                <w:b/>
                <w:bCs/>
              </w:rPr>
              <w:t xml:space="preserve">姓 </w:t>
            </w:r>
            <w:r>
              <w:rPr>
                <w:rFonts w:hint="eastAsia"/>
                <w:b/>
                <w:bCs/>
                <w:lang w:eastAsia="zh-CN"/>
              </w:rPr>
              <w:t xml:space="preserve">  </w:t>
            </w:r>
            <w:r>
              <w:rPr>
                <w:rFonts w:hint="eastAsia"/>
                <w:b/>
                <w:bCs/>
              </w:rPr>
              <w:t xml:space="preserve"> 名：</w:t>
            </w:r>
          </w:p>
        </w:tc>
        <w:tc>
          <w:tcPr>
            <w:tcW w:w="302" w:type="dxa"/>
            <w:tcBorders>
              <w:top w:val="nil"/>
              <w:left w:val="nil"/>
              <w:bottom w:val="nil"/>
              <w:right w:val="nil"/>
            </w:tcBorders>
            <w:vAlign w:val="center"/>
          </w:tcPr>
          <w:p w14:paraId="3D98CC92">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9ECE318">
            <w:pPr>
              <w:pStyle w:val="170"/>
              <w:ind w:firstLine="0" w:firstLineChars="0"/>
              <w:jc w:val="center"/>
              <w:rPr>
                <w:rFonts w:eastAsia="宋体"/>
                <w:b/>
                <w:bCs/>
                <w:spacing w:val="20"/>
                <w:lang w:eastAsia="zh-CN"/>
              </w:rPr>
            </w:pPr>
            <w:r>
              <w:rPr>
                <w:rFonts w:hint="eastAsia" w:eastAsia="宋体"/>
                <w:b/>
                <w:bCs/>
                <w:spacing w:val="20"/>
                <w:lang w:eastAsia="zh-CN"/>
              </w:rPr>
              <w:t>全方明</w:t>
            </w:r>
          </w:p>
        </w:tc>
        <w:tc>
          <w:tcPr>
            <w:tcW w:w="1162" w:type="dxa"/>
            <w:vMerge w:val="restart"/>
            <w:tcBorders>
              <w:top w:val="nil"/>
              <w:left w:val="nil"/>
              <w:bottom w:val="nil"/>
              <w:right w:val="nil"/>
            </w:tcBorders>
            <w:vAlign w:val="center"/>
          </w:tcPr>
          <w:p w14:paraId="7FD0D254">
            <w:pPr>
              <w:adjustRightInd w:val="0"/>
              <w:snapToGrid w:val="0"/>
              <w:rPr>
                <w:rFonts w:eastAsia="楷体_GB2312"/>
                <w:color w:val="000000"/>
                <w:sz w:val="52"/>
              </w:rPr>
            </w:pPr>
          </w:p>
          <w:p w14:paraId="0921CCB7">
            <w:pPr>
              <w:adjustRightInd w:val="0"/>
              <w:snapToGrid w:val="0"/>
              <w:rPr>
                <w:rFonts w:eastAsia="楷体_GB2312"/>
                <w:color w:val="000000"/>
                <w:sz w:val="52"/>
              </w:rPr>
            </w:pPr>
          </w:p>
          <w:p w14:paraId="70B7470B">
            <w:pPr>
              <w:adjustRightInd w:val="0"/>
              <w:snapToGrid w:val="0"/>
              <w:rPr>
                <w:rFonts w:eastAsia="楷体_GB2312"/>
                <w:color w:val="000000"/>
                <w:sz w:val="52"/>
              </w:rPr>
            </w:pPr>
          </w:p>
        </w:tc>
      </w:tr>
      <w:tr w14:paraId="401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6276B934">
            <w:pPr>
              <w:rPr>
                <w:rFonts w:eastAsia="楷体_GB2312"/>
                <w:color w:val="000000"/>
                <w:sz w:val="52"/>
              </w:rPr>
            </w:pPr>
          </w:p>
        </w:tc>
        <w:tc>
          <w:tcPr>
            <w:tcW w:w="3352" w:type="dxa"/>
            <w:gridSpan w:val="2"/>
            <w:tcBorders>
              <w:top w:val="nil"/>
              <w:left w:val="nil"/>
              <w:bottom w:val="nil"/>
              <w:right w:val="nil"/>
            </w:tcBorders>
            <w:vAlign w:val="center"/>
          </w:tcPr>
          <w:p w14:paraId="7FABED22">
            <w:pPr>
              <w:pStyle w:val="17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01B52B1D">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1E43B175">
            <w:pPr>
              <w:pStyle w:val="170"/>
              <w:ind w:firstLine="0" w:firstLineChars="0"/>
              <w:jc w:val="center"/>
              <w:rPr>
                <w:rFonts w:eastAsia="宋体"/>
                <w:b/>
                <w:bCs/>
                <w:lang w:eastAsia="zh-CN"/>
              </w:rPr>
            </w:pPr>
          </w:p>
        </w:tc>
        <w:tc>
          <w:tcPr>
            <w:tcW w:w="1162" w:type="dxa"/>
            <w:vMerge w:val="continue"/>
            <w:tcBorders>
              <w:top w:val="nil"/>
              <w:left w:val="nil"/>
              <w:bottom w:val="nil"/>
              <w:right w:val="nil"/>
            </w:tcBorders>
            <w:vAlign w:val="center"/>
          </w:tcPr>
          <w:p w14:paraId="25FB98A5">
            <w:pPr>
              <w:jc w:val="distribute"/>
              <w:rPr>
                <w:rFonts w:eastAsia="楷体_GB2312"/>
                <w:color w:val="000000"/>
                <w:sz w:val="52"/>
              </w:rPr>
            </w:pPr>
          </w:p>
        </w:tc>
      </w:tr>
      <w:tr w14:paraId="483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01A85466">
            <w:pPr>
              <w:rPr>
                <w:rFonts w:eastAsia="楷体_GB2312"/>
                <w:color w:val="000000"/>
                <w:sz w:val="52"/>
              </w:rPr>
            </w:pPr>
          </w:p>
        </w:tc>
        <w:tc>
          <w:tcPr>
            <w:tcW w:w="3352" w:type="dxa"/>
            <w:gridSpan w:val="2"/>
            <w:tcBorders>
              <w:top w:val="nil"/>
              <w:left w:val="nil"/>
              <w:bottom w:val="nil"/>
              <w:right w:val="nil"/>
            </w:tcBorders>
            <w:vAlign w:val="center"/>
          </w:tcPr>
          <w:p w14:paraId="31BA7751">
            <w:pPr>
              <w:pStyle w:val="170"/>
              <w:ind w:firstLine="280" w:firstLineChars="100"/>
              <w:rPr>
                <w:b/>
                <w:bCs/>
              </w:rPr>
            </w:pPr>
            <w:r>
              <w:rPr>
                <w:rFonts w:hint="eastAsia"/>
                <w:b/>
                <w:bCs/>
              </w:rPr>
              <w:t>指</w:t>
            </w:r>
            <w:r>
              <w:rPr>
                <w:rFonts w:hint="eastAsia"/>
                <w:b/>
                <w:bCs/>
                <w:lang w:eastAsia="zh-CN"/>
              </w:rPr>
              <w:t xml:space="preserve">   </w:t>
            </w:r>
            <w:r>
              <w:rPr>
                <w:rFonts w:hint="eastAsia"/>
                <w:b/>
                <w:bCs/>
              </w:rPr>
              <w:t>导</w:t>
            </w:r>
            <w:r>
              <w:rPr>
                <w:rFonts w:hint="eastAsia"/>
                <w:b/>
                <w:bCs/>
                <w:lang w:eastAsia="zh-CN"/>
              </w:rPr>
              <w:t xml:space="preserve">   </w:t>
            </w:r>
            <w:r>
              <w:rPr>
                <w:rFonts w:hint="eastAsia"/>
                <w:b/>
                <w:bCs/>
              </w:rPr>
              <w:t>教</w:t>
            </w:r>
            <w:r>
              <w:rPr>
                <w:rFonts w:hint="eastAsia"/>
                <w:b/>
                <w:bCs/>
                <w:lang w:eastAsia="zh-CN"/>
              </w:rPr>
              <w:t xml:space="preserve">    </w:t>
            </w:r>
            <w:r>
              <w:rPr>
                <w:rFonts w:hint="eastAsia"/>
                <w:b/>
                <w:bCs/>
              </w:rPr>
              <w:t>师：</w:t>
            </w:r>
          </w:p>
        </w:tc>
        <w:tc>
          <w:tcPr>
            <w:tcW w:w="302" w:type="dxa"/>
            <w:tcBorders>
              <w:top w:val="nil"/>
              <w:left w:val="nil"/>
              <w:bottom w:val="nil"/>
              <w:right w:val="nil"/>
            </w:tcBorders>
            <w:vAlign w:val="center"/>
          </w:tcPr>
          <w:p w14:paraId="598022F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3CB0A9B">
            <w:pPr>
              <w:pStyle w:val="170"/>
              <w:ind w:firstLine="0" w:firstLineChars="0"/>
              <w:jc w:val="center"/>
              <w:rPr>
                <w:rFonts w:eastAsia="宋体"/>
                <w:b/>
                <w:bCs/>
                <w:lang w:eastAsia="zh-CN"/>
              </w:rPr>
            </w:pPr>
            <w:r>
              <w:rPr>
                <w:rFonts w:hint="eastAsia" w:eastAsia="宋体"/>
                <w:b/>
                <w:bCs/>
                <w:lang w:eastAsia="zh-CN"/>
              </w:rPr>
              <w:t>王绪琴</w:t>
            </w:r>
          </w:p>
        </w:tc>
        <w:tc>
          <w:tcPr>
            <w:tcW w:w="1162" w:type="dxa"/>
            <w:vMerge w:val="continue"/>
            <w:tcBorders>
              <w:top w:val="nil"/>
              <w:left w:val="nil"/>
              <w:bottom w:val="nil"/>
              <w:right w:val="nil"/>
            </w:tcBorders>
            <w:vAlign w:val="center"/>
          </w:tcPr>
          <w:p w14:paraId="3F62B16D">
            <w:pPr>
              <w:jc w:val="distribute"/>
              <w:rPr>
                <w:rFonts w:eastAsia="楷体_GB2312"/>
                <w:color w:val="000000"/>
                <w:sz w:val="52"/>
              </w:rPr>
            </w:pPr>
          </w:p>
        </w:tc>
      </w:tr>
      <w:tr w14:paraId="36AF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BD58F98">
            <w:pPr>
              <w:rPr>
                <w:rFonts w:eastAsia="楷体_GB2312"/>
                <w:color w:val="000000"/>
                <w:sz w:val="52"/>
              </w:rPr>
            </w:pPr>
          </w:p>
        </w:tc>
        <w:tc>
          <w:tcPr>
            <w:tcW w:w="3352" w:type="dxa"/>
            <w:gridSpan w:val="2"/>
            <w:tcBorders>
              <w:top w:val="nil"/>
              <w:left w:val="nil"/>
              <w:bottom w:val="nil"/>
              <w:right w:val="nil"/>
            </w:tcBorders>
            <w:vAlign w:val="center"/>
          </w:tcPr>
          <w:p w14:paraId="4AF2BD91">
            <w:pPr>
              <w:pStyle w:val="17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D5F4D8C">
            <w:pPr>
              <w:pStyle w:val="170"/>
              <w:ind w:firstLine="1968"/>
              <w:rPr>
                <w:b/>
                <w:bCs/>
              </w:rPr>
            </w:pPr>
            <w:r>
              <w:rPr>
                <w:rFonts w:hint="eastAsia"/>
                <w:b/>
                <w:bCs/>
              </w:rPr>
              <w:t>：</w:t>
            </w:r>
          </w:p>
        </w:tc>
        <w:tc>
          <w:tcPr>
            <w:tcW w:w="2892" w:type="dxa"/>
            <w:gridSpan w:val="2"/>
            <w:tcBorders>
              <w:top w:val="nil"/>
              <w:left w:val="nil"/>
              <w:bottom w:val="nil"/>
              <w:right w:val="nil"/>
            </w:tcBorders>
            <w:vAlign w:val="center"/>
          </w:tcPr>
          <w:p w14:paraId="2C2EE6F3">
            <w:pPr>
              <w:pStyle w:val="170"/>
              <w:ind w:firstLine="0" w:firstLineChars="0"/>
              <w:jc w:val="both"/>
              <w:rPr>
                <w:rFonts w:eastAsia="宋体"/>
                <w:b/>
                <w:bCs/>
                <w:lang w:eastAsia="zh-CN"/>
              </w:rPr>
            </w:pPr>
            <w:r>
              <w:rPr>
                <w:rFonts w:hint="eastAsia" w:eastAsia="宋体"/>
                <w:b/>
                <w:bCs/>
                <w:lang w:eastAsia="zh-CN"/>
              </w:rPr>
              <w:t>明清中西文化交流史</w:t>
            </w:r>
          </w:p>
        </w:tc>
        <w:tc>
          <w:tcPr>
            <w:tcW w:w="1162" w:type="dxa"/>
            <w:vMerge w:val="continue"/>
            <w:tcBorders>
              <w:top w:val="nil"/>
              <w:left w:val="nil"/>
              <w:bottom w:val="nil"/>
              <w:right w:val="nil"/>
            </w:tcBorders>
            <w:vAlign w:val="center"/>
          </w:tcPr>
          <w:p w14:paraId="1E5ED21E">
            <w:pPr>
              <w:jc w:val="distribute"/>
              <w:rPr>
                <w:rFonts w:eastAsia="楷体_GB2312"/>
                <w:color w:val="000000"/>
                <w:sz w:val="52"/>
              </w:rPr>
            </w:pPr>
          </w:p>
        </w:tc>
      </w:tr>
      <w:tr w14:paraId="18E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8918" w:type="dxa"/>
            <w:gridSpan w:val="8"/>
            <w:tcBorders>
              <w:top w:val="nil"/>
              <w:left w:val="nil"/>
              <w:bottom w:val="nil"/>
              <w:right w:val="nil"/>
            </w:tcBorders>
          </w:tcPr>
          <w:p w14:paraId="09C9AC6F">
            <w:pPr>
              <w:pStyle w:val="171"/>
              <w:ind w:firstLine="5600" w:firstLineChars="2000"/>
              <w:jc w:val="both"/>
              <w:rPr>
                <w:lang w:eastAsia="zh-CN"/>
              </w:rPr>
            </w:pPr>
            <w:r>
              <w:rPr>
                <w:rFonts w:hint="eastAsia"/>
                <w:sz w:val="28"/>
                <w:szCs w:val="28"/>
                <w:lang w:eastAsia="zh-CN"/>
              </w:rPr>
              <w:t xml:space="preserve">2026 </w:t>
            </w:r>
            <w:r>
              <w:rPr>
                <w:rFonts w:hint="eastAsia"/>
                <w:sz w:val="28"/>
                <w:szCs w:val="28"/>
              </w:rPr>
              <w:t xml:space="preserve">年 </w:t>
            </w:r>
            <w:r>
              <w:rPr>
                <w:rFonts w:hint="eastAsia"/>
                <w:sz w:val="28"/>
                <w:szCs w:val="28"/>
                <w:lang w:eastAsia="zh-CN"/>
              </w:rPr>
              <w:t>6</w:t>
            </w:r>
            <w:r>
              <w:rPr>
                <w:rFonts w:hint="eastAsia"/>
                <w:sz w:val="28"/>
                <w:szCs w:val="28"/>
              </w:rPr>
              <w:t>月</w:t>
            </w:r>
            <w:r>
              <w:rPr>
                <w:rFonts w:hint="eastAsia"/>
                <w:sz w:val="28"/>
                <w:szCs w:val="28"/>
                <w:lang w:eastAsia="zh-CN"/>
              </w:rPr>
              <w:t xml:space="preserve"> 1 日</w:t>
            </w:r>
          </w:p>
        </w:tc>
      </w:tr>
    </w:tbl>
    <w:p w14:paraId="3507EB31">
      <w:pPr>
        <w:spacing w:after="36064" w:line="360" w:lineRule="auto"/>
      </w:pPr>
      <w:r>
        <w:rPr>
          <w:rFonts w:hint="eastAsia" w:eastAsia="楷体_GB2312"/>
          <w:b/>
          <w:sz w:val="32"/>
          <w:szCs w:val="32"/>
        </w:rPr>
        <w:br w:type="page"/>
      </w:r>
    </w:p>
    <w:p w14:paraId="0BD682C8">
      <w:pPr>
        <w:tabs>
          <w:tab w:val="left" w:pos="4400"/>
        </w:tabs>
        <w:wordWrap w:val="0"/>
        <w:spacing w:before="31680" w:after="31680" w:line="360" w:lineRule="auto"/>
        <w:ind w:firstLine="4160" w:firstLineChars="1300"/>
        <w:jc w:val="both"/>
        <w:rPr>
          <w:rFonts w:ascii="宋体" w:hAnsi="宋体" w:eastAsia="宋体"/>
          <w:sz w:val="24"/>
          <w:lang w:eastAsia="zh-CN"/>
        </w:rPr>
      </w:pPr>
      <w:r>
        <w:rPr>
          <w:rFonts w:hint="eastAsia" w:ascii="宋体" w:hAnsi="宋体" w:eastAsia="宋体"/>
          <w:sz w:val="32"/>
          <w:lang w:eastAsia="zh-CN"/>
        </w:rPr>
        <w:t>摘要</w:t>
      </w:r>
      <w:r>
        <w:rPr>
          <w:rFonts w:hint="eastAsia" w:ascii="宋体" w:hAnsi="宋体" w:eastAsia="宋体"/>
          <w:sz w:val="24"/>
          <w:lang w:eastAsia="zh-CN"/>
        </w:rPr>
        <w:t xml:space="preserve">                                       </w:t>
      </w:r>
      <w:r>
        <w:rPr>
          <w:rFonts w:ascii="宋体" w:hAnsi="宋体" w:eastAsia="宋体"/>
          <w:sz w:val="24"/>
          <w:lang w:eastAsia="zh-C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接受—意义”为主线：首先分析利玛窦在《天主实义》中采用的“釜底抽薪”与“借壳上市”两种修辞策略；其次考察明清士大夫（徐光启、李贽、黄宗羲等）对利玛窦理论的接受与变异，展示“创造性误解”在跨文化传播中的关键作用；再次揭示“以西格中”的概念化过程，即用阿奎那式的“存有”层级学说改造宋儒的“理—气—太极”体系；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r>
        <w:rPr>
          <w:rFonts w:hint="eastAsia" w:ascii="宋体" w:hAnsi="宋体" w:eastAsia="宋体"/>
          <w:sz w:val="24"/>
          <w:lang w:eastAsia="zh-CN"/>
        </w:rPr>
        <w:t xml:space="preserve">                                                                      </w:t>
      </w:r>
      <w:r>
        <w:rPr>
          <w:rFonts w:ascii="黑体" w:hAnsi="黑体" w:eastAsia="黑体"/>
          <w:b/>
          <w:sz w:val="24"/>
          <w:lang w:eastAsia="zh-CN"/>
        </w:rPr>
        <w:t>关键词：</w:t>
      </w:r>
      <w:r>
        <w:rPr>
          <w:rFonts w:ascii="宋体" w:hAnsi="宋体" w:eastAsia="宋体"/>
          <w:sz w:val="24"/>
          <w:lang w:eastAsia="zh-CN"/>
        </w:rPr>
        <w:t>利玛窦；《天主实义》；理与太极；耶儒对话；概念挪用</w:t>
      </w:r>
    </w:p>
    <w:p w14:paraId="3F63ED2D">
      <w:pPr>
        <w:spacing w:before="2" w:after="2" w:line="240" w:lineRule="auto"/>
        <w:ind w:hanging="170"/>
        <w:jc w:val="center"/>
        <w:rPr>
          <w:rFonts w:hint="eastAsia" w:ascii="宋体" w:hAnsi="宋体" w:eastAsia="宋体"/>
          <w:b/>
          <w:sz w:val="32"/>
          <w:szCs w:val="32"/>
          <w:lang w:eastAsia="zh-CN"/>
        </w:rPr>
      </w:pPr>
      <w:r>
        <w:rPr>
          <w:rFonts w:hint="eastAsia" w:ascii="宋体" w:hAnsi="宋体" w:eastAsia="宋体"/>
          <w:b/>
          <w:sz w:val="32"/>
          <w:szCs w:val="32"/>
          <w:lang w:eastAsia="zh-CN"/>
        </w:rPr>
        <w:t>目录</w:t>
      </w:r>
    </w:p>
    <w:p w14:paraId="778EABDD">
      <w:pPr>
        <w:spacing w:before="2" w:after="2" w:line="240" w:lineRule="auto"/>
        <w:ind w:hanging="170"/>
        <w:rPr>
          <w:lang w:eastAsia="zh-CN"/>
        </w:rPr>
      </w:pPr>
      <w:r>
        <w:rPr>
          <w:rFonts w:ascii="宋体" w:hAnsi="宋体" w:eastAsia="宋体"/>
          <w:b/>
          <w:sz w:val="24"/>
          <w:lang w:eastAsia="zh-CN"/>
        </w:rPr>
        <w:t>引  言</w:t>
      </w:r>
    </w:p>
    <w:p w14:paraId="3764394B">
      <w:pPr>
        <w:spacing w:before="2" w:after="2" w:line="240" w:lineRule="auto"/>
        <w:ind w:left="283" w:hanging="170"/>
        <w:rPr>
          <w:lang w:eastAsia="zh-CN"/>
        </w:rPr>
      </w:pPr>
      <w:r>
        <w:rPr>
          <w:rFonts w:ascii="宋体" w:hAnsi="宋体" w:eastAsia="宋体"/>
          <w:b/>
          <w:sz w:val="24"/>
          <w:lang w:eastAsia="zh-CN"/>
        </w:rPr>
        <w:t>一、问题缘起</w:t>
      </w:r>
    </w:p>
    <w:p w14:paraId="1AF6BD67">
      <w:pPr>
        <w:spacing w:before="2" w:after="2" w:line="240" w:lineRule="auto"/>
        <w:ind w:left="283" w:hanging="170"/>
        <w:rPr>
          <w:lang w:eastAsia="zh-CN"/>
        </w:rPr>
      </w:pPr>
      <w:r>
        <w:rPr>
          <w:rFonts w:ascii="宋体" w:hAnsi="宋体" w:eastAsia="宋体"/>
          <w:b/>
          <w:sz w:val="24"/>
          <w:lang w:eastAsia="zh-CN"/>
        </w:rPr>
        <w:t>二、研究现状</w:t>
      </w:r>
    </w:p>
    <w:p w14:paraId="06CCD304">
      <w:pPr>
        <w:spacing w:before="2" w:after="2" w:line="240" w:lineRule="auto"/>
        <w:ind w:left="283" w:hanging="170"/>
        <w:rPr>
          <w:lang w:eastAsia="zh-CN"/>
        </w:rPr>
      </w:pPr>
      <w:r>
        <w:rPr>
          <w:rFonts w:ascii="宋体" w:hAnsi="宋体" w:eastAsia="宋体"/>
          <w:b/>
          <w:sz w:val="24"/>
          <w:lang w:eastAsia="zh-CN"/>
        </w:rPr>
        <w:t>三、方法与主线</w:t>
      </w:r>
    </w:p>
    <w:p w14:paraId="7AC7F593">
      <w:pPr>
        <w:spacing w:before="2" w:after="2" w:line="240" w:lineRule="auto"/>
        <w:ind w:left="283" w:hanging="170"/>
        <w:rPr>
          <w:lang w:eastAsia="zh-CN"/>
        </w:rPr>
      </w:pPr>
      <w:r>
        <w:rPr>
          <w:rFonts w:ascii="宋体" w:hAnsi="宋体" w:eastAsia="宋体"/>
          <w:b/>
          <w:sz w:val="24"/>
          <w:lang w:eastAsia="zh-CN"/>
        </w:rPr>
        <w:t>四、译名实践的思想史意义</w:t>
      </w:r>
    </w:p>
    <w:p w14:paraId="64250049">
      <w:pPr>
        <w:spacing w:before="2" w:after="2" w:line="240" w:lineRule="auto"/>
        <w:ind w:hanging="170"/>
        <w:rPr>
          <w:lang w:eastAsia="zh-CN"/>
        </w:rPr>
      </w:pPr>
      <w:r>
        <w:rPr>
          <w:rFonts w:ascii="宋体" w:hAnsi="宋体" w:eastAsia="宋体"/>
          <w:b/>
          <w:sz w:val="24"/>
          <w:lang w:eastAsia="zh-CN"/>
        </w:rPr>
        <w:t>第一章 利玛窦面对的“理—太极”困境</w:t>
      </w:r>
    </w:p>
    <w:p w14:paraId="7A88E255">
      <w:pPr>
        <w:spacing w:before="2" w:after="2" w:line="240" w:lineRule="auto"/>
        <w:ind w:left="283" w:hanging="170"/>
        <w:rPr>
          <w:lang w:eastAsia="zh-CN"/>
        </w:rPr>
      </w:pPr>
      <w:r>
        <w:rPr>
          <w:rFonts w:ascii="宋体" w:hAnsi="宋体" w:eastAsia="宋体"/>
          <w:b/>
          <w:sz w:val="24"/>
          <w:lang w:eastAsia="zh-CN"/>
        </w:rPr>
        <w:t>第一节 宋儒体系中的“理”与“太极”</w:t>
      </w:r>
    </w:p>
    <w:p w14:paraId="705FD3B5">
      <w:pPr>
        <w:spacing w:before="2" w:after="2" w:line="240" w:lineRule="auto"/>
        <w:ind w:left="567" w:hanging="170"/>
        <w:rPr>
          <w:lang w:eastAsia="zh-CN"/>
        </w:rPr>
      </w:pPr>
      <w:r>
        <w:rPr>
          <w:rFonts w:ascii="宋体" w:hAnsi="宋体" w:eastAsia="宋体"/>
          <w:sz w:val="24"/>
          <w:lang w:eastAsia="zh-CN"/>
        </w:rPr>
        <w:t>一、“太极”的词源与哲学化过程</w:t>
      </w:r>
    </w:p>
    <w:p w14:paraId="2749B846">
      <w:pPr>
        <w:spacing w:before="2" w:after="2" w:line="240" w:lineRule="auto"/>
        <w:ind w:left="567" w:hanging="170"/>
        <w:rPr>
          <w:lang w:eastAsia="zh-CN"/>
        </w:rPr>
      </w:pPr>
      <w:r>
        <w:rPr>
          <w:rFonts w:ascii="宋体" w:hAnsi="宋体" w:eastAsia="宋体"/>
          <w:sz w:val="24"/>
          <w:lang w:eastAsia="zh-CN"/>
        </w:rPr>
        <w:t>二、“理”的多重含义</w:t>
      </w:r>
    </w:p>
    <w:p w14:paraId="522F1019">
      <w:pPr>
        <w:spacing w:before="2" w:after="2" w:line="240" w:lineRule="auto"/>
        <w:ind w:left="567" w:hanging="170"/>
        <w:rPr>
          <w:lang w:eastAsia="zh-CN"/>
        </w:rPr>
      </w:pPr>
      <w:r>
        <w:rPr>
          <w:rFonts w:ascii="宋体" w:hAnsi="宋体" w:eastAsia="宋体"/>
          <w:sz w:val="24"/>
          <w:lang w:eastAsia="zh-CN"/>
        </w:rPr>
        <w:t>三、“太极即理”的理论张力</w:t>
      </w:r>
    </w:p>
    <w:p w14:paraId="72897189">
      <w:pPr>
        <w:spacing w:before="2" w:after="2" w:line="240" w:lineRule="auto"/>
        <w:ind w:left="283" w:hanging="170"/>
        <w:rPr>
          <w:lang w:eastAsia="zh-CN"/>
        </w:rPr>
      </w:pPr>
      <w:r>
        <w:rPr>
          <w:rFonts w:ascii="宋体" w:hAnsi="宋体" w:eastAsia="宋体"/>
          <w:b/>
          <w:sz w:val="24"/>
          <w:lang w:eastAsia="zh-CN"/>
        </w:rPr>
        <w:t>第二节 《天主实义》的文本结构与论辩策略</w:t>
      </w:r>
    </w:p>
    <w:p w14:paraId="1DD58889">
      <w:pPr>
        <w:spacing w:before="2" w:after="2" w:line="240" w:lineRule="auto"/>
        <w:ind w:left="567" w:hanging="170"/>
        <w:rPr>
          <w:lang w:eastAsia="zh-CN"/>
        </w:rPr>
      </w:pPr>
      <w:r>
        <w:rPr>
          <w:rFonts w:ascii="宋体" w:hAnsi="宋体" w:eastAsia="宋体"/>
          <w:sz w:val="24"/>
          <w:lang w:eastAsia="zh-CN"/>
        </w:rPr>
        <w:t>一、“中士”与“西士”的对话形式</w:t>
      </w:r>
    </w:p>
    <w:p w14:paraId="23E3BBAD">
      <w:pPr>
        <w:spacing w:before="2" w:after="2" w:line="240" w:lineRule="auto"/>
        <w:ind w:left="567" w:hanging="170"/>
        <w:rPr>
          <w:lang w:eastAsia="zh-CN"/>
        </w:rPr>
      </w:pPr>
      <w:r>
        <w:rPr>
          <w:rFonts w:ascii="宋体" w:hAnsi="宋体" w:eastAsia="宋体"/>
          <w:sz w:val="24"/>
          <w:lang w:eastAsia="zh-CN"/>
        </w:rPr>
        <w:t>二、利玛窦对“太极”的批判</w:t>
      </w:r>
    </w:p>
    <w:p w14:paraId="72A38F65">
      <w:pPr>
        <w:spacing w:before="2" w:after="2" w:line="240" w:lineRule="auto"/>
        <w:ind w:left="567" w:hanging="170"/>
        <w:rPr>
          <w:lang w:eastAsia="zh-CN"/>
        </w:rPr>
      </w:pPr>
      <w:r>
        <w:rPr>
          <w:rFonts w:ascii="宋体" w:hAnsi="宋体" w:eastAsia="宋体"/>
          <w:sz w:val="24"/>
          <w:lang w:eastAsia="zh-CN"/>
        </w:rPr>
        <w:t>三、将“理”判定为“依赖者”</w:t>
      </w:r>
    </w:p>
    <w:p w14:paraId="07C114B3">
      <w:pPr>
        <w:spacing w:before="2" w:after="2" w:line="240" w:lineRule="auto"/>
        <w:ind w:left="283" w:hanging="170"/>
        <w:rPr>
          <w:lang w:eastAsia="zh-CN"/>
        </w:rPr>
      </w:pPr>
      <w:r>
        <w:rPr>
          <w:rFonts w:ascii="宋体" w:hAnsi="宋体" w:eastAsia="宋体"/>
          <w:b/>
          <w:sz w:val="24"/>
          <w:lang w:eastAsia="zh-CN"/>
        </w:rPr>
        <w:t>第三节 两种本体论路径的相遇与错位</w:t>
      </w:r>
    </w:p>
    <w:p w14:paraId="1543C603">
      <w:pPr>
        <w:spacing w:before="2" w:after="2" w:line="240" w:lineRule="auto"/>
        <w:ind w:left="567" w:hanging="170"/>
        <w:rPr>
          <w:lang w:eastAsia="zh-CN"/>
        </w:rPr>
      </w:pPr>
      <w:r>
        <w:rPr>
          <w:rFonts w:ascii="宋体" w:hAnsi="宋体" w:eastAsia="宋体"/>
          <w:sz w:val="24"/>
          <w:lang w:eastAsia="zh-CN"/>
        </w:rPr>
        <w:t>一、从“理”与“上帝”的错位看跨文化对话的困境</w:t>
      </w:r>
    </w:p>
    <w:p w14:paraId="6410104B">
      <w:pPr>
        <w:spacing w:before="2" w:after="2" w:line="240" w:lineRule="auto"/>
        <w:ind w:left="567" w:hanging="170"/>
        <w:rPr>
          <w:lang w:eastAsia="zh-CN"/>
        </w:rPr>
      </w:pPr>
      <w:r>
        <w:rPr>
          <w:rFonts w:ascii="宋体" w:hAnsi="宋体" w:eastAsia="宋体"/>
          <w:sz w:val="24"/>
          <w:lang w:eastAsia="zh-CN"/>
        </w:rPr>
        <w:t>二、谁误解了谁？</w:t>
      </w:r>
    </w:p>
    <w:p w14:paraId="574DF7B8">
      <w:pPr>
        <w:spacing w:before="2" w:after="2" w:line="240" w:lineRule="auto"/>
        <w:ind w:left="283" w:hanging="170"/>
        <w:rPr>
          <w:lang w:eastAsia="zh-CN"/>
        </w:rPr>
      </w:pPr>
      <w:r>
        <w:rPr>
          <w:rFonts w:ascii="宋体" w:hAnsi="宋体" w:eastAsia="宋体"/>
          <w:b/>
          <w:sz w:val="24"/>
          <w:lang w:eastAsia="zh-CN"/>
        </w:rPr>
        <w:t>本章小结</w:t>
      </w:r>
    </w:p>
    <w:p w14:paraId="65252BF4">
      <w:pPr>
        <w:spacing w:before="2" w:after="2" w:line="240" w:lineRule="auto"/>
        <w:ind w:hanging="170"/>
        <w:rPr>
          <w:lang w:eastAsia="zh-CN"/>
        </w:rPr>
      </w:pPr>
      <w:r>
        <w:rPr>
          <w:rFonts w:ascii="宋体" w:hAnsi="宋体" w:eastAsia="宋体"/>
          <w:b/>
          <w:sz w:val="24"/>
          <w:lang w:eastAsia="zh-CN"/>
        </w:rPr>
        <w:t>第二章 概念挪用与改造</w:t>
      </w:r>
    </w:p>
    <w:p w14:paraId="5E140EDF">
      <w:pPr>
        <w:spacing w:before="2" w:after="2" w:line="240" w:lineRule="auto"/>
        <w:ind w:left="283" w:hanging="170"/>
        <w:rPr>
          <w:lang w:eastAsia="zh-CN"/>
        </w:rPr>
      </w:pPr>
      <w:r>
        <w:rPr>
          <w:rFonts w:ascii="宋体" w:hAnsi="宋体" w:eastAsia="宋体"/>
          <w:b/>
          <w:sz w:val="24"/>
          <w:lang w:eastAsia="zh-CN"/>
        </w:rPr>
        <w:t>第一节 “釜底抽薪”：拆解“理”与“太极”的本体论地位</w:t>
      </w:r>
    </w:p>
    <w:p w14:paraId="428B7C0B">
      <w:pPr>
        <w:spacing w:before="2" w:after="2" w:line="240" w:lineRule="auto"/>
        <w:ind w:left="567" w:hanging="170"/>
        <w:rPr>
          <w:lang w:eastAsia="zh-CN"/>
        </w:rPr>
      </w:pPr>
      <w:r>
        <w:rPr>
          <w:rFonts w:ascii="宋体" w:hAnsi="宋体" w:eastAsia="宋体"/>
          <w:sz w:val="24"/>
          <w:lang w:eastAsia="zh-CN"/>
        </w:rPr>
        <w:t>一、概念层级的下移</w:t>
      </w:r>
    </w:p>
    <w:p w14:paraId="7C229593">
      <w:pPr>
        <w:spacing w:before="2" w:after="2" w:line="240" w:lineRule="auto"/>
        <w:ind w:left="567" w:hanging="170"/>
        <w:rPr>
          <w:lang w:eastAsia="zh-CN"/>
        </w:rPr>
      </w:pPr>
      <w:r>
        <w:rPr>
          <w:rFonts w:ascii="宋体" w:hAnsi="宋体" w:eastAsia="宋体"/>
          <w:sz w:val="24"/>
          <w:lang w:eastAsia="zh-CN"/>
        </w:rPr>
        <w:t>二、功能属性的剥离</w:t>
      </w:r>
    </w:p>
    <w:p w14:paraId="55D1119A">
      <w:pPr>
        <w:spacing w:before="2" w:after="2" w:line="240" w:lineRule="auto"/>
        <w:ind w:left="567" w:hanging="170"/>
        <w:rPr>
          <w:lang w:eastAsia="zh-CN"/>
        </w:rPr>
      </w:pPr>
      <w:r>
        <w:rPr>
          <w:rFonts w:ascii="宋体" w:hAnsi="宋体" w:eastAsia="宋体"/>
          <w:sz w:val="24"/>
          <w:lang w:eastAsia="zh-CN"/>
        </w:rPr>
        <w:t>三、经典权威的反转</w:t>
      </w:r>
    </w:p>
    <w:p w14:paraId="509D1BAF">
      <w:pPr>
        <w:spacing w:before="2" w:after="2" w:line="240" w:lineRule="auto"/>
        <w:ind w:left="283" w:hanging="170"/>
        <w:rPr>
          <w:lang w:eastAsia="zh-CN"/>
        </w:rPr>
      </w:pPr>
      <w:r>
        <w:rPr>
          <w:rFonts w:ascii="宋体" w:hAnsi="宋体" w:eastAsia="宋体"/>
          <w:b/>
          <w:sz w:val="24"/>
          <w:lang w:eastAsia="zh-CN"/>
        </w:rPr>
        <w:t>第二节 “借壳上市”：重塑“上帝”概念的权威性</w:t>
      </w:r>
    </w:p>
    <w:p w14:paraId="363BE124">
      <w:pPr>
        <w:spacing w:before="2" w:after="2" w:line="240" w:lineRule="auto"/>
        <w:ind w:left="567" w:hanging="170"/>
        <w:rPr>
          <w:lang w:eastAsia="zh-CN"/>
        </w:rPr>
      </w:pPr>
      <w:r>
        <w:rPr>
          <w:rFonts w:ascii="宋体" w:hAnsi="宋体" w:eastAsia="宋体"/>
          <w:sz w:val="24"/>
          <w:lang w:eastAsia="zh-CN"/>
        </w:rPr>
        <w:t>一、重新定义“上帝”</w:t>
      </w:r>
    </w:p>
    <w:p w14:paraId="3238F061">
      <w:pPr>
        <w:spacing w:before="2" w:after="2" w:line="240" w:lineRule="auto"/>
        <w:ind w:left="567" w:hanging="170"/>
        <w:rPr>
          <w:lang w:eastAsia="zh-CN"/>
        </w:rPr>
      </w:pPr>
      <w:r>
        <w:rPr>
          <w:rFonts w:ascii="宋体" w:hAnsi="宋体" w:eastAsia="宋体"/>
          <w:sz w:val="24"/>
          <w:lang w:eastAsia="zh-CN"/>
        </w:rPr>
        <w:t>二、经典证据的拼合</w:t>
      </w:r>
    </w:p>
    <w:p w14:paraId="4D6A8BF5">
      <w:pPr>
        <w:spacing w:before="2" w:after="2" w:line="240" w:lineRule="auto"/>
        <w:ind w:left="567" w:hanging="170"/>
        <w:rPr>
          <w:lang w:eastAsia="zh-CN"/>
        </w:rPr>
      </w:pPr>
      <w:r>
        <w:rPr>
          <w:rFonts w:ascii="宋体" w:hAnsi="宋体" w:eastAsia="宋体"/>
          <w:sz w:val="24"/>
          <w:lang w:eastAsia="zh-CN"/>
        </w:rPr>
        <w:t>三、“借壳”还是“换核”？</w:t>
      </w:r>
    </w:p>
    <w:p w14:paraId="0B88243A">
      <w:pPr>
        <w:spacing w:before="2" w:after="2" w:line="240" w:lineRule="auto"/>
        <w:ind w:left="283" w:hanging="170"/>
        <w:rPr>
          <w:lang w:eastAsia="zh-CN"/>
        </w:rPr>
      </w:pPr>
      <w:r>
        <w:rPr>
          <w:rFonts w:ascii="宋体" w:hAnsi="宋体" w:eastAsia="宋体"/>
          <w:b/>
          <w:sz w:val="24"/>
          <w:lang w:eastAsia="zh-CN"/>
        </w:rPr>
        <w:t>第三节 两种策略的内在关联与张力</w:t>
      </w:r>
    </w:p>
    <w:p w14:paraId="00E27FF8">
      <w:pPr>
        <w:spacing w:before="2" w:after="2" w:line="240" w:lineRule="auto"/>
        <w:ind w:left="567" w:hanging="170"/>
        <w:rPr>
          <w:lang w:eastAsia="zh-CN"/>
        </w:rPr>
      </w:pPr>
      <w:r>
        <w:rPr>
          <w:rFonts w:ascii="宋体" w:hAnsi="宋体" w:eastAsia="宋体"/>
          <w:sz w:val="24"/>
          <w:lang w:eastAsia="zh-CN"/>
        </w:rPr>
        <w:t>一、策略的内在统一</w:t>
      </w:r>
    </w:p>
    <w:p w14:paraId="0C53F7BB">
      <w:pPr>
        <w:spacing w:before="2" w:after="2" w:line="240" w:lineRule="auto"/>
        <w:ind w:left="567" w:hanging="170"/>
        <w:rPr>
          <w:lang w:eastAsia="zh-CN"/>
        </w:rPr>
      </w:pPr>
      <w:r>
        <w:rPr>
          <w:rFonts w:ascii="宋体" w:hAnsi="宋体" w:eastAsia="宋体"/>
          <w:sz w:val="24"/>
          <w:lang w:eastAsia="zh-CN"/>
        </w:rPr>
        <w:t>二、策略的内在张力</w:t>
      </w:r>
    </w:p>
    <w:p w14:paraId="0C5381FA">
      <w:pPr>
        <w:spacing w:before="2" w:after="2" w:line="240" w:lineRule="auto"/>
        <w:ind w:left="567" w:hanging="170"/>
        <w:rPr>
          <w:lang w:eastAsia="zh-CN"/>
        </w:rPr>
      </w:pPr>
      <w:r>
        <w:rPr>
          <w:rFonts w:ascii="宋体" w:hAnsi="宋体" w:eastAsia="宋体"/>
          <w:sz w:val="24"/>
          <w:lang w:eastAsia="zh-CN"/>
        </w:rPr>
        <w:t>三、概念挪用的深层本质</w:t>
      </w:r>
    </w:p>
    <w:p w14:paraId="7AAE05E8">
      <w:pPr>
        <w:spacing w:before="2" w:after="2" w:line="240" w:lineRule="auto"/>
        <w:ind w:left="283" w:hanging="170"/>
        <w:rPr>
          <w:lang w:eastAsia="zh-CN"/>
        </w:rPr>
      </w:pPr>
      <w:r>
        <w:rPr>
          <w:rFonts w:ascii="宋体" w:hAnsi="宋体" w:eastAsia="宋体"/>
          <w:b/>
          <w:sz w:val="24"/>
          <w:lang w:eastAsia="zh-CN"/>
        </w:rPr>
        <w:t>本章小结</w:t>
      </w:r>
    </w:p>
    <w:p w14:paraId="012592AE">
      <w:pPr>
        <w:spacing w:before="2" w:after="2" w:line="240" w:lineRule="auto"/>
        <w:ind w:hanging="170"/>
        <w:rPr>
          <w:lang w:eastAsia="zh-CN"/>
        </w:rPr>
      </w:pPr>
      <w:r>
        <w:rPr>
          <w:rFonts w:ascii="宋体" w:hAnsi="宋体" w:eastAsia="宋体"/>
          <w:b/>
          <w:sz w:val="24"/>
          <w:lang w:eastAsia="zh-CN"/>
        </w:rPr>
        <w:t>第三章 接受与变异</w:t>
      </w:r>
    </w:p>
    <w:p w14:paraId="1978BC9C">
      <w:pPr>
        <w:spacing w:before="2" w:after="2" w:line="240" w:lineRule="auto"/>
        <w:ind w:left="283" w:hanging="170"/>
        <w:rPr>
          <w:lang w:eastAsia="zh-CN"/>
        </w:rPr>
      </w:pPr>
      <w:r>
        <w:rPr>
          <w:rFonts w:ascii="宋体" w:hAnsi="宋体" w:eastAsia="宋体"/>
          <w:b/>
          <w:sz w:val="24"/>
          <w:lang w:eastAsia="zh-CN"/>
        </w:rPr>
        <w:t>第一节 接受的分野：三种不同类型的回应</w:t>
      </w:r>
    </w:p>
    <w:p w14:paraId="47E86445">
      <w:pPr>
        <w:spacing w:before="2" w:after="2" w:line="240" w:lineRule="auto"/>
        <w:ind w:left="567" w:hanging="170"/>
        <w:rPr>
          <w:lang w:eastAsia="zh-CN"/>
        </w:rPr>
      </w:pPr>
      <w:r>
        <w:rPr>
          <w:rFonts w:ascii="宋体" w:hAnsi="宋体" w:eastAsia="宋体"/>
          <w:sz w:val="24"/>
          <w:lang w:eastAsia="zh-CN"/>
        </w:rPr>
        <w:t>一、合作性接受</w:t>
      </w:r>
    </w:p>
    <w:p w14:paraId="395B87DE">
      <w:pPr>
        <w:spacing w:before="2" w:after="2" w:line="240" w:lineRule="auto"/>
        <w:ind w:left="567" w:hanging="170"/>
        <w:rPr>
          <w:lang w:eastAsia="zh-CN"/>
        </w:rPr>
      </w:pPr>
      <w:r>
        <w:rPr>
          <w:rFonts w:ascii="宋体" w:hAnsi="宋体" w:eastAsia="宋体"/>
          <w:sz w:val="24"/>
          <w:lang w:eastAsia="zh-CN"/>
        </w:rPr>
        <w:t>二、选择性借鉴</w:t>
      </w:r>
    </w:p>
    <w:p w14:paraId="077814E3">
      <w:pPr>
        <w:spacing w:before="2" w:after="2" w:line="240" w:lineRule="auto"/>
        <w:ind w:left="567" w:hanging="170"/>
        <w:rPr>
          <w:lang w:eastAsia="zh-CN"/>
        </w:rPr>
      </w:pPr>
      <w:r>
        <w:rPr>
          <w:rFonts w:ascii="宋体" w:hAnsi="宋体" w:eastAsia="宋体"/>
          <w:sz w:val="24"/>
          <w:lang w:eastAsia="zh-CN"/>
        </w:rPr>
        <w:t>三、批判性拒绝</w:t>
      </w:r>
    </w:p>
    <w:p w14:paraId="24C5F5A6">
      <w:pPr>
        <w:spacing w:before="2" w:after="2" w:line="240" w:lineRule="auto"/>
        <w:ind w:left="283" w:hanging="170"/>
        <w:rPr>
          <w:lang w:eastAsia="zh-CN"/>
        </w:rPr>
      </w:pPr>
      <w:r>
        <w:rPr>
          <w:rFonts w:ascii="宋体" w:hAnsi="宋体" w:eastAsia="宋体"/>
          <w:b/>
          <w:sz w:val="24"/>
          <w:lang w:eastAsia="zh-CN"/>
        </w:rPr>
        <w:t>第二节 “创造性误解”的机制分析</w:t>
      </w:r>
    </w:p>
    <w:p w14:paraId="596DA916">
      <w:pPr>
        <w:spacing w:before="2" w:after="2" w:line="240" w:lineRule="auto"/>
        <w:ind w:left="567" w:hanging="170"/>
        <w:rPr>
          <w:lang w:eastAsia="zh-CN"/>
        </w:rPr>
      </w:pPr>
      <w:r>
        <w:rPr>
          <w:rFonts w:ascii="宋体" w:hAnsi="宋体" w:eastAsia="宋体"/>
          <w:sz w:val="24"/>
          <w:lang w:eastAsia="zh-CN"/>
        </w:rPr>
        <w:t>一、“前理解”的结构性制约</w:t>
      </w:r>
    </w:p>
    <w:p w14:paraId="5EFC8B47">
      <w:pPr>
        <w:spacing w:before="2" w:after="2" w:line="240" w:lineRule="auto"/>
        <w:ind w:left="567" w:hanging="170"/>
        <w:rPr>
          <w:lang w:eastAsia="zh-CN"/>
        </w:rPr>
      </w:pPr>
      <w:r>
        <w:rPr>
          <w:rFonts w:ascii="宋体" w:hAnsi="宋体" w:eastAsia="宋体"/>
          <w:sz w:val="24"/>
          <w:lang w:eastAsia="zh-CN"/>
        </w:rPr>
        <w:t>二、“意义的游移”</w:t>
      </w:r>
    </w:p>
    <w:p w14:paraId="19781E47">
      <w:pPr>
        <w:spacing w:before="2" w:after="2" w:line="240" w:lineRule="auto"/>
        <w:ind w:left="567" w:hanging="170"/>
        <w:rPr>
          <w:lang w:eastAsia="zh-CN"/>
        </w:rPr>
      </w:pPr>
      <w:r>
        <w:rPr>
          <w:rFonts w:ascii="宋体" w:hAnsi="宋体" w:eastAsia="宋体"/>
          <w:sz w:val="24"/>
          <w:lang w:eastAsia="zh-CN"/>
        </w:rPr>
        <w:t>三、“创造性误解”的历史效果</w:t>
      </w:r>
    </w:p>
    <w:p w14:paraId="302E4A75">
      <w:pPr>
        <w:spacing w:before="2" w:after="2" w:line="240" w:lineRule="auto"/>
        <w:ind w:left="567" w:hanging="170"/>
        <w:rPr>
          <w:lang w:eastAsia="zh-CN"/>
        </w:rPr>
      </w:pPr>
      <w:r>
        <w:rPr>
          <w:rFonts w:ascii="宋体" w:hAnsi="宋体" w:eastAsia="宋体"/>
          <w:sz w:val="24"/>
          <w:lang w:eastAsia="zh-CN"/>
        </w:rPr>
        <w:t>四、“误解”作为跨文化传播的常态与动力</w:t>
      </w:r>
    </w:p>
    <w:p w14:paraId="7AEB3AF9">
      <w:pPr>
        <w:spacing w:before="2" w:after="2" w:line="240" w:lineRule="auto"/>
        <w:ind w:left="283" w:hanging="170"/>
        <w:rPr>
          <w:lang w:eastAsia="zh-CN"/>
        </w:rPr>
      </w:pPr>
      <w:r>
        <w:rPr>
          <w:rFonts w:ascii="宋体" w:hAnsi="宋体" w:eastAsia="宋体"/>
          <w:b/>
          <w:sz w:val="24"/>
          <w:lang w:eastAsia="zh-CN"/>
        </w:rPr>
        <w:t>第三节 从“礼仪之争”到思想遗产</w:t>
      </w:r>
    </w:p>
    <w:p w14:paraId="2D4265CF">
      <w:pPr>
        <w:spacing w:before="2" w:after="2" w:line="240" w:lineRule="auto"/>
        <w:ind w:left="567" w:hanging="170"/>
        <w:rPr>
          <w:lang w:eastAsia="zh-CN"/>
        </w:rPr>
      </w:pPr>
      <w:r>
        <w:rPr>
          <w:rFonts w:ascii="宋体" w:hAnsi="宋体" w:eastAsia="宋体"/>
          <w:sz w:val="24"/>
          <w:lang w:eastAsia="zh-CN"/>
        </w:rPr>
        <w:t>一、“礼仪之争”中的核心分歧</w:t>
      </w:r>
    </w:p>
    <w:p w14:paraId="674879B5">
      <w:pPr>
        <w:spacing w:before="2" w:after="2" w:line="240" w:lineRule="auto"/>
        <w:ind w:left="567" w:hanging="170"/>
        <w:rPr>
          <w:lang w:eastAsia="zh-CN"/>
        </w:rPr>
      </w:pPr>
      <w:r>
        <w:rPr>
          <w:rFonts w:ascii="宋体" w:hAnsi="宋体" w:eastAsia="宋体"/>
          <w:sz w:val="24"/>
          <w:lang w:eastAsia="zh-CN"/>
        </w:rPr>
        <w:t>二、利玛窦策略的未完成性</w:t>
      </w:r>
    </w:p>
    <w:p w14:paraId="627207D8">
      <w:pPr>
        <w:spacing w:before="2" w:after="2" w:line="240" w:lineRule="auto"/>
        <w:ind w:left="567" w:hanging="170"/>
        <w:rPr>
          <w:lang w:eastAsia="zh-CN"/>
        </w:rPr>
      </w:pPr>
      <w:r>
        <w:rPr>
          <w:rFonts w:ascii="宋体" w:hAnsi="宋体" w:eastAsia="宋体"/>
          <w:sz w:val="24"/>
          <w:lang w:eastAsia="zh-CN"/>
        </w:rPr>
        <w:t>三、利玛窦案例的思想遗产</w:t>
      </w:r>
    </w:p>
    <w:p w14:paraId="4BA3C34F">
      <w:pPr>
        <w:spacing w:before="2" w:after="2" w:line="240" w:lineRule="auto"/>
        <w:ind w:left="283" w:hanging="170"/>
        <w:rPr>
          <w:lang w:eastAsia="zh-CN"/>
        </w:rPr>
      </w:pPr>
      <w:r>
        <w:rPr>
          <w:rFonts w:ascii="宋体" w:hAnsi="宋体" w:eastAsia="宋体"/>
          <w:b/>
          <w:sz w:val="24"/>
          <w:lang w:eastAsia="zh-CN"/>
        </w:rPr>
        <w:t>本章小结</w:t>
      </w:r>
    </w:p>
    <w:p w14:paraId="64887F5F">
      <w:pPr>
        <w:spacing w:before="2" w:after="2" w:line="240" w:lineRule="auto"/>
        <w:ind w:hanging="170"/>
        <w:rPr>
          <w:lang w:eastAsia="zh-CN"/>
        </w:rPr>
      </w:pPr>
      <w:r>
        <w:rPr>
          <w:rFonts w:ascii="宋体" w:hAnsi="宋体" w:eastAsia="宋体"/>
          <w:b/>
          <w:sz w:val="24"/>
          <w:lang w:eastAsia="zh-CN"/>
        </w:rPr>
        <w:t>第四章 历史效应与反思</w:t>
      </w:r>
    </w:p>
    <w:p w14:paraId="638B38E6">
      <w:pPr>
        <w:spacing w:before="2" w:after="2" w:line="240" w:lineRule="auto"/>
        <w:ind w:left="283" w:hanging="170"/>
        <w:rPr>
          <w:lang w:eastAsia="zh-CN"/>
        </w:rPr>
      </w:pPr>
      <w:r>
        <w:rPr>
          <w:rFonts w:ascii="宋体" w:hAnsi="宋体" w:eastAsia="宋体"/>
          <w:b/>
          <w:sz w:val="24"/>
          <w:lang w:eastAsia="zh-CN"/>
        </w:rPr>
        <w:t>第一节 从“概念挪用”到“思想再生产”</w:t>
      </w:r>
    </w:p>
    <w:p w14:paraId="6F12C424">
      <w:pPr>
        <w:spacing w:before="2" w:after="2" w:line="240" w:lineRule="auto"/>
        <w:ind w:left="567" w:hanging="170"/>
        <w:rPr>
          <w:lang w:eastAsia="zh-CN"/>
        </w:rPr>
      </w:pPr>
      <w:r>
        <w:rPr>
          <w:rFonts w:ascii="宋体" w:hAnsi="宋体" w:eastAsia="宋体"/>
          <w:sz w:val="24"/>
          <w:lang w:eastAsia="zh-CN"/>
        </w:rPr>
        <w:t>一、从“挪用”到“再挪用”</w:t>
      </w:r>
    </w:p>
    <w:p w14:paraId="3DFB8B32">
      <w:pPr>
        <w:spacing w:before="2" w:after="2" w:line="240" w:lineRule="auto"/>
        <w:ind w:left="567" w:hanging="170"/>
        <w:rPr>
          <w:lang w:eastAsia="zh-CN"/>
        </w:rPr>
      </w:pPr>
      <w:r>
        <w:rPr>
          <w:rFonts w:ascii="宋体" w:hAnsi="宋体" w:eastAsia="宋体"/>
          <w:sz w:val="24"/>
          <w:lang w:eastAsia="zh-CN"/>
        </w:rPr>
        <w:t>二、对儒家思想的刺激与激活</w:t>
      </w:r>
    </w:p>
    <w:p w14:paraId="7617C937">
      <w:pPr>
        <w:spacing w:before="2" w:after="2" w:line="240" w:lineRule="auto"/>
        <w:ind w:left="567" w:hanging="170"/>
        <w:rPr>
          <w:lang w:eastAsia="zh-CN"/>
        </w:rPr>
      </w:pPr>
      <w:r>
        <w:rPr>
          <w:rFonts w:ascii="宋体" w:hAnsi="宋体" w:eastAsia="宋体"/>
          <w:sz w:val="24"/>
          <w:lang w:eastAsia="zh-CN"/>
        </w:rPr>
        <w:t>三、近代中国思想史中的回响</w:t>
      </w:r>
    </w:p>
    <w:p w14:paraId="098F2AD6">
      <w:pPr>
        <w:spacing w:before="2" w:after="2" w:line="240" w:lineRule="auto"/>
        <w:ind w:left="283" w:hanging="170"/>
        <w:rPr>
          <w:lang w:eastAsia="zh-CN"/>
        </w:rPr>
      </w:pPr>
      <w:r>
        <w:rPr>
          <w:rFonts w:ascii="宋体" w:hAnsi="宋体" w:eastAsia="宋体"/>
          <w:b/>
          <w:sz w:val="24"/>
          <w:lang w:eastAsia="zh-CN"/>
        </w:rPr>
        <w:t>第二节 跨文化对话中的“不可通约性”问题</w:t>
      </w:r>
    </w:p>
    <w:p w14:paraId="546AFDED">
      <w:pPr>
        <w:spacing w:before="2" w:after="2" w:line="240" w:lineRule="auto"/>
        <w:ind w:left="567" w:hanging="170"/>
        <w:rPr>
          <w:lang w:eastAsia="zh-CN"/>
        </w:rPr>
      </w:pPr>
      <w:r>
        <w:rPr>
          <w:rFonts w:ascii="宋体" w:hAnsi="宋体" w:eastAsia="宋体"/>
          <w:sz w:val="24"/>
          <w:lang w:eastAsia="zh-CN"/>
        </w:rPr>
        <w:t>一、“不可通约性”的理论内涵</w:t>
      </w:r>
    </w:p>
    <w:p w14:paraId="279C510E">
      <w:pPr>
        <w:spacing w:before="2" w:after="2" w:line="240" w:lineRule="auto"/>
        <w:ind w:left="567" w:hanging="170"/>
        <w:rPr>
          <w:lang w:eastAsia="zh-CN"/>
        </w:rPr>
      </w:pPr>
      <w:r>
        <w:rPr>
          <w:rFonts w:ascii="宋体" w:hAnsi="宋体" w:eastAsia="宋体"/>
          <w:sz w:val="24"/>
          <w:lang w:eastAsia="zh-CN"/>
        </w:rPr>
        <w:t>二、“翻译即背离”</w:t>
      </w:r>
    </w:p>
    <w:p w14:paraId="32DE4567">
      <w:pPr>
        <w:spacing w:before="2" w:after="2" w:line="240" w:lineRule="auto"/>
        <w:ind w:left="567" w:hanging="170"/>
        <w:rPr>
          <w:lang w:eastAsia="zh-CN"/>
        </w:rPr>
      </w:pPr>
      <w:r>
        <w:rPr>
          <w:rFonts w:ascii="宋体" w:hAnsi="宋体" w:eastAsia="宋体"/>
          <w:sz w:val="24"/>
          <w:lang w:eastAsia="zh-CN"/>
        </w:rPr>
        <w:t>三、如何在“不可通约”中寻找“可通约”？</w:t>
      </w:r>
    </w:p>
    <w:p w14:paraId="1419468E">
      <w:pPr>
        <w:spacing w:before="2" w:after="2" w:line="240" w:lineRule="auto"/>
        <w:ind w:left="567" w:hanging="170"/>
        <w:rPr>
          <w:lang w:eastAsia="zh-CN"/>
        </w:rPr>
      </w:pPr>
      <w:r>
        <w:rPr>
          <w:rFonts w:ascii="宋体" w:hAnsi="宋体" w:eastAsia="宋体"/>
          <w:sz w:val="24"/>
          <w:lang w:eastAsia="zh-CN"/>
        </w:rPr>
        <w:t>四、利玛窦案例的理论启示</w:t>
      </w:r>
    </w:p>
    <w:p w14:paraId="28B469AA">
      <w:pPr>
        <w:spacing w:before="2" w:after="2" w:line="240" w:lineRule="auto"/>
        <w:ind w:left="283" w:hanging="170"/>
        <w:rPr>
          <w:lang w:eastAsia="zh-CN"/>
        </w:rPr>
      </w:pPr>
      <w:r>
        <w:rPr>
          <w:rFonts w:ascii="宋体" w:hAnsi="宋体" w:eastAsia="宋体"/>
          <w:b/>
          <w:sz w:val="24"/>
          <w:lang w:eastAsia="zh-CN"/>
        </w:rPr>
        <w:t>第三节 从案例到原则：文明互鉴的方法论提炼</w:t>
      </w:r>
    </w:p>
    <w:p w14:paraId="2C465B74">
      <w:pPr>
        <w:spacing w:before="2" w:after="2" w:line="240" w:lineRule="auto"/>
        <w:ind w:left="567" w:hanging="170"/>
        <w:rPr>
          <w:lang w:eastAsia="zh-CN"/>
        </w:rPr>
      </w:pPr>
      <w:r>
        <w:rPr>
          <w:rFonts w:ascii="宋体" w:hAnsi="宋体" w:eastAsia="宋体"/>
          <w:sz w:val="24"/>
          <w:lang w:eastAsia="zh-CN"/>
        </w:rPr>
        <w:t>一、文化适应与身份重构</w:t>
      </w:r>
    </w:p>
    <w:p w14:paraId="222F2990">
      <w:pPr>
        <w:spacing w:before="2" w:after="2" w:line="240" w:lineRule="auto"/>
        <w:ind w:left="567" w:hanging="170"/>
        <w:rPr>
          <w:lang w:eastAsia="zh-CN"/>
        </w:rPr>
      </w:pPr>
      <w:r>
        <w:rPr>
          <w:rFonts w:ascii="宋体" w:hAnsi="宋体" w:eastAsia="宋体"/>
          <w:sz w:val="24"/>
          <w:lang w:eastAsia="zh-CN"/>
        </w:rPr>
        <w:t>二、双向互惠与知识共建</w:t>
      </w:r>
    </w:p>
    <w:p w14:paraId="065A4A8A">
      <w:pPr>
        <w:spacing w:before="2" w:after="2" w:line="240" w:lineRule="auto"/>
        <w:ind w:left="567" w:hanging="170"/>
      </w:pPr>
      <w:r>
        <w:rPr>
          <w:rFonts w:ascii="宋体" w:hAnsi="宋体" w:eastAsia="宋体"/>
          <w:sz w:val="24"/>
        </w:rPr>
        <w:t>三、和而不同与求同存异</w:t>
      </w:r>
    </w:p>
    <w:p w14:paraId="50EA3FB6">
      <w:pPr>
        <w:spacing w:before="2" w:after="2" w:line="240" w:lineRule="auto"/>
        <w:ind w:left="567" w:hanging="170"/>
        <w:rPr>
          <w:lang w:eastAsia="zh-CN"/>
        </w:rPr>
      </w:pPr>
      <w:r>
        <w:rPr>
          <w:rFonts w:ascii="宋体" w:hAnsi="宋体" w:eastAsia="宋体"/>
          <w:sz w:val="24"/>
          <w:lang w:eastAsia="zh-CN"/>
        </w:rPr>
        <w:t>四、制度化保障与代际传承</w:t>
      </w:r>
    </w:p>
    <w:p w14:paraId="459B1012">
      <w:pPr>
        <w:spacing w:before="2" w:after="2" w:line="240" w:lineRule="auto"/>
        <w:ind w:left="283" w:hanging="170"/>
        <w:rPr>
          <w:lang w:eastAsia="zh-CN"/>
        </w:rPr>
      </w:pPr>
      <w:r>
        <w:rPr>
          <w:rFonts w:ascii="宋体" w:hAnsi="宋体" w:eastAsia="宋体"/>
          <w:b/>
          <w:sz w:val="24"/>
          <w:lang w:eastAsia="zh-CN"/>
        </w:rPr>
        <w:t>第四节 文明互鉴的当代挑战与应对</w:t>
      </w:r>
    </w:p>
    <w:p w14:paraId="68C44C0B">
      <w:pPr>
        <w:spacing w:before="2" w:after="2" w:line="240" w:lineRule="auto"/>
        <w:ind w:left="567" w:hanging="170"/>
        <w:rPr>
          <w:lang w:eastAsia="zh-CN"/>
        </w:rPr>
      </w:pPr>
      <w:r>
        <w:rPr>
          <w:rFonts w:ascii="宋体" w:hAnsi="宋体" w:eastAsia="宋体"/>
          <w:sz w:val="24"/>
          <w:lang w:eastAsia="zh-CN"/>
        </w:rPr>
        <w:t>一、文化焦虑与身份政治的张力</w:t>
      </w:r>
    </w:p>
    <w:p w14:paraId="4DA6231A">
      <w:pPr>
        <w:spacing w:before="2" w:after="2" w:line="240" w:lineRule="auto"/>
        <w:ind w:left="567" w:hanging="170"/>
        <w:rPr>
          <w:lang w:eastAsia="zh-CN"/>
        </w:rPr>
      </w:pPr>
      <w:r>
        <w:rPr>
          <w:rFonts w:ascii="宋体" w:hAnsi="宋体" w:eastAsia="宋体"/>
          <w:sz w:val="24"/>
          <w:lang w:eastAsia="zh-CN"/>
        </w:rPr>
        <w:t>二、数字时代的“信息茧房”</w:t>
      </w:r>
    </w:p>
    <w:p w14:paraId="799D85DE">
      <w:pPr>
        <w:spacing w:before="2" w:after="2" w:line="240" w:lineRule="auto"/>
        <w:ind w:left="567" w:hanging="170"/>
        <w:rPr>
          <w:lang w:eastAsia="zh-CN"/>
        </w:rPr>
      </w:pPr>
      <w:r>
        <w:rPr>
          <w:rFonts w:ascii="宋体" w:hAnsi="宋体" w:eastAsia="宋体"/>
          <w:sz w:val="24"/>
          <w:lang w:eastAsia="zh-CN"/>
        </w:rPr>
        <w:t>三、从“精英对话”到“大众互鉴”</w:t>
      </w:r>
    </w:p>
    <w:p w14:paraId="2B25854B">
      <w:pPr>
        <w:spacing w:before="2" w:after="2" w:line="240" w:lineRule="auto"/>
        <w:ind w:left="283" w:hanging="170"/>
        <w:rPr>
          <w:lang w:eastAsia="zh-CN"/>
        </w:rPr>
      </w:pPr>
      <w:r>
        <w:rPr>
          <w:rFonts w:ascii="宋体" w:hAnsi="宋体" w:eastAsia="宋体"/>
          <w:b/>
          <w:sz w:val="24"/>
          <w:lang w:eastAsia="zh-CN"/>
        </w:rPr>
        <w:t>第五节 从互鉴到融合</w:t>
      </w:r>
    </w:p>
    <w:p w14:paraId="59775A99">
      <w:pPr>
        <w:spacing w:before="2" w:after="2" w:line="240" w:lineRule="auto"/>
        <w:ind w:hanging="170"/>
        <w:rPr>
          <w:lang w:eastAsia="zh-CN"/>
        </w:rPr>
      </w:pPr>
      <w:r>
        <w:rPr>
          <w:rFonts w:ascii="宋体" w:hAnsi="宋体" w:eastAsia="宋体"/>
          <w:b/>
          <w:sz w:val="24"/>
          <w:lang w:eastAsia="zh-CN"/>
        </w:rPr>
        <w:t>第五章 结语</w:t>
      </w:r>
    </w:p>
    <w:p w14:paraId="52DB7CF1">
      <w:pPr>
        <w:spacing w:before="2" w:after="2" w:line="240" w:lineRule="auto"/>
        <w:ind w:left="283" w:hanging="170"/>
        <w:rPr>
          <w:lang w:eastAsia="zh-CN"/>
        </w:rPr>
      </w:pPr>
      <w:r>
        <w:rPr>
          <w:rFonts w:ascii="宋体" w:hAnsi="宋体" w:eastAsia="宋体"/>
          <w:b/>
          <w:sz w:val="24"/>
          <w:lang w:eastAsia="zh-CN"/>
        </w:rPr>
        <w:t>第一节 总结全文</w:t>
      </w:r>
    </w:p>
    <w:p w14:paraId="49550FD4">
      <w:pPr>
        <w:spacing w:before="2" w:after="2" w:line="240" w:lineRule="auto"/>
        <w:ind w:left="283" w:hanging="170"/>
        <w:rPr>
          <w:lang w:eastAsia="zh-CN"/>
        </w:rPr>
      </w:pPr>
      <w:r>
        <w:rPr>
          <w:rFonts w:ascii="宋体" w:hAnsi="宋体" w:eastAsia="宋体"/>
          <w:b/>
          <w:sz w:val="24"/>
          <w:lang w:eastAsia="zh-CN"/>
        </w:rPr>
        <w:t>第二节 定性评价</w:t>
      </w:r>
    </w:p>
    <w:p w14:paraId="5F4D0F88">
      <w:pPr>
        <w:spacing w:before="2" w:after="2" w:line="240" w:lineRule="auto"/>
        <w:ind w:left="283" w:hanging="170"/>
        <w:rPr>
          <w:lang w:eastAsia="zh-CN"/>
        </w:rPr>
      </w:pPr>
      <w:r>
        <w:rPr>
          <w:rFonts w:ascii="宋体" w:hAnsi="宋体" w:eastAsia="宋体"/>
          <w:b/>
          <w:sz w:val="24"/>
          <w:lang w:eastAsia="zh-CN"/>
        </w:rPr>
        <w:t>第三节 最终升华</w:t>
      </w:r>
    </w:p>
    <w:p w14:paraId="2A59B43E">
      <w:pPr>
        <w:spacing w:before="2" w:after="2" w:line="240" w:lineRule="auto"/>
        <w:ind w:left="283" w:hanging="170"/>
        <w:rPr>
          <w:lang w:eastAsia="zh-CN"/>
        </w:rPr>
      </w:pPr>
      <w:r>
        <w:rPr>
          <w:rFonts w:ascii="宋体" w:hAnsi="宋体" w:eastAsia="宋体"/>
          <w:b/>
          <w:sz w:val="24"/>
          <w:lang w:eastAsia="zh-CN"/>
        </w:rPr>
        <w:t>第四节 对当代“基督教中国化”的正向意义</w:t>
      </w:r>
    </w:p>
    <w:p w14:paraId="4E646E36">
      <w:pPr>
        <w:spacing w:before="2" w:after="2" w:line="240" w:lineRule="auto"/>
        <w:ind w:hanging="170"/>
        <w:rPr>
          <w:lang w:eastAsia="zh-CN"/>
        </w:rPr>
      </w:pPr>
      <w:r>
        <w:rPr>
          <w:rFonts w:ascii="宋体" w:hAnsi="宋体" w:eastAsia="宋体"/>
          <w:b/>
          <w:sz w:val="24"/>
          <w:lang w:eastAsia="zh-CN"/>
        </w:rPr>
        <w:t>参考文献</w:t>
      </w:r>
    </w:p>
    <w:p w14:paraId="7DE4F697">
      <w:pPr>
        <w:spacing w:before="2" w:after="2" w:line="240" w:lineRule="auto"/>
        <w:ind w:hanging="170"/>
        <w:rPr>
          <w:lang w:eastAsia="zh-CN"/>
        </w:rPr>
      </w:pPr>
      <w:r>
        <w:rPr>
          <w:rFonts w:ascii="宋体" w:hAnsi="宋体" w:eastAsia="宋体"/>
          <w:b/>
          <w:sz w:val="24"/>
          <w:lang w:eastAsia="zh-CN"/>
        </w:rPr>
        <w:t>附 录</w:t>
      </w:r>
    </w:p>
    <w:p w14:paraId="53D4EB0D">
      <w:pPr>
        <w:spacing w:before="2" w:after="2" w:line="240" w:lineRule="auto"/>
        <w:ind w:left="283" w:hanging="170"/>
        <w:rPr>
          <w:lang w:eastAsia="zh-CN"/>
        </w:rPr>
      </w:pPr>
      <w:r>
        <w:rPr>
          <w:rFonts w:ascii="宋体" w:hAnsi="宋体" w:eastAsia="宋体"/>
          <w:b/>
          <w:sz w:val="24"/>
          <w:lang w:eastAsia="zh-CN"/>
        </w:rPr>
        <w:t>一、致  谢</w:t>
      </w:r>
    </w:p>
    <w:p w14:paraId="2A4A36A7">
      <w:pPr>
        <w:spacing w:before="2" w:after="2" w:line="240" w:lineRule="auto"/>
        <w:ind w:left="283" w:hanging="170"/>
        <w:rPr>
          <w:lang w:eastAsia="zh-CN"/>
        </w:rPr>
      </w:pPr>
      <w:r>
        <w:rPr>
          <w:rFonts w:ascii="宋体" w:hAnsi="宋体" w:eastAsia="宋体"/>
          <w:b/>
          <w:sz w:val="24"/>
          <w:lang w:eastAsia="zh-CN"/>
        </w:rPr>
        <w:t>二、论文原创性声明</w:t>
      </w:r>
    </w:p>
    <w:p w14:paraId="7C1F71D7">
      <w:pPr>
        <w:rPr>
          <w:lang w:eastAsia="zh-CN"/>
        </w:rPr>
      </w:pPr>
      <w:r>
        <w:rPr>
          <w:lang w:eastAsia="zh-CN"/>
        </w:rPr>
        <w:br w:type="page"/>
      </w:r>
    </w:p>
    <w:p w14:paraId="5D5F48C1">
      <w:pPr>
        <w:pStyle w:val="3"/>
        <w:spacing w:before="240" w:after="240"/>
        <w:rPr>
          <w:lang w:eastAsia="zh-CN"/>
        </w:rPr>
      </w:pPr>
      <w:r>
        <w:rPr>
          <w:lang w:eastAsia="zh-CN"/>
        </w:rPr>
        <w:t xml:space="preserve">第一章 </w:t>
      </w:r>
      <w:r>
        <w:rPr>
          <w:rFonts w:hint="eastAsia"/>
          <w:lang w:eastAsia="zh-CN"/>
        </w:rPr>
        <w:t>引言</w:t>
      </w:r>
    </w:p>
    <w:p w14:paraId="2B76F380">
      <w:pPr>
        <w:pStyle w:val="4"/>
        <w:spacing w:before="120" w:after="120"/>
        <w:ind w:firstLine="562"/>
        <w:rPr>
          <w:lang w:eastAsia="zh-CN"/>
        </w:rPr>
      </w:pPr>
      <w:r>
        <w:rPr>
          <w:lang w:eastAsia="zh-CN"/>
        </w:rPr>
        <w:t>第一节 问题缘起</w:t>
      </w:r>
    </w:p>
    <w:p w14:paraId="0C16E470">
      <w:pPr>
        <w:spacing w:line="360" w:lineRule="auto"/>
        <w:ind w:firstLine="420"/>
        <w:rPr>
          <w:rFonts w:hint="eastAsia" w:eastAsia="宋体"/>
          <w:lang w:eastAsia="zh-CN"/>
        </w:rPr>
      </w:pPr>
      <w:r>
        <w:rPr>
          <w:rFonts w:ascii="宋体" w:hAnsi="宋体" w:eastAsia="宋体"/>
          <w:sz w:val="24"/>
          <w:lang w:eastAsia="zh-C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 如果不理解“理”与“太极”在宋明思想世界中的位置，就无法理解利玛窦所面对的困难。朱熹（1130–1200）在《朱子语类》中明确说过：“太极只是一个理字。”</w:t>
      </w:r>
      <w:r>
        <w:rPr>
          <w:rStyle w:val="138"/>
          <w:rFonts w:ascii="宋体" w:hAnsi="宋体" w:eastAsia="宋体"/>
          <w:sz w:val="24"/>
        </w:rPr>
        <w:footnoteReference w:id="0"/>
      </w:r>
      <w:r>
        <w:rPr>
          <w:rFonts w:ascii="宋体" w:hAnsi="宋体" w:eastAsia="宋体"/>
          <w:sz w:val="24"/>
          <w:lang w:eastAsia="zh-CN"/>
        </w:rPr>
        <w:t>在程朱理学的体系里，“理”既是宇宙万物的本源秩序，又是人伦道德的终极根据。它无形无象、无生无灭，却又遍在一切——既是“所以然之故”，又是“所当然之则”。周敦颐（1017–1073）《太极图说》开篇便称“无极而太极”，标志着宇宙论与本体论的统一。</w:t>
      </w:r>
      <w:r>
        <w:rPr>
          <w:rStyle w:val="138"/>
          <w:rFonts w:ascii="宋体" w:hAnsi="宋体" w:eastAsia="宋体"/>
          <w:sz w:val="24"/>
        </w:rPr>
        <w:footnoteReference w:id="1"/>
      </w:r>
      <w:r>
        <w:rPr>
          <w:rFonts w:ascii="宋体" w:hAnsi="宋体" w:eastAsia="宋体"/>
          <w:sz w:val="24"/>
          <w:lang w:eastAsia="zh-CN"/>
        </w:rPr>
        <w:t>到明代中后期，“理”与“太极”不仅是哲学思辨的范畴，更是科举考试中士人必须熟练掌握的核心概念。任何试图取代或改造这一概念体系的尝试，都会遭遇来自整个教育制度和思想传统的双重阻力。 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w:t>
      </w:r>
      <w:r>
        <w:rPr>
          <w:rStyle w:val="138"/>
          <w:rFonts w:hint="eastAsia" w:ascii="宋体" w:hAnsi="宋体" w:eastAsia="宋体"/>
          <w:sz w:val="24"/>
          <w:lang w:eastAsia="zh-CN"/>
        </w:rPr>
        <w:footnoteReference w:id="2"/>
      </w:r>
      <w:r>
        <w:rPr>
          <w:rFonts w:ascii="宋体" w:hAnsi="宋体" w:eastAsia="宋体"/>
          <w:sz w:val="24"/>
          <w:lang w:eastAsia="zh-CN"/>
        </w:rPr>
        <w:t>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 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 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迦达默尔的术语），还是某种变相的思想殖民？利玛窦之后的明清之际，接受者们的反应又是怎样的？这些问题，构成了本文的核心关切。 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 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r>
        <w:rPr>
          <w:sz w:val="16"/>
          <w:vertAlign w:val="superscript"/>
        </w:rPr>
        <w:t>[11][1][2]</w:t>
      </w:r>
    </w:p>
    <w:p w14:paraId="65465AE0">
      <w:pPr>
        <w:pStyle w:val="4"/>
        <w:spacing w:before="120" w:after="120"/>
        <w:ind w:firstLine="562"/>
        <w:rPr>
          <w:lang w:eastAsia="zh-CN"/>
        </w:rPr>
      </w:pPr>
      <w:r>
        <w:rPr>
          <w:lang w:eastAsia="zh-CN"/>
        </w:rPr>
        <w:t>第二节 国内外研究现状状</w:t>
      </w:r>
    </w:p>
    <w:p w14:paraId="57193A6F">
      <w:pPr>
        <w:spacing w:line="360" w:lineRule="auto"/>
        <w:ind w:firstLine="420"/>
        <w:rPr>
          <w:lang w:eastAsia="zh-CN"/>
        </w:rPr>
      </w:pPr>
      <w:r>
        <w:rPr>
          <w:rFonts w:ascii="宋体" w:hAnsi="宋体" w:eastAsia="宋体"/>
          <w:sz w:val="24"/>
          <w:lang w:eastAsia="zh-CN"/>
        </w:rPr>
        <w:t>关于利玛窦的研究，在西方学界与汉语学界均已有相当深厚的积累。与本文主题直接相关的研究，大致可以从三个方向加以梳理。 第一，关于利玛窦“适应策略”的研究。 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就通过详细分析《天主实义》中各条论辩逻辑，指出利玛窦在论说策略上并非简单粗暴的“以西格中”，而是一种结合了辩证与修辞的双重路径。</w:t>
      </w:r>
      <w:r>
        <w:rPr>
          <w:rStyle w:val="138"/>
          <w:rFonts w:hint="eastAsia" w:ascii="宋体" w:hAnsi="宋体" w:eastAsia="宋体"/>
          <w:sz w:val="24"/>
          <w:lang w:eastAsia="zh-CN"/>
        </w:rPr>
        <w:footnoteReference w:id="3"/>
      </w:r>
      <w:r>
        <w:rPr>
          <w:rFonts w:ascii="宋体" w:hAnsi="宋体" w:eastAsia="宋体"/>
          <w:sz w:val="24"/>
          <w:lang w:eastAsia="zh-CN"/>
        </w:rPr>
        <w:t>近年来，德国学者魏扬波（Jean-Paul Wiest）的研究则更为细腻地考察了利玛窦在翻译和写作中如何处理关键术语，特别是“God”一词的中文对应。魏扬波指出，利玛窦选用“上帝”而非“天主”或“神”，既有神学上的考量，也有很强的修辞意图，即通过与“六经”权威话语的对接，来提升基督教在中国士人中的可信度。</w:t>
      </w:r>
      <w:r>
        <w:rPr>
          <w:rStyle w:val="138"/>
          <w:rFonts w:hint="eastAsia" w:ascii="宋体" w:hAnsi="宋体" w:eastAsia="宋体"/>
          <w:sz w:val="24"/>
          <w:lang w:eastAsia="zh-CN"/>
        </w:rPr>
        <w:footnoteReference w:id="4"/>
      </w:r>
      <w:r>
        <w:rPr>
          <w:rFonts w:ascii="宋体" w:hAnsi="宋体" w:eastAsia="宋体"/>
          <w:sz w:val="24"/>
          <w:lang w:eastAsia="zh-CN"/>
        </w:rPr>
        <w:t>[13][20][46][16][38][47] 这一观察对本文的分析有直接助益。 第二，关于“理”与“太极”概念的专项研究。 这是本文最直接的理论焦点。学界对于利玛窦究竟是否理解朱熹的“理”存在广泛争论。有的观点认为，利玛窦由于带着强烈的经院哲学预设，因此根本无法正确把握“理”作为形而上学原则的复杂性。例如，学者朱谦之在《中国哲学对欧洲的影响》中曾提到，利玛窦对“理”的理解停留在“属性”层面，没有进入朱熹哲学的核心。</w:t>
      </w:r>
      <w:r>
        <w:rPr>
          <w:rStyle w:val="138"/>
          <w:rFonts w:hint="eastAsia" w:ascii="宋体" w:hAnsi="宋体" w:eastAsia="宋体"/>
          <w:sz w:val="24"/>
          <w:lang w:eastAsia="zh-CN"/>
        </w:rPr>
        <w:footnoteReference w:id="5"/>
      </w:r>
      <w:r>
        <w:rPr>
          <w:rFonts w:ascii="宋体" w:hAnsi="宋体" w:eastAsia="宋体"/>
          <w:sz w:val="24"/>
          <w:lang w:eastAsia="zh-CN"/>
        </w:rPr>
        <w:t>然而，另一派学者，如香港中文大学的黄保罗（Paulos Huang），则主张利玛窦对“理”的批评实际上是一种“有意扭曲”，其目的不是为了理解朱熹，而是为了在儒耶之间制造出一个“可替换的间隙”，从而在语义上为“Deus”的进入预留空间。</w:t>
      </w:r>
      <w:r>
        <w:rPr>
          <w:rStyle w:val="138"/>
          <w:rFonts w:hint="eastAsia" w:ascii="宋体" w:hAnsi="宋体" w:eastAsia="宋体"/>
          <w:sz w:val="24"/>
          <w:lang w:eastAsia="zh-CN"/>
        </w:rPr>
        <w:footnoteReference w:id="6"/>
      </w:r>
      <w:r>
        <w:rPr>
          <w:rFonts w:ascii="宋体" w:hAnsi="宋体" w:eastAsia="宋体"/>
          <w:sz w:val="24"/>
          <w:lang w:eastAsia="zh-CN"/>
        </w:rPr>
        <w:t>这种“有意扭曲”说，与本文提出的“概念挪用”框架高度吻合。不过，黄保罗更多地侧重于神学动机的分析，而对具体的概念重组过程着墨不多。 第三，关于明清之际士大夫接受状况的研究。 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学者林金水对徐光启手稿的考证显示，徐光启更倾向于将天主教理解为一种“补儒”的学说，即用基督教教义来弥补儒家在终极关怀上的不足，而非取而代之。</w:t>
      </w:r>
      <w:r>
        <w:rPr>
          <w:rStyle w:val="138"/>
          <w:rFonts w:hint="eastAsia" w:ascii="宋体" w:hAnsi="宋体" w:eastAsia="宋体"/>
          <w:sz w:val="24"/>
          <w:lang w:eastAsia="zh-CN"/>
        </w:rPr>
        <w:footnoteReference w:id="7"/>
      </w:r>
      <w:r>
        <w:rPr>
          <w:rFonts w:ascii="宋体" w:hAnsi="宋体" w:eastAsia="宋体"/>
          <w:sz w:val="24"/>
          <w:lang w:eastAsia="zh-CN"/>
        </w:rPr>
        <w:t>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w:t>
      </w:r>
      <w:r>
        <w:rPr>
          <w:rStyle w:val="138"/>
          <w:rFonts w:hint="eastAsia" w:ascii="宋体" w:hAnsi="宋体" w:eastAsia="宋体"/>
          <w:sz w:val="24"/>
          <w:lang w:eastAsia="zh-CN"/>
        </w:rPr>
        <w:footnoteReference w:id="8"/>
      </w:r>
      <w:r>
        <w:rPr>
          <w:rFonts w:ascii="宋体" w:hAnsi="宋体" w:eastAsia="宋体"/>
          <w:sz w:val="24"/>
          <w:lang w:eastAsia="zh-C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 注释：</w:t>
      </w:r>
    </w:p>
    <w:p w14:paraId="0A05D34D">
      <w:pPr>
        <w:pStyle w:val="4"/>
        <w:spacing w:before="120" w:after="120"/>
        <w:ind w:firstLine="562"/>
        <w:rPr>
          <w:lang w:eastAsia="zh-CN"/>
        </w:rPr>
      </w:pPr>
      <w:r>
        <w:rPr>
          <w:lang w:eastAsia="zh-CN"/>
        </w:rPr>
        <w:t>第三节 方法与主线</w:t>
      </w:r>
    </w:p>
    <w:p w14:paraId="24458219">
      <w:pPr>
        <w:spacing w:line="360" w:lineRule="auto"/>
        <w:ind w:firstLine="420"/>
        <w:rPr>
          <w:rFonts w:hint="eastAsia" w:eastAsia="宋体"/>
          <w:lang w:eastAsia="zh-CN"/>
        </w:rPr>
      </w:pPr>
      <w:r>
        <w:rPr>
          <w:rFonts w:ascii="宋体" w:hAnsi="宋体" w:eastAsia="宋体"/>
          <w:sz w:val="24"/>
          <w:lang w:eastAsia="zh-C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 具体而言，本文所采取的分析工具来自三个方面。 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w:t>
      </w:r>
      <w:r>
        <w:rPr>
          <w:rStyle w:val="138"/>
          <w:rFonts w:hint="eastAsia" w:ascii="宋体" w:hAnsi="宋体" w:eastAsia="宋体"/>
          <w:sz w:val="24"/>
          <w:lang w:eastAsia="zh-CN"/>
        </w:rPr>
        <w:footnoteReference w:id="9"/>
      </w:r>
      <w:r>
        <w:rPr>
          <w:rFonts w:ascii="宋体" w:hAnsi="宋体" w:eastAsia="宋体"/>
          <w:sz w:val="24"/>
          <w:lang w:eastAsia="zh-CN"/>
        </w:rPr>
        <w:t>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 第二，修辞与论证分析。 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 第三，接受史视角。 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 在上述方法的基础上，本文的主线结构可以概括为一条“三阶路径”： 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 第二阶：接受与变异（第四章）。本章考察明清之际士大夫对利玛窦思想的三种回应模式——徐光启的“合作性接受”、李贽的“选择性借鉴”与黄宗羲的“批判性拒绝”。在此基础上，以伽达默尔解释学为框架，分析“创造性误解”的运作机制，揭示跨文化传播中“意义游移”的具体路径。 第三阶：意义（第五章、第六章）。在完成了策略分析与接受史考察之后，本文转向对整体案例的评估。第五章分析利玛窦案例的历史效应——从“概念挪用”到“思想再生产”的传导机制，以及其对当代文明互鉴的方法论启示。第六章结语则将视野拉回当代，讨论利玛窦案例对于今天全球语境下跨文明对话的理论意义，尤其是“创造性误解”作为一种文化创新动力的积极面向。 这一“策略—接受—意义”的链条，并非线性的因果序列，而是三个彼此缠绕的分析层次。策略的选择决定了接受的可能空间，而接受者的实际反应才显现出策略的完整意义。本文的目的不是提供一把万能钥匙，而是尝试将这三个层次同时纳入视野，以期对利玛窦的思想操作做出一次较为系统的理解。</w:t>
      </w:r>
      <w:r>
        <w:rPr>
          <w:sz w:val="16"/>
          <w:vertAlign w:val="superscript"/>
        </w:rPr>
        <w:t>[59]</w:t>
      </w:r>
    </w:p>
    <w:p w14:paraId="199CC0B7">
      <w:pPr>
        <w:pStyle w:val="4"/>
        <w:spacing w:before="120" w:after="120"/>
        <w:ind w:firstLine="562"/>
        <w:rPr>
          <w:lang w:eastAsia="zh-CN"/>
        </w:rPr>
      </w:pPr>
      <w:r>
        <w:rPr>
          <w:rFonts w:hint="eastAsia"/>
          <w:lang w:eastAsia="zh-CN"/>
        </w:rPr>
        <w:t xml:space="preserve">第四节 </w:t>
      </w:r>
      <w:r>
        <w:rPr>
          <w:lang w:eastAsia="zh-CN"/>
        </w:rPr>
        <w:t>译名实践的思想史意义</w:t>
      </w:r>
    </w:p>
    <w:p w14:paraId="2D99F8D5">
      <w:pPr>
        <w:spacing w:line="360" w:lineRule="auto"/>
        <w:ind w:firstLine="420"/>
        <w:rPr>
          <w:lang w:eastAsia="zh-CN"/>
        </w:rPr>
      </w:pPr>
      <w:r>
        <w:rPr>
          <w:rFonts w:ascii="宋体" w:hAnsi="宋体" w:eastAsia="宋体"/>
          <w:sz w:val="24"/>
          <w:lang w:eastAsia="zh-CN"/>
        </w:rPr>
        <w:t>利玛窦的译名实践，远非简单的语言转换或术语对译——它是一场触及信仰内核与思想表达深层结构的跨文化工程。在“上帝”、“天主”、“理”、“太极”这些看似中性的词汇选择背后，实际上蕴含着利玛窦对基督教信仰本质的深刻理解：信仰不是一套可以脱离语言载体而独立存在的抽象教义，而必须在具体的文化语境中找到其表达的“肉身”。当利玛窦选择“上帝”而非“天主”作为“Deus”的译名时，他并非仅仅在寻找一个“最接近”的中文对应词，而是在为中国士人搭建一条从自身文化传统通向基督教信仰的理解之桥。这种译名选择，本质上是一种“信仰的翻译”——将一种文明的精神内核，通过另一种文明的语汇重新表达出来。正因如此，利玛窦的译名实践才具有了超越传教策略本身的思想史意义：它展示了两种高度成熟的文明体系，如何在最深处的精神层面进行对话、碰撞与创造性转化。这一过程所暴露的“不可通约性”与“视域融合”之间的张力，不仅是明清之际耶儒对话的核心难题，也是今天我们在全球化语境下思考文明互鉴时依然无法回避的根本问题。</w:t>
      </w:r>
      <w:r>
        <w:rPr>
          <w:sz w:val="16"/>
          <w:vertAlign w:val="superscript"/>
        </w:rPr>
        <w:t>[12]</w:t>
      </w:r>
    </w:p>
    <w:p w14:paraId="080C6E82">
      <w:pPr>
        <w:spacing w:line="360" w:lineRule="auto"/>
        <w:ind w:firstLine="420"/>
        <w:rPr>
          <w:rFonts w:ascii="宋体" w:hAnsi="宋体" w:eastAsia="宋体"/>
          <w:sz w:val="24"/>
          <w:lang w:eastAsia="zh-CN"/>
        </w:rPr>
      </w:pPr>
      <w:r>
        <w:rPr>
          <w:rFonts w:ascii="宋体" w:hAnsi="宋体" w:eastAsia="宋体"/>
          <w:sz w:val="24"/>
          <w:lang w:eastAsia="zh-CN"/>
        </w:rPr>
        <w:t>由此观之，利玛窦的译名实践绝非一种“技术性”的语言操作——它不是一份简单的双语词汇对照表，更不是传教手册中的权宜之计。相反，这一实践的每一环节都浸透着深切的信仰背景与思想表达诉求。首先，利玛窦之所以在“Deus”的译名选择上反复斟酌、最终放弃音译“陡斯”而采用“上帝”与“天主”，其根本驱动力并非语言学的精确性，而是神学立场的自觉选择——他必须为中国士人留下一条通向上帝的、可理解的路径。这一信仰背景决定了译名实践的方向：翻译的终极目标不是信息的等值传递，而是“信仰的唤醒”。其次，译名同时也是思想表达的精密工具。利玛窦对“理”的“依赖者”定性、对“太极”“虚理虚象”的判定，都是通过译名操作来实现的哲学论证——他用西方经院哲学的概念框架“翻译”了宋儒的本体论，从而在译名的层面上完成了对儒家形而上学的置换。译名，在此绝非被动地“对应”既有概念，而是主动地“塑造”新思想。正是在这个意义上，利玛窦的译名实践才具有了超越传教史的思想史价值：它揭示了一个根本性的跨文化真理——信仰的传播，本质上是一种通过语言进行的“思想再生产”。</w:t>
      </w:r>
      <w:r>
        <w:rPr>
          <w:sz w:val="16"/>
          <w:vertAlign w:val="superscript"/>
        </w:rPr>
        <w:t>[11]</w:t>
      </w:r>
    </w:p>
    <w:p w14:paraId="221998F0">
      <w:pPr>
        <w:pStyle w:val="4"/>
        <w:spacing w:before="120" w:after="120"/>
        <w:ind w:firstLine="562"/>
        <w:rPr>
          <w:lang w:eastAsia="zh-CN"/>
        </w:rPr>
      </w:pPr>
      <w:r>
        <w:rPr>
          <w:rFonts w:hint="eastAsia"/>
          <w:lang w:eastAsia="zh-CN"/>
        </w:rPr>
        <w:t xml:space="preserve">第五节 </w:t>
      </w:r>
      <w:r>
        <w:rPr>
          <w:lang w:eastAsia="zh-CN"/>
        </w:rPr>
        <w:t>本章小结</w:t>
      </w:r>
    </w:p>
    <w:p w14:paraId="4B0D06B4">
      <w:pPr>
        <w:spacing w:line="360" w:lineRule="auto"/>
        <w:ind w:firstLine="420"/>
        <w:rPr>
          <w:rFonts w:hint="eastAsia" w:ascii="宋体" w:hAnsi="宋体" w:eastAsia="宋体"/>
          <w:sz w:val="24"/>
          <w:lang w:eastAsia="zh-CN"/>
        </w:rPr>
      </w:pPr>
      <w:r>
        <w:rPr>
          <w:rFonts w:ascii="宋体" w:hAnsi="宋体" w:eastAsia="宋体"/>
          <w:sz w:val="24"/>
          <w:lang w:eastAsia="zh-C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接受—意义”三层联动分析的尝试，仍尚付阙如。为此，本文提出以概念史、修辞分析与接受史为三重方法，沿着“策略（第二章、第三章）—接受与变异（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r>
        <w:rPr>
          <w:sz w:val="16"/>
          <w:vertAlign w:val="superscript"/>
        </w:rPr>
        <w:t>[13]</w:t>
      </w:r>
    </w:p>
    <w:p w14:paraId="2D57664F">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DC70739">
      <w:pPr>
        <w:pStyle w:val="3"/>
        <w:spacing w:before="240" w:after="240"/>
        <w:rPr>
          <w:lang w:eastAsia="zh-CN"/>
        </w:rPr>
      </w:pPr>
      <w:r>
        <w:rPr>
          <w:lang w:eastAsia="zh-CN"/>
        </w:rPr>
        <w:t>第二章 利玛窦面对的“理—太极”困境</w:t>
      </w:r>
    </w:p>
    <w:p w14:paraId="676CFBC2">
      <w:pPr>
        <w:pStyle w:val="4"/>
        <w:spacing w:before="120" w:after="120"/>
        <w:ind w:firstLine="562"/>
        <w:rPr>
          <w:lang w:eastAsia="zh-CN"/>
        </w:rPr>
      </w:pPr>
      <w:r>
        <w:rPr>
          <w:rFonts w:hint="eastAsia"/>
          <w:lang w:eastAsia="zh-CN"/>
        </w:rPr>
        <w:t xml:space="preserve">第一节 </w:t>
      </w:r>
      <w:r>
        <w:rPr>
          <w:lang w:eastAsia="zh-CN"/>
        </w:rPr>
        <w:t>宋儒体系中的“理”与“太极”：本体论与宇宙论的双重功能</w:t>
      </w:r>
    </w:p>
    <w:p w14:paraId="24E11ADE">
      <w:pPr>
        <w:spacing w:line="360" w:lineRule="auto"/>
        <w:ind w:firstLine="420"/>
        <w:rPr>
          <w:rFonts w:ascii="宋体" w:hAnsi="宋体" w:eastAsia="宋体"/>
          <w:sz w:val="24"/>
          <w:lang w:eastAsia="zh-CN"/>
        </w:rPr>
      </w:pPr>
      <w:r>
        <w:rPr>
          <w:rFonts w:ascii="宋体" w:hAnsi="宋体" w:eastAsia="宋体"/>
          <w:sz w:val="24"/>
          <w:lang w:eastAsia="zh-C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r>
        <w:rPr>
          <w:sz w:val="16"/>
          <w:vertAlign w:val="superscript"/>
        </w:rPr>
        <w:t>[2][1][22]</w:t>
      </w:r>
    </w:p>
    <w:p w14:paraId="238069FA">
      <w:pPr>
        <w:pStyle w:val="5"/>
        <w:ind w:firstLine="482"/>
        <w:rPr>
          <w:lang w:eastAsia="zh-CN"/>
        </w:rPr>
      </w:pPr>
      <w:r>
        <w:rPr>
          <w:lang w:eastAsia="zh-CN"/>
        </w:rPr>
        <w:t>“太极”的</w:t>
      </w:r>
      <w:r>
        <w:rPr>
          <w:rFonts w:hint="eastAsia" w:ascii="微软雅黑" w:hAnsi="微软雅黑" w:eastAsia="微软雅黑" w:cs="微软雅黑"/>
          <w:lang w:eastAsia="zh-CN"/>
        </w:rPr>
        <w:t>词</w:t>
      </w:r>
      <w:r>
        <w:rPr>
          <w:rFonts w:hint="eastAsia" w:ascii="MS Gothic" w:hAnsi="MS Gothic" w:eastAsia="MS Gothic" w:cs="MS Gothic"/>
          <w:lang w:eastAsia="zh-CN"/>
        </w:rPr>
        <w:t>源与哲学化</w:t>
      </w:r>
      <w:r>
        <w:rPr>
          <w:rFonts w:hint="eastAsia" w:ascii="微软雅黑" w:hAnsi="微软雅黑" w:eastAsia="微软雅黑" w:cs="微软雅黑"/>
          <w:lang w:eastAsia="zh-CN"/>
        </w:rPr>
        <w:t>过</w:t>
      </w:r>
      <w:r>
        <w:rPr>
          <w:rFonts w:hint="eastAsia" w:ascii="MS Gothic" w:hAnsi="MS Gothic" w:eastAsia="MS Gothic" w:cs="MS Gothic"/>
          <w:lang w:eastAsia="zh-CN"/>
        </w:rPr>
        <w:t>程</w:t>
      </w:r>
    </w:p>
    <w:p w14:paraId="106E5A63">
      <w:pPr>
        <w:spacing w:line="360" w:lineRule="auto"/>
        <w:ind w:firstLine="420"/>
        <w:rPr>
          <w:lang w:eastAsia="zh-CN"/>
        </w:rPr>
      </w:pPr>
      <w:r>
        <w:rPr>
          <w:rFonts w:ascii="宋体" w:hAnsi="宋体" w:eastAsia="宋体"/>
          <w:sz w:val="24"/>
          <w:lang w:eastAsia="zh-CN"/>
        </w:rPr>
        <w:t>“太极”一词最早见于《周易·系辞上》：“易有太极，是生两仪，两仪生四象，四象生八卦。” 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 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 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r>
        <w:rPr>
          <w:sz w:val="16"/>
          <w:vertAlign w:val="superscript"/>
        </w:rPr>
        <w:t>[2][60]</w:t>
      </w:r>
    </w:p>
    <w:p w14:paraId="748E5523">
      <w:pPr>
        <w:spacing w:line="360" w:lineRule="auto"/>
        <w:ind w:firstLine="420"/>
        <w:rPr>
          <w:lang w:eastAsia="zh-CN"/>
        </w:rPr>
      </w:pPr>
      <w:r>
        <w:rPr>
          <w:rFonts w:ascii="宋体" w:hAnsi="宋体" w:eastAsia="宋体"/>
          <w:sz w:val="24"/>
          <w:lang w:eastAsia="zh-CN"/>
        </w:rPr>
        <w:t>朱熹在对《周易》的注释中，对“太极”的含义做了进一步阐发：“太极者，象数未形而其理已具之称，形器已具而其理无朕之目。在河图洛书，皆虚中之象也；及夫卦画既立，体象已该，则太极为已划之位，虚而无体，乃复一之本原也。”</w:t>
      </w:r>
      <w:r>
        <w:rPr>
          <w:rStyle w:val="138"/>
          <w:rFonts w:hint="eastAsia" w:ascii="宋体" w:hAnsi="宋体" w:eastAsia="宋体"/>
          <w:sz w:val="24"/>
          <w:lang w:eastAsia="zh-CN"/>
        </w:rPr>
        <w:footnoteReference w:id="10"/>
      </w:r>
      <w:r>
        <w:rPr>
          <w:rFonts w:ascii="宋体" w:hAnsi="宋体" w:eastAsia="宋体"/>
          <w:sz w:val="24"/>
          <w:lang w:eastAsia="zh-CN"/>
        </w:rPr>
        <w:t>这段话清楚地表明，太极是“象数未形而理已具”的状态，即一切具体形象尚未生成之前，那个涵括了所有可能性的最高原理。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w:t>
      </w:r>
      <w:r>
        <w:rPr>
          <w:rStyle w:val="138"/>
          <w:rFonts w:hint="eastAsia" w:ascii="宋体" w:hAnsi="宋体" w:eastAsia="宋体"/>
          <w:sz w:val="24"/>
          <w:lang w:eastAsia="zh-CN"/>
        </w:rPr>
        <w:footnoteReference w:id="11"/>
      </w:r>
      <w:r>
        <w:rPr>
          <w:lang w:eastAsia="zh-CN"/>
        </w:rPr>
        <w:t xml:space="preserve"> </w:t>
      </w:r>
      <w:r>
        <w:rPr>
          <w:sz w:val="16"/>
          <w:vertAlign w:val="superscript"/>
        </w:rPr>
        <w:t>[6][14]</w:t>
      </w:r>
    </w:p>
    <w:p w14:paraId="1365235E">
      <w:pPr>
        <w:pStyle w:val="5"/>
        <w:ind w:firstLine="482"/>
        <w:rPr>
          <w:lang w:eastAsia="zh-CN"/>
        </w:rPr>
      </w:pPr>
      <w:r>
        <w:rPr>
          <w:rFonts w:hint="eastAsia"/>
          <w:lang w:eastAsia="zh-CN"/>
        </w:rPr>
        <w:t>“</w:t>
      </w:r>
      <w:r>
        <w:rPr>
          <w:lang w:eastAsia="zh-CN"/>
        </w:rPr>
        <w:t>理</w:t>
      </w:r>
      <w:r>
        <w:rPr>
          <w:rFonts w:hint="eastAsia"/>
          <w:lang w:eastAsia="zh-CN"/>
        </w:rPr>
        <w:t>”</w:t>
      </w:r>
      <w:r>
        <w:rPr>
          <w:lang w:eastAsia="zh-CN"/>
        </w:rPr>
        <w:t>的多重含义</w:t>
      </w:r>
    </w:p>
    <w:p w14:paraId="2A0A862C">
      <w:pPr>
        <w:spacing w:line="360" w:lineRule="auto"/>
        <w:ind w:firstLine="420"/>
        <w:rPr>
          <w:lang w:eastAsia="zh-CN"/>
        </w:rPr>
      </w:pPr>
      <w:r>
        <w:rPr>
          <w:rFonts w:ascii="宋体" w:hAnsi="宋体" w:eastAsia="宋体"/>
          <w:sz w:val="24"/>
          <w:lang w:eastAsia="zh-C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 在程朱理学中，“理”的含义至少可以从三个层次加以理解： 作为本体的“理”（形而上的最高原则）：在朱熹看来，“理”是先于气、先于万物的存在。“未有天地之先，毕竟也只是理。有此理，便有此天地；若无此理，便亦无天地”象，却实实在在地“存在”着——这种存在是逻辑上的先在，而非时间上的先在。 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也是它与其他哲学体系区分开来的关键所在。 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r>
        <w:rPr>
          <w:vertAlign w:val="superscript"/>
        </w:rPr>
        <w:footnoteReference w:id="12"/>
      </w:r>
      <w:r>
        <w:t>。这里的“理”，不依赖于任何具体事物而独立存在，是宇宙万物存在的终极根据。它无形无</w:t>
      </w:r>
      <w:r>
        <w:rPr>
          <w:sz w:val="16"/>
          <w:vertAlign w:val="superscript"/>
        </w:rPr>
        <w:t>[5][62][24]</w:t>
      </w:r>
    </w:p>
    <w:p w14:paraId="70CA0239">
      <w:pPr>
        <w:spacing w:line="360" w:lineRule="auto"/>
        <w:ind w:firstLine="420"/>
        <w:rPr>
          <w:lang w:eastAsia="zh-CN"/>
        </w:rPr>
      </w:pPr>
      <w:r>
        <w:rPr>
          <w:rFonts w:ascii="宋体" w:hAnsi="宋体" w:eastAsia="宋体"/>
          <w:sz w:val="24"/>
          <w:lang w:eastAsia="zh-CN"/>
        </w:rPr>
        <w:t>在宋明理学的范畴体系中，“理”的概念承载着极其丰富的哲学内涵。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w:t>
      </w:r>
      <w:r>
        <w:rPr>
          <w:rStyle w:val="138"/>
          <w:rFonts w:hint="eastAsia" w:ascii="宋体" w:hAnsi="宋体" w:eastAsia="宋体"/>
          <w:sz w:val="24"/>
          <w:lang w:eastAsia="zh-CN"/>
        </w:rPr>
        <w:footnoteReference w:id="13"/>
      </w:r>
      <w:r>
        <w:rPr>
          <w:rFonts w:ascii="宋体" w:hAnsi="宋体" w:eastAsia="宋体"/>
          <w:sz w:val="24"/>
          <w:lang w:eastAsia="zh-CN"/>
        </w:rPr>
        <w:t>此外，蒙培元进一步指出：“理是形而上的存在，但它不是与具体事物相脱离的抽象存在，而是内在于事物之中，是事物的内在根据。朱熹说：‘理在事中’，意思是理不能脱离具体事物而单独存在，它必须体现在具体事物之中，通过具体事物而表现自己。”</w:t>
      </w:r>
      <w:r>
        <w:rPr>
          <w:rStyle w:val="138"/>
          <w:rFonts w:hint="eastAsia" w:ascii="宋体" w:hAnsi="宋体" w:eastAsia="宋体"/>
          <w:sz w:val="24"/>
          <w:lang w:eastAsia="zh-CN"/>
        </w:rPr>
        <w:footnoteReference w:id="14"/>
      </w:r>
      <w:r>
        <w:rPr>
          <w:sz w:val="16"/>
          <w:vertAlign w:val="superscript"/>
        </w:rPr>
        <w:t>[14][7]</w:t>
      </w:r>
    </w:p>
    <w:p w14:paraId="10C44669">
      <w:pPr>
        <w:spacing w:line="360" w:lineRule="auto"/>
        <w:ind w:firstLine="420"/>
        <w:rPr>
          <w:rFonts w:hint="eastAsia"/>
          <w:lang w:eastAsia="zh-CN"/>
        </w:rPr>
      </w:pPr>
      <w:r>
        <w:rPr>
          <w:rFonts w:ascii="宋体" w:hAnsi="宋体" w:eastAsia="宋体"/>
          <w:sz w:val="24"/>
          <w:lang w:eastAsia="zh-CN"/>
        </w:rPr>
        <w:t>关于“太极”与“理”的关系，蒙培元指出：“朱熹以理释太极，说‘太极只是一个理字’，这是把太极从宇宙论的范畴转变为形而上学的范畴。在朱熹那里，太极不再是一个产生阴阳的物质性根源，而是万事万物之所以然的终极根据，即‘理’本身。太极既是宇宙的本原，也是道德的根源；既是万物之所以生成的依据，也是人类道德实践的终极基础。”</w:t>
      </w:r>
      <w:r>
        <w:rPr>
          <w:rStyle w:val="138"/>
          <w:rFonts w:hint="eastAsia" w:ascii="宋体" w:hAnsi="宋体" w:eastAsia="宋体"/>
          <w:sz w:val="24"/>
          <w:lang w:eastAsia="zh-CN"/>
        </w:rPr>
        <w:footnoteReference w:id="15"/>
      </w:r>
      <w:r>
        <w:rPr>
          <w:sz w:val="16"/>
          <w:vertAlign w:val="superscript"/>
        </w:rPr>
        <w:t>[14]</w:t>
      </w:r>
    </w:p>
    <w:p w14:paraId="54CDEDCE">
      <w:pPr>
        <w:spacing w:line="360" w:lineRule="auto"/>
        <w:ind w:firstLine="420"/>
        <w:rPr>
          <w:lang w:eastAsia="zh-CN"/>
        </w:rPr>
      </w:pPr>
      <w:r>
        <w:rPr>
          <w:rFonts w:ascii="宋体" w:hAnsi="宋体" w:eastAsia="宋体"/>
          <w:sz w:val="24"/>
          <w:lang w:eastAsia="zh-CN"/>
        </w:rPr>
        <w:t>朱熹在《朱子语类》中对“理”的形而上地位有更为明确的表述：“未有天地之先，毕竟也只是理。有此理，便有此天地；若无此理，便亦无天地，无人无物，都无该载了！有理，便有气流行，发育万物。”</w:t>
      </w:r>
      <w:r>
        <w:rPr>
          <w:rStyle w:val="138"/>
          <w:rFonts w:hint="eastAsia" w:ascii="宋体" w:hAnsi="宋体" w:eastAsia="宋体"/>
          <w:sz w:val="24"/>
          <w:lang w:eastAsia="zh-CN"/>
        </w:rPr>
        <w:footnoteReference w:id="16"/>
      </w:r>
      <w:r>
        <w:rPr>
          <w:rFonts w:ascii="宋体" w:hAnsi="宋体" w:eastAsia="宋体"/>
          <w:sz w:val="24"/>
          <w:lang w:eastAsia="zh-CN"/>
        </w:rPr>
        <w:t>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r>
        <w:rPr>
          <w:sz w:val="16"/>
          <w:vertAlign w:val="superscript"/>
        </w:rPr>
        <w:t>[1][56]</w:t>
      </w:r>
    </w:p>
    <w:p w14:paraId="7B28D27F">
      <w:pPr>
        <w:spacing w:line="360" w:lineRule="auto"/>
        <w:ind w:firstLine="420"/>
        <w:rPr>
          <w:rFonts w:hint="eastAsia"/>
          <w:lang w:eastAsia="zh-CN"/>
        </w:rPr>
      </w:pPr>
      <w:r>
        <w:rPr>
          <w:rFonts w:ascii="宋体" w:hAnsi="宋体" w:eastAsia="宋体"/>
          <w:sz w:val="24"/>
          <w:lang w:eastAsia="zh-C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五行之生也，各一其性。无极之真，二五之精，妙合而凝。乾道成男，坤道成女，二气交感，化生万物。万物生生，而变化无穷焉。”</w:t>
      </w:r>
      <w:r>
        <w:rPr>
          <w:rStyle w:val="138"/>
          <w:rFonts w:hint="eastAsia" w:ascii="宋体" w:hAnsi="宋体" w:eastAsia="宋体"/>
          <w:sz w:val="24"/>
          <w:lang w:eastAsia="zh-CN"/>
        </w:rPr>
        <w:footnoteReference w:id="17"/>
      </w:r>
      <w:r>
        <w:rPr>
          <w:sz w:val="16"/>
          <w:vertAlign w:val="superscript"/>
        </w:rPr>
        <w:t>[2]</w:t>
      </w:r>
    </w:p>
    <w:p w14:paraId="68204A18">
      <w:pPr>
        <w:spacing w:line="360" w:lineRule="auto"/>
        <w:ind w:firstLine="420"/>
        <w:rPr>
          <w:rFonts w:hint="eastAsia"/>
          <w:lang w:eastAsia="zh-CN"/>
        </w:rPr>
      </w:pPr>
      <w:r>
        <w:rPr>
          <w:rFonts w:ascii="宋体" w:hAnsi="宋体" w:eastAsia="宋体"/>
          <w:sz w:val="24"/>
          <w:lang w:eastAsia="zh-CN"/>
        </w:rPr>
        <w:t>蒙培元在分析这一段落时指出：“周敦颐的太极图说，把宇宙的生成过程描述为一个从太极出发、经阴阳两仪到五行、再到万物的连续生成过程。这个过程不是外在的创造，而是内在的自我展开——太极通过自身的运动变化，产生了万事万物。这种内在生成论，与基督教外在创造论（上帝从无中创造世界）形成了根本对立。”</w:t>
      </w:r>
      <w:r>
        <w:rPr>
          <w:rStyle w:val="138"/>
          <w:rFonts w:hint="eastAsia" w:ascii="宋体" w:hAnsi="宋体" w:eastAsia="宋体"/>
          <w:sz w:val="24"/>
          <w:lang w:eastAsia="zh-CN"/>
        </w:rPr>
        <w:footnoteReference w:id="18"/>
      </w:r>
      <w:r>
        <w:rPr>
          <w:sz w:val="16"/>
          <w:vertAlign w:val="superscript"/>
        </w:rPr>
        <w:t>[14]</w:t>
      </w:r>
    </w:p>
    <w:p w14:paraId="39C77394">
      <w:pPr>
        <w:spacing w:line="360" w:lineRule="auto"/>
        <w:ind w:firstLine="420"/>
        <w:rPr>
          <w:rFonts w:hint="eastAsia"/>
          <w:lang w:eastAsia="zh-CN"/>
        </w:rPr>
      </w:pPr>
      <w:r>
        <w:rPr>
          <w:rFonts w:ascii="宋体" w:hAnsi="宋体" w:eastAsia="宋体"/>
          <w:sz w:val="24"/>
          <w:lang w:eastAsia="zh-CN"/>
        </w:rPr>
        <w:t>程颐在《遗书》中对“理”的普遍性有更为简洁的表述：“天下只是一个理”；又说：“一物之理即万物之理，一事之理即万事之理，吾心之理即宇宙之理。”</w:t>
      </w:r>
      <w:r>
        <w:rPr>
          <w:rStyle w:val="138"/>
          <w:rFonts w:hint="eastAsia" w:ascii="宋体" w:hAnsi="宋体" w:eastAsia="宋体"/>
          <w:sz w:val="24"/>
          <w:lang w:eastAsia="zh-CN"/>
        </w:rPr>
        <w:footnoteReference w:id="19"/>
      </w:r>
      <w:r>
        <w:rPr>
          <w:rFonts w:ascii="宋体" w:hAnsi="宋体" w:eastAsia="宋体"/>
          <w:sz w:val="24"/>
          <w:lang w:eastAsia="zh-CN"/>
        </w:rPr>
        <w:t>这几句话揭示了程朱理学“理一分殊”的基本结构：宇宙间只有一个“理”，但这个“理”同时体现在万事万物之中，每一物都有其各自的“理”，所有个别之理又统归于一个整体之“理”。蒙培元对这一结构有精辟的分析：“‘理一分殊’是宋明理学的核心命题之一。‘理一’是说宇宙万物有共同的根源，这个根源就是‘天理’或‘太极’；‘分殊’是说这个共同的根源在不同的事物中有不同的表现形态，即各物的具体之理各不相同。这个命题的关键在于：‘分殊’并不否定‘理一’，‘理一’也不消灭‘分殊’——两者是辩证统一的关系。”</w:t>
      </w:r>
      <w:r>
        <w:rPr>
          <w:rStyle w:val="138"/>
          <w:rFonts w:hint="eastAsia" w:ascii="宋体" w:hAnsi="宋体" w:eastAsia="宋体"/>
          <w:sz w:val="24"/>
          <w:lang w:eastAsia="zh-CN"/>
        </w:rPr>
        <w:footnoteReference w:id="20"/>
      </w:r>
      <w:r>
        <w:rPr>
          <w:sz w:val="16"/>
          <w:vertAlign w:val="superscript"/>
        </w:rPr>
        <w:t>[3]</w:t>
      </w:r>
    </w:p>
    <w:p w14:paraId="33A9CE15">
      <w:pPr>
        <w:spacing w:line="360" w:lineRule="auto"/>
        <w:ind w:firstLine="420"/>
        <w:rPr>
          <w:lang w:eastAsia="zh-CN"/>
        </w:rPr>
      </w:pPr>
      <w:r>
        <w:rPr>
          <w:rFonts w:ascii="宋体" w:hAnsi="宋体" w:eastAsia="宋体"/>
          <w:sz w:val="24"/>
          <w:lang w:eastAsia="zh-CN"/>
        </w:rPr>
        <w:t>朱熹在《朱子语类》中对“理”的本体论地位有更为直接的表述：“理也者，形而上之道也，生物之本也；气也者，形而下之器也，生物之具也。是以人物之生，必禀此理，然后有性；必禀此气，然后有形。”</w:t>
      </w:r>
      <w:r>
        <w:rPr>
          <w:rStyle w:val="138"/>
          <w:rFonts w:hint="eastAsia" w:ascii="宋体" w:hAnsi="宋体" w:eastAsia="宋体"/>
          <w:sz w:val="24"/>
          <w:lang w:eastAsia="zh-CN"/>
        </w:rPr>
        <w:footnoteReference w:id="21"/>
      </w:r>
      <w:r>
        <w:rPr>
          <w:rFonts w:ascii="宋体" w:hAnsi="宋体" w:eastAsia="宋体"/>
          <w:sz w:val="24"/>
          <w:lang w:eastAsia="zh-CN"/>
        </w:rPr>
        <w:t>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r>
        <w:rPr>
          <w:sz w:val="16"/>
          <w:vertAlign w:val="superscript"/>
        </w:rPr>
        <w:t>[1][4]</w:t>
      </w:r>
    </w:p>
    <w:p w14:paraId="1453C2E4">
      <w:pPr>
        <w:pStyle w:val="5"/>
        <w:ind w:firstLine="482"/>
        <w:rPr>
          <w:lang w:eastAsia="zh-CN"/>
        </w:rPr>
      </w:pPr>
      <w:r>
        <w:rPr>
          <w:lang w:eastAsia="zh-CN"/>
        </w:rPr>
        <w:t>“太极即理”的理论张力</w:t>
      </w:r>
    </w:p>
    <w:p w14:paraId="6C684E56">
      <w:pPr>
        <w:spacing w:line="360" w:lineRule="auto"/>
        <w:ind w:firstLine="420"/>
        <w:rPr>
          <w:lang w:eastAsia="zh-CN"/>
        </w:rPr>
      </w:pPr>
      <w:r>
        <w:rPr>
          <w:rFonts w:ascii="宋体" w:hAnsi="宋体" w:eastAsia="宋体"/>
          <w:sz w:val="24"/>
          <w:lang w:eastAsia="zh-C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 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r>
        <w:rPr>
          <w:sz w:val="16"/>
          <w:vertAlign w:val="superscript"/>
        </w:rPr>
        <w:t>[5][63][64][23]</w:t>
      </w:r>
    </w:p>
    <w:p w14:paraId="78922B34">
      <w:pPr>
        <w:pStyle w:val="4"/>
        <w:spacing w:before="120" w:after="120"/>
        <w:ind w:firstLine="562"/>
        <w:rPr>
          <w:lang w:eastAsia="zh-CN"/>
        </w:rPr>
      </w:pPr>
      <w:r>
        <w:rPr>
          <w:rFonts w:hint="eastAsia"/>
          <w:lang w:eastAsia="zh-CN"/>
        </w:rPr>
        <w:t xml:space="preserve">第二节 </w:t>
      </w:r>
      <w:r>
        <w:rPr>
          <w:lang w:eastAsia="zh-CN"/>
        </w:rPr>
        <w:t>《天主实义》的文本结构与论辩策略</w:t>
      </w:r>
    </w:p>
    <w:p w14:paraId="1A9074BC">
      <w:pPr>
        <w:spacing w:line="360" w:lineRule="auto"/>
        <w:ind w:firstLine="420"/>
        <w:rPr>
          <w:lang w:eastAsia="zh-CN"/>
        </w:rPr>
      </w:pPr>
      <w:r>
        <w:rPr>
          <w:rFonts w:ascii="宋体" w:hAnsi="宋体" w:eastAsia="宋体"/>
          <w:sz w:val="24"/>
          <w:lang w:eastAsia="zh-CN"/>
        </w:rPr>
        <w:t>在厘清了程朱理学中“理”与“太极”的本来面貌之后，我们现在可以转向利玛窦的文本，分析他如何在《天主实义》中展开对这两个概念的批判。</w:t>
      </w:r>
      <w:r>
        <w:rPr>
          <w:sz w:val="16"/>
          <w:vertAlign w:val="superscript"/>
        </w:rPr>
        <w:t>[11]</w:t>
      </w:r>
    </w:p>
    <w:p w14:paraId="32DB1A1A">
      <w:pPr>
        <w:pStyle w:val="5"/>
        <w:numPr>
          <w:ilvl w:val="0"/>
          <w:numId w:val="8"/>
        </w:numPr>
        <w:ind w:firstLineChars="0"/>
        <w:rPr>
          <w:lang w:eastAsia="zh-CN"/>
        </w:rPr>
      </w:pPr>
      <w:r>
        <w:rPr>
          <w:lang w:eastAsia="zh-CN"/>
        </w:rPr>
        <w:t>“中士”与“西士”的对话形式</w:t>
      </w:r>
    </w:p>
    <w:p w14:paraId="1A852E11">
      <w:pPr>
        <w:spacing w:line="360" w:lineRule="auto"/>
        <w:ind w:firstLine="420"/>
        <w:rPr>
          <w:lang w:eastAsia="zh-CN"/>
        </w:rPr>
      </w:pPr>
      <w:r>
        <w:rPr>
          <w:rFonts w:ascii="宋体" w:hAnsi="宋体" w:eastAsia="宋体"/>
          <w:sz w:val="24"/>
          <w:lang w:eastAsia="zh-CN"/>
        </w:rPr>
        <w:t>《天主实义》的写作形式本身就具有深意。利玛窦将全书设置为“中士”与“西士”的对话——“中士”代表中国士人的立场（在大多数情况下，相当于程朱理学家的立场），而“西士”则代表利玛窦本人的立场 。这种对话体的选择，至少具有双重效果：第一，它营造出一种平等交流的氛围，使中国读者不至于感到被居高临下地“说教”；第二，它巧妙地将利玛窦的论点包装成对“中士”问题的回应，从而利玛窦所预期的中国读者的“思想防线”。通过让“西士”逐一化解这些质疑，利玛窦实际上完成了一场针对潜在读者心理的“预演式”说服。</w:t>
      </w:r>
      <w:r>
        <w:rPr>
          <w:vertAlign w:val="superscript"/>
        </w:rPr>
        <w:footnoteReference w:id="22"/>
      </w:r>
      <w:r>
        <w:t>在论证中占据了“主动解疑”而非“被动辩解”的位置。 值得注意的是，书中“中士”并非一个完全被动的角色。他经常提出尖锐的质疑，而这些质疑恰恰反映了</w:t>
      </w:r>
      <w:r>
        <w:rPr>
          <w:sz w:val="16"/>
          <w:vertAlign w:val="superscript"/>
        </w:rPr>
        <w:t>[11][48]</w:t>
      </w:r>
    </w:p>
    <w:p w14:paraId="0244F4C2">
      <w:pPr>
        <w:pStyle w:val="5"/>
        <w:ind w:firstLine="482"/>
        <w:rPr>
          <w:lang w:eastAsia="zh-CN"/>
        </w:rPr>
      </w:pPr>
      <w:r>
        <w:rPr>
          <w:lang w:eastAsia="zh-CN"/>
        </w:rPr>
        <w:t>利玛窦对“太极”的批判</w:t>
      </w:r>
    </w:p>
    <w:p w14:paraId="2A6E5AE5">
      <w:pPr>
        <w:spacing w:line="360" w:lineRule="auto"/>
        <w:ind w:firstLine="420"/>
        <w:rPr>
          <w:lang w:eastAsia="zh-CN"/>
        </w:rPr>
      </w:pPr>
      <w:r>
        <w:rPr>
          <w:rFonts w:ascii="宋体" w:hAnsi="宋体" w:eastAsia="宋体"/>
          <w:sz w:val="24"/>
          <w:lang w:eastAsia="zh-CN"/>
        </w:rPr>
        <w:t>《天主实义》中直接针对“太极”的批判出现在第二篇“解释世人错认天主”中。利玛窦的主要论点可以概括为三点： 第一，“太极”一词不见于儒家原始经典。利玛窦指出：“如太极为上帝、万物之祖，古圣何隐其说乎？” 在他看来，如果“太极”真的具有如此根本的地位，那么孔子、孟子等先圣不可能只字不提。这一论证策略是典型的“诉诸经典权威”——利玛窦正是试图通过抬高“古儒”来贬低“今儒”（宋儒）。 第二，即使将“太极”解释为“理”，此“理”也无法自存自立。利玛窦进一步论证，宋儒所说的“无极而太极”，无非是“依赖奇偶之象的道理”，是“虚象”与“虚理”</w:t>
      </w:r>
      <w:r>
        <w:rPr>
          <w:rFonts w:ascii="Times New Roman" w:hAnsi="Times New Roman" w:eastAsia="宋体"/>
          <w:vertAlign w:val="superscript"/>
        </w:rPr>
        <w:footnoteReference w:id="23"/>
      </w:r>
      <w:r>
        <w:t>。这一批判的核心依据正是西方经院哲学中“自立者”（substance）与“依赖者”（accident）的区分——利玛</w:t>
      </w:r>
      <w:r>
        <w:rPr>
          <w:rFonts w:ascii="宋体" w:hAnsi="宋体" w:eastAsia="宋体"/>
          <w:sz w:val="24"/>
          <w:lang w:eastAsia="zh-CN"/>
        </w:rPr>
        <w:t>窦认为，“理”既然依赖于“物”而存在（即“理”是事物的属性或条理），它就不可能是自存自立的实体，更不可能化生万物。 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r>
        <w:rPr>
          <w:sz w:val="16"/>
          <w:vertAlign w:val="superscript"/>
        </w:rPr>
        <w:t>[11]</w:t>
      </w:r>
    </w:p>
    <w:p w14:paraId="66A1C14F">
      <w:pPr>
        <w:pStyle w:val="5"/>
        <w:ind w:firstLine="482"/>
        <w:rPr>
          <w:lang w:eastAsia="zh-CN"/>
        </w:rPr>
      </w:pPr>
      <w:r>
        <w:rPr>
          <w:lang w:eastAsia="zh-CN"/>
        </w:rPr>
        <w:t>将“理”判定为“依赖者”：经院哲学框架的引入</w:t>
      </w:r>
    </w:p>
    <w:p w14:paraId="6681D46E">
      <w:pPr>
        <w:spacing w:line="360" w:lineRule="auto"/>
        <w:ind w:firstLine="420"/>
        <w:rPr>
          <w:lang w:eastAsia="zh-CN"/>
        </w:rPr>
      </w:pPr>
      <w:r>
        <w:rPr>
          <w:rFonts w:ascii="宋体" w:hAnsi="宋体" w:eastAsia="宋体"/>
          <w:sz w:val="24"/>
          <w:lang w:eastAsia="zh-CN"/>
        </w:rPr>
        <w:t>在上述批判中，最具根本性的一步是利玛窦将“理”判定为“依赖者”。他依据经院哲学的分类原则——“物之宗品有二，有自立者，有依赖者”——将“理”归入后者窦看来，“理”不过是事物的条理、属性或法则，离开了具体事物，“理”也无法独立存在。 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 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r>
        <w:rPr>
          <w:vertAlign w:val="superscript"/>
        </w:rPr>
        <w:footnoteReference w:id="24"/>
      </w:r>
      <w:r>
        <w:t>。这一判定的理论前提是：存在者可以分为两类——一类是“自立者”（substance），即能够独立存在的实体；另一类是“依赖者”（accident），即必须依附于实体才能存在的属性或关系。在利玛</w:t>
      </w:r>
      <w:r>
        <w:rPr>
          <w:sz w:val="16"/>
          <w:vertAlign w:val="superscript"/>
        </w:rPr>
        <w:t>[11]</w:t>
      </w:r>
    </w:p>
    <w:p w14:paraId="1DBF6CE9">
      <w:pPr>
        <w:pStyle w:val="4"/>
        <w:spacing w:before="120" w:after="120"/>
        <w:ind w:firstLine="562"/>
        <w:rPr>
          <w:lang w:eastAsia="zh-CN"/>
        </w:rPr>
      </w:pPr>
      <w:r>
        <w:rPr>
          <w:rFonts w:hint="eastAsia"/>
          <w:lang w:eastAsia="zh-CN"/>
        </w:rPr>
        <w:t xml:space="preserve">第三节 </w:t>
      </w:r>
      <w:r>
        <w:rPr>
          <w:lang w:eastAsia="zh-CN"/>
        </w:rPr>
        <w:t>两种本体论路径的相遇与错位</w:t>
      </w:r>
    </w:p>
    <w:p w14:paraId="53C1DE2A">
      <w:pPr>
        <w:spacing w:line="360" w:lineRule="auto"/>
        <w:ind w:firstLine="420"/>
        <w:rPr>
          <w:lang w:eastAsia="zh-CN"/>
        </w:rPr>
      </w:pPr>
      <w:r>
        <w:rPr>
          <w:rFonts w:ascii="宋体" w:hAnsi="宋体" w:eastAsia="宋体"/>
          <w:sz w:val="24"/>
          <w:lang w:eastAsia="zh-CN"/>
        </w:rPr>
        <w:t>经过前两节的分析，我们现在可以更系统地审视利玛窦与程朱理学之间的根本分歧。这一分歧，远不止于对几个概念的异义理解，而是两种本体论路径的深层相遇与错位。</w:t>
      </w:r>
      <w:r>
        <w:rPr>
          <w:sz w:val="16"/>
          <w:vertAlign w:val="superscript"/>
        </w:rPr>
        <w:t>[20]</w:t>
      </w:r>
    </w:p>
    <w:p w14:paraId="4F74E1F3">
      <w:pPr>
        <w:pStyle w:val="5"/>
        <w:numPr>
          <w:ilvl w:val="0"/>
          <w:numId w:val="9"/>
        </w:numPr>
        <w:ind w:firstLineChars="0"/>
        <w:rPr>
          <w:lang w:eastAsia="zh-CN"/>
        </w:rPr>
      </w:pPr>
      <w:r>
        <w:rPr>
          <w:lang w:eastAsia="zh-CN"/>
        </w:rPr>
        <w:t>从“理”与“上帝”的错位看跨文化对话的困境</w:t>
      </w:r>
    </w:p>
    <w:p w14:paraId="520D084F">
      <w:pPr>
        <w:spacing w:line="360" w:lineRule="auto"/>
        <w:ind w:firstLine="420"/>
        <w:rPr>
          <w:lang w:eastAsia="zh-CN"/>
        </w:rPr>
      </w:pPr>
      <w:r>
        <w:rPr>
          <w:rFonts w:ascii="宋体" w:hAnsi="宋体" w:eastAsia="宋体"/>
          <w:sz w:val="24"/>
          <w:lang w:eastAsia="zh-C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 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 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r>
        <w:rPr>
          <w:sz w:val="16"/>
          <w:vertAlign w:val="superscript"/>
        </w:rPr>
        <w:t>[11][20]</w:t>
      </w:r>
    </w:p>
    <w:p w14:paraId="5904A127">
      <w:pPr>
        <w:pStyle w:val="5"/>
        <w:ind w:firstLine="482"/>
        <w:rPr>
          <w:lang w:eastAsia="zh-CN"/>
        </w:rPr>
      </w:pPr>
      <w:r>
        <w:rPr>
          <w:lang w:eastAsia="zh-CN"/>
        </w:rPr>
        <w:t>谁误解了谁？——跨文化理解中的“有意曲解”</w:t>
      </w:r>
    </w:p>
    <w:p w14:paraId="21A748EF">
      <w:pPr>
        <w:spacing w:line="360" w:lineRule="auto"/>
        <w:ind w:firstLine="420"/>
        <w:rPr>
          <w:lang w:eastAsia="zh-CN"/>
        </w:rPr>
      </w:pPr>
      <w:r>
        <w:rPr>
          <w:rFonts w:ascii="宋体" w:hAnsi="宋体" w:eastAsia="宋体"/>
          <w:sz w:val="24"/>
          <w:lang w:eastAsia="zh-C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 但更深刻的问题是：这种“误解”是偶然的吗？还是出于传教策略的需要而“有意”为之？我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 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 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r>
        <w:rPr>
          <w:sz w:val="16"/>
          <w:vertAlign w:val="superscript"/>
        </w:rPr>
        <w:t>[16][20][25][26]</w:t>
      </w:r>
    </w:p>
    <w:p w14:paraId="29A5C4A7">
      <w:pPr>
        <w:pStyle w:val="4"/>
        <w:spacing w:before="120" w:after="120"/>
        <w:ind w:firstLine="562"/>
        <w:rPr>
          <w:lang w:eastAsia="zh-CN"/>
        </w:rPr>
      </w:pPr>
      <w:r>
        <w:rPr>
          <w:rFonts w:hint="eastAsia"/>
          <w:lang w:eastAsia="zh-CN"/>
        </w:rPr>
        <w:t xml:space="preserve">第四节 </w:t>
      </w:r>
      <w:r>
        <w:rPr>
          <w:lang w:eastAsia="zh-CN"/>
        </w:rPr>
        <w:t>本章小结</w:t>
      </w:r>
    </w:p>
    <w:p w14:paraId="57760D9D">
      <w:pPr>
        <w:spacing w:line="360" w:lineRule="auto"/>
        <w:ind w:firstLine="420"/>
        <w:rPr>
          <w:rFonts w:hint="eastAsia" w:ascii="宋体" w:hAnsi="宋体" w:eastAsia="宋体"/>
          <w:sz w:val="24"/>
          <w:lang w:eastAsia="zh-CN"/>
        </w:rPr>
      </w:pPr>
      <w:r>
        <w:rPr>
          <w:rFonts w:ascii="宋体" w:hAnsi="宋体" w:eastAsia="宋体"/>
          <w:sz w:val="24"/>
          <w:lang w:eastAsia="zh-C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 但与此同时，我们也必须看到：利玛窦对“理”与“太极”的批判，本质上是一种“以两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意义置换”机制提供了舞台。</w:t>
      </w:r>
      <w:r>
        <w:rPr>
          <w:sz w:val="16"/>
          <w:vertAlign w:val="superscript"/>
        </w:rPr>
        <w:t>[1][2][11][14]</w:t>
      </w:r>
    </w:p>
    <w:p w14:paraId="1A858E91">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66F51CCB">
      <w:pPr>
        <w:pStyle w:val="3"/>
        <w:spacing w:before="240" w:after="240"/>
        <w:rPr>
          <w:lang w:eastAsia="zh-CN"/>
        </w:rPr>
      </w:pPr>
      <w:r>
        <w:rPr>
          <w:lang w:eastAsia="zh-CN"/>
        </w:rPr>
        <w:t>第三章 概念挪用与改造</w:t>
      </w:r>
    </w:p>
    <w:p w14:paraId="645E9300">
      <w:pPr>
        <w:pStyle w:val="4"/>
        <w:spacing w:before="120" w:after="120"/>
        <w:ind w:firstLine="562"/>
        <w:rPr>
          <w:lang w:eastAsia="zh-CN"/>
        </w:rPr>
      </w:pPr>
      <w:r>
        <w:rPr>
          <w:rFonts w:hint="eastAsia"/>
          <w:lang w:eastAsia="zh-CN"/>
        </w:rPr>
        <w:t>第一节</w:t>
      </w:r>
      <w:r>
        <w:rPr>
          <w:lang w:eastAsia="zh-CN"/>
        </w:rPr>
        <w:t>“釜底抽薪”：拆解“理”与“太极”的本体论地位</w:t>
      </w:r>
    </w:p>
    <w:p w14:paraId="1B3A5F7D">
      <w:pPr>
        <w:spacing w:line="360" w:lineRule="auto"/>
        <w:ind w:firstLine="420"/>
        <w:rPr>
          <w:lang w:eastAsia="zh-CN"/>
        </w:rPr>
      </w:pPr>
      <w:r>
        <w:rPr>
          <w:rFonts w:ascii="宋体" w:hAnsi="宋体" w:eastAsia="宋体"/>
          <w:sz w:val="24"/>
          <w:lang w:eastAsia="zh-C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釜底抽薪，从根基上动摇它们作为终极本原的正当性。 这一策略在《天主实义》中主要体现为三个层面的操作：概念层级的下移、功能属性的剥离，以及经典权威的反转。</w:t>
      </w:r>
      <w:r>
        <w:rPr>
          <w:sz w:val="16"/>
          <w:vertAlign w:val="superscript"/>
        </w:rPr>
        <w:t>[11]</w:t>
      </w:r>
    </w:p>
    <w:p w14:paraId="296DF4E2">
      <w:pPr>
        <w:pStyle w:val="5"/>
        <w:numPr>
          <w:ilvl w:val="0"/>
          <w:numId w:val="10"/>
        </w:numPr>
        <w:ind w:firstLineChars="0"/>
        <w:rPr>
          <w:lang w:eastAsia="zh-CN"/>
        </w:rPr>
      </w:pPr>
      <w:r>
        <w:rPr>
          <w:lang w:eastAsia="zh-CN"/>
        </w:rPr>
        <w:t>概念层级的下移：从“本体”到“属性”</w:t>
      </w:r>
    </w:p>
    <w:p w14:paraId="7A585DF6">
      <w:pPr>
        <w:spacing w:line="360" w:lineRule="auto"/>
        <w:ind w:firstLine="420"/>
        <w:rPr>
          <w:lang w:eastAsia="zh-CN"/>
        </w:rPr>
      </w:pPr>
      <w:r>
        <w:rPr>
          <w:rFonts w:ascii="宋体" w:hAnsi="宋体" w:eastAsia="宋体"/>
          <w:sz w:val="24"/>
          <w:lang w:eastAsia="zh-CN"/>
        </w:rPr>
        <w:t>利玛窦拆解策略的第一招，是将“理”与“太极”从“本体”的层级降格为“属性”的层级。这一操作所依赖的理论工具，是西方经院哲学中“实体—偶性”（substance-accident）的分类框架。 在《天主实义》第二篇中，利玛窦借“西士”之口，提出了一个看似简单却极具颠覆性的论断： “若太极者，止解之以所谓理，则不能为天地万物之原矣。盖理亦依赖之类，自不能立，奚能立他？” 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 为了支撑这一论断，利玛窦引入了一个基本的存在论区分： “物之宗品有二：有自立者，有依赖者。自立者，如天地、人物、鬼神之类；依赖者，如大小、长短、善恶、邪正之类。” 在利玛窦看来，“理”显然属于后者——它不过是事物的大小、长短、条理、秩序等属性的总称。正如“大小”不能脱离具体事物而存在，“理”也不能脱离具体事物而独立自存。因此，“理”不可能成为万物的本原，因为本原必须是不依赖他物而“自立”的。 这一论证看似逻辑严密，实则隐藏着一个根本性的“范畴错误”。如前所述，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 然而，正是这种“有选择的关注”，构成了利玛窦策略的核心特征。他不是在“忠实理解”程朱理学，而是在“创造性重构”程朱理学——通过将“理”仅仅解释为“依赖者”，他成功地将“理”从本体的宝座上拉了下来，为“上帝”的登台清空了位置。 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r>
        <w:rPr>
          <w:sz w:val="16"/>
          <w:vertAlign w:val="superscript"/>
        </w:rPr>
        <w:t>[11][57]</w:t>
      </w:r>
    </w:p>
    <w:p w14:paraId="2B199ABC">
      <w:pPr>
        <w:pStyle w:val="5"/>
        <w:ind w:firstLine="482"/>
        <w:rPr>
          <w:lang w:eastAsia="zh-CN"/>
        </w:rPr>
      </w:pPr>
      <w:r>
        <w:rPr>
          <w:lang w:eastAsia="zh-CN"/>
        </w:rPr>
        <w:t>功能属性的剥离：否定“理”作为生成原则的身份</w:t>
      </w:r>
    </w:p>
    <w:p w14:paraId="1051D539">
      <w:pPr>
        <w:spacing w:line="360" w:lineRule="auto"/>
        <w:ind w:firstLine="420"/>
        <w:rPr>
          <w:lang w:eastAsia="zh-CN"/>
        </w:rPr>
      </w:pPr>
      <w:r>
        <w:rPr>
          <w:rFonts w:ascii="宋体" w:hAnsi="宋体" w:eastAsia="宋体"/>
          <w:sz w:val="24"/>
          <w:lang w:eastAsia="zh-CN"/>
        </w:rPr>
        <w:t>除了将“理”降格为“属性”，利玛窦的第二招是否定“理”作为宇宙生成原则的功能。在程朱理学中，“理”虽然本身“不会造作”，但通过“搭在气上”而推动万物的生成变化。而利玛窦则从根本上否定了“理”具有任何生成能力。 在《天主实义》中，利玛窦通过“中士”之口，提出了宋代儒学宇宙论中的一个核心命题： “太极生阴阳，阴阳生万物。” 紧接着，“西士”做出了决定性的反驳： “夫太极之生阴阳，犹理之生气乎？理也者，依赖之谓也，非能生物者也。” 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 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 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r>
        <w:rPr>
          <w:sz w:val="16"/>
          <w:vertAlign w:val="superscript"/>
        </w:rPr>
        <w:t>[11]</w:t>
      </w:r>
    </w:p>
    <w:p w14:paraId="2E6DA4A7">
      <w:pPr>
        <w:pStyle w:val="5"/>
        <w:ind w:firstLine="482"/>
        <w:rPr>
          <w:lang w:eastAsia="zh-CN"/>
        </w:rPr>
      </w:pPr>
      <w:r>
        <w:rPr>
          <w:lang w:eastAsia="zh-CN"/>
        </w:rPr>
        <w:t>经典权威的反转：以“古儒”压“今儒”</w:t>
      </w:r>
    </w:p>
    <w:p w14:paraId="3F52764E">
      <w:pPr>
        <w:spacing w:line="360" w:lineRule="auto"/>
        <w:ind w:firstLine="420"/>
        <w:rPr>
          <w:lang w:eastAsia="zh-CN"/>
        </w:rPr>
      </w:pPr>
      <w:r>
        <w:rPr>
          <w:rFonts w:ascii="宋体" w:hAnsi="宋体" w:eastAsia="宋体"/>
          <w:sz w:val="24"/>
          <w:lang w:eastAsia="zh-CN"/>
        </w:rPr>
        <w:t>除了概念层面和功能层面的操作，利玛窦还使用了一种更为隐蔽的策略——经典权威的反转。他通过援引先秦儒家经典（“六经”）中的“上帝”概念，来论证宋儒的“理”与“太极”是后世的“发明”，而非中国文化的正统。 在《天主实义》中，利玛窦多次引用《诗经》《尚书》等先秦典籍中出现的“上帝”一词，试图证明中国古儒原本就崇拜一位人格化的至上神： 《诗》云：“皇矣上帝，临下有赫。”又云：“上帝临汝，无贰尔心。” 《书》曰：“惟上帝不常，作善降之百祥，作不善降之百殃。” 利玛窦据此论证，中国古人所崇拜的“上帝”，与基督教所信仰的“天主”实际上是同一个神。宋儒将“上帝”抽象化为“理”和“太极”，是对古儒传统的背离与败坏。因此，他利玛窦并非在引入一个新神，而是在“恢复”中国古人原本就有的信仰。 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 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r>
        <w:rPr>
          <w:sz w:val="16"/>
          <w:vertAlign w:val="superscript"/>
        </w:rPr>
        <w:t>[11][5][60]</w:t>
      </w:r>
    </w:p>
    <w:p w14:paraId="59916DCB">
      <w:pPr>
        <w:pStyle w:val="4"/>
        <w:spacing w:before="120" w:after="120"/>
        <w:ind w:firstLine="562"/>
        <w:rPr>
          <w:lang w:eastAsia="zh-CN"/>
        </w:rPr>
      </w:pPr>
      <w:r>
        <w:rPr>
          <w:rFonts w:hint="eastAsia"/>
          <w:lang w:eastAsia="zh-CN"/>
        </w:rPr>
        <w:t xml:space="preserve">第二节 </w:t>
      </w:r>
      <w:r>
        <w:rPr>
          <w:lang w:eastAsia="zh-CN"/>
        </w:rPr>
        <w:t>“借壳上市”：重塑“上帝”概念的权威性</w:t>
      </w:r>
    </w:p>
    <w:p w14:paraId="3B2DEE52">
      <w:pPr>
        <w:spacing w:line="360" w:lineRule="auto"/>
        <w:ind w:firstLine="420"/>
        <w:rPr>
          <w:lang w:eastAsia="zh-CN"/>
        </w:rPr>
      </w:pPr>
      <w:r>
        <w:rPr>
          <w:rFonts w:ascii="宋体" w:hAnsi="宋体" w:eastAsia="宋体"/>
          <w:sz w:val="24"/>
          <w:lang w:eastAsia="zh-CN"/>
        </w:rPr>
        <w:t>如果说“釜底抽薪”是利玛窦的“破”的功夫，那么“借壳上市”就是他的“立”的功夫。在拆除了“理”与“太极”的本体论地位之后，利玛窦需要重建一个可替代的终极本原——而这正是“上帝”概念所要扮演的角色。 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r>
        <w:rPr>
          <w:sz w:val="16"/>
          <w:vertAlign w:val="superscript"/>
        </w:rPr>
        <w:t>[11]</w:t>
      </w:r>
    </w:p>
    <w:p w14:paraId="6C1C9701">
      <w:pPr>
        <w:pStyle w:val="5"/>
        <w:numPr>
          <w:ilvl w:val="0"/>
          <w:numId w:val="11"/>
        </w:numPr>
        <w:ind w:firstLineChars="0"/>
        <w:rPr>
          <w:lang w:eastAsia="zh-CN"/>
        </w:rPr>
      </w:pPr>
      <w:r>
        <w:rPr>
          <w:lang w:eastAsia="zh-CN"/>
        </w:rPr>
        <w:t>重新定义“上帝”：“生生”之力与位格性</w:t>
      </w:r>
    </w:p>
    <w:p w14:paraId="1FD9EBB0">
      <w:pPr>
        <w:spacing w:line="360" w:lineRule="auto"/>
        <w:ind w:firstLine="420"/>
        <w:rPr>
          <w:lang w:eastAsia="zh-CN"/>
        </w:rPr>
      </w:pPr>
      <w:r>
        <w:rPr>
          <w:rFonts w:ascii="宋体" w:hAnsi="宋体" w:eastAsia="宋体"/>
          <w:sz w:val="24"/>
          <w:lang w:eastAsia="zh-CN"/>
        </w:rPr>
        <w:t>在《天主实义》中，利玛窦对“上帝”概念进行了系统的重新定义。他赋予“上帝”两个核心特征：一是“生生”的创造之力，二是位格性的道德主宰。 首先，关于“生生”之力。利玛窦强调，上帝是“生生者”——即万物的创造者与维持者。与“理”的“不会造作”不同，上帝具有生成万物的主动能力： “吾天主者，乃生生者，无所不能，无物不有。” 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 其次，关于位格性。利玛窦特别强调上帝作为“至灵至明”的存在，具有认知、意愿和行动的能力。这与“理”作为“无灵觉”的存在形成了鲜明对比： “理也者，依赖之谓也，非灵觉者也；上帝者，自立之谓也，灵觉者也。” 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r>
        <w:rPr>
          <w:sz w:val="16"/>
          <w:vertAlign w:val="superscript"/>
        </w:rPr>
        <w:t>[11]</w:t>
      </w:r>
    </w:p>
    <w:p w14:paraId="06338F31">
      <w:pPr>
        <w:pStyle w:val="5"/>
        <w:ind w:firstLine="482"/>
        <w:rPr>
          <w:lang w:eastAsia="zh-CN"/>
        </w:rPr>
      </w:pPr>
      <w:r>
        <w:rPr>
          <w:lang w:eastAsia="zh-CN"/>
        </w:rPr>
        <w:t>经典证据的拼合：“上帝”在先秦儒家中的角色</w:t>
      </w:r>
    </w:p>
    <w:p w14:paraId="0308EC86">
      <w:pPr>
        <w:spacing w:line="360" w:lineRule="auto"/>
        <w:ind w:firstLine="420"/>
        <w:rPr>
          <w:lang w:eastAsia="zh-CN"/>
        </w:rPr>
      </w:pPr>
      <w:r>
        <w:rPr>
          <w:rFonts w:ascii="宋体" w:hAnsi="宋体" w:eastAsia="宋体"/>
          <w:sz w:val="24"/>
          <w:lang w:eastAsia="zh-C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 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 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r>
        <w:rPr>
          <w:sz w:val="16"/>
          <w:vertAlign w:val="superscript"/>
        </w:rPr>
        <w:t>[11][5][60]</w:t>
      </w:r>
    </w:p>
    <w:p w14:paraId="08667A1E">
      <w:pPr>
        <w:pStyle w:val="5"/>
        <w:ind w:firstLine="482"/>
        <w:rPr>
          <w:lang w:eastAsia="zh-CN"/>
        </w:rPr>
      </w:pPr>
      <w:r>
        <w:rPr>
          <w:lang w:eastAsia="zh-CN"/>
        </w:rPr>
        <w:t>“借壳”还是“换核”？——概念移植的内在张力</w:t>
      </w:r>
    </w:p>
    <w:p w14:paraId="5E679589">
      <w:pPr>
        <w:spacing w:line="360" w:lineRule="auto"/>
        <w:ind w:firstLine="420"/>
        <w:rPr>
          <w:lang w:eastAsia="zh-CN"/>
        </w:rPr>
      </w:pPr>
      <w:r>
        <w:rPr>
          <w:rFonts w:ascii="宋体" w:hAnsi="宋体" w:eastAsia="宋体"/>
          <w:sz w:val="24"/>
          <w:lang w:eastAsia="zh-CN"/>
        </w:rPr>
        <w:t>“借壳上市”这一比喻，虽然形象地描述了利玛窦的策略，但也隐含着一个内在张力：当“外壳”（“上帝”一词）被移植到一个全新的文化语境中时，它原有的“内容”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r>
        <w:rPr>
          <w:vertAlign w:val="superscript"/>
        </w:rPr>
        <w:footnoteReference w:id="25"/>
      </w:r>
      <w:r>
        <w:t>（中国古人赋予“上帝”的含义）是否还能保留？或者说，“壳”与“核”之间是否存在不可分割的内在联系？ 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 事实上，正是这种“壳”与“核”之间的错位，导致了利玛</w:t>
      </w:r>
      <w:r>
        <w:rPr>
          <w:sz w:val="16"/>
          <w:vertAlign w:val="superscript"/>
        </w:rPr>
        <w:t>[11][20]</w:t>
      </w:r>
    </w:p>
    <w:p w14:paraId="46E081ED">
      <w:pPr>
        <w:pStyle w:val="4"/>
        <w:spacing w:before="120" w:after="120"/>
        <w:ind w:firstLine="562"/>
        <w:rPr>
          <w:lang w:eastAsia="zh-CN"/>
        </w:rPr>
      </w:pPr>
      <w:r>
        <w:rPr>
          <w:rFonts w:hint="eastAsia"/>
          <w:lang w:eastAsia="zh-CN"/>
        </w:rPr>
        <w:t xml:space="preserve">第三节 </w:t>
      </w:r>
      <w:r>
        <w:rPr>
          <w:lang w:eastAsia="zh-CN"/>
        </w:rPr>
        <w:t>两种策略的内在关联与张力</w:t>
      </w:r>
    </w:p>
    <w:p w14:paraId="2DE5317F">
      <w:pPr>
        <w:spacing w:line="360" w:lineRule="auto"/>
        <w:ind w:firstLine="420"/>
        <w:rPr>
          <w:lang w:eastAsia="zh-CN"/>
        </w:rPr>
      </w:pPr>
      <w:r>
        <w:rPr>
          <w:rFonts w:ascii="宋体" w:hAnsi="宋体" w:eastAsia="宋体"/>
          <w:sz w:val="24"/>
          <w:lang w:eastAsia="zh-CN"/>
        </w:rPr>
        <w:t>经过前两节的分别分析，我们现在可以回到一个更根本的问题：“釜底抽薪”与“借壳上市”这两种策略之间，存在着怎样的内在关联与张力？</w:t>
      </w:r>
    </w:p>
    <w:p w14:paraId="4CA8AB27">
      <w:pPr>
        <w:pStyle w:val="5"/>
        <w:numPr>
          <w:ilvl w:val="0"/>
          <w:numId w:val="12"/>
        </w:numPr>
        <w:ind w:firstLineChars="0"/>
        <w:rPr>
          <w:lang w:eastAsia="zh-CN"/>
        </w:rPr>
      </w:pPr>
      <w:r>
        <w:rPr>
          <w:lang w:eastAsia="zh-CN"/>
        </w:rPr>
        <w:t>策略的内在统一：破与立的共生关系</w:t>
      </w:r>
    </w:p>
    <w:p w14:paraId="7DBAE516">
      <w:pPr>
        <w:spacing w:line="360" w:lineRule="auto"/>
        <w:ind w:firstLine="420"/>
        <w:rPr>
          <w:lang w:eastAsia="zh-CN"/>
        </w:rPr>
      </w:pPr>
      <w:r>
        <w:rPr>
          <w:rFonts w:ascii="宋体" w:hAnsi="宋体" w:eastAsia="宋体"/>
          <w:sz w:val="24"/>
          <w:lang w:eastAsia="zh-C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 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r>
        <w:rPr>
          <w:sz w:val="16"/>
          <w:vertAlign w:val="superscript"/>
        </w:rPr>
        <w:t>[11]</w:t>
      </w:r>
    </w:p>
    <w:p w14:paraId="05F368BE">
      <w:pPr>
        <w:pStyle w:val="5"/>
        <w:ind w:firstLine="482"/>
        <w:rPr>
          <w:lang w:eastAsia="zh-CN"/>
        </w:rPr>
      </w:pPr>
      <w:r>
        <w:rPr>
          <w:lang w:eastAsia="zh-CN"/>
        </w:rPr>
        <w:t>策略的内在张力：适应与抗拒的辩证</w:t>
      </w:r>
    </w:p>
    <w:p w14:paraId="6605FC4A">
      <w:pPr>
        <w:spacing w:line="360" w:lineRule="auto"/>
        <w:ind w:firstLine="420"/>
        <w:rPr>
          <w:lang w:eastAsia="zh-CN"/>
        </w:rPr>
      </w:pPr>
      <w:r>
        <w:rPr>
          <w:rFonts w:ascii="宋体" w:hAnsi="宋体" w:eastAsia="宋体"/>
          <w:sz w:val="24"/>
          <w:lang w:eastAsia="zh-C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 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 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r>
        <w:rPr>
          <w:sz w:val="16"/>
          <w:vertAlign w:val="superscript"/>
        </w:rPr>
        <w:t>[13][21][31]</w:t>
      </w:r>
    </w:p>
    <w:p w14:paraId="0EAC96BA">
      <w:pPr>
        <w:pStyle w:val="5"/>
        <w:ind w:firstLine="482"/>
        <w:rPr>
          <w:lang w:eastAsia="zh-CN"/>
        </w:rPr>
      </w:pPr>
      <w:r>
        <w:rPr>
          <w:lang w:eastAsia="zh-CN"/>
        </w:rPr>
        <w:t>“以西洋的格中国文化之物”——概念挪用的深层本质</w:t>
      </w:r>
    </w:p>
    <w:p w14:paraId="0E1F0A02">
      <w:pPr>
        <w:spacing w:line="360" w:lineRule="auto"/>
        <w:ind w:firstLine="420"/>
        <w:rPr>
          <w:lang w:eastAsia="zh-CN"/>
        </w:rPr>
      </w:pPr>
      <w:r>
        <w:rPr>
          <w:rFonts w:ascii="宋体" w:hAnsi="宋体" w:eastAsia="宋体"/>
          <w:sz w:val="24"/>
          <w:lang w:eastAsia="zh-C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 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r>
        <w:rPr>
          <w:sz w:val="16"/>
          <w:vertAlign w:val="superscript"/>
        </w:rPr>
        <w:t>[11][21]</w:t>
      </w:r>
    </w:p>
    <w:p w14:paraId="57CF9730">
      <w:pPr>
        <w:pStyle w:val="4"/>
        <w:spacing w:before="120" w:after="120"/>
        <w:ind w:firstLine="562"/>
        <w:rPr>
          <w:lang w:eastAsia="zh-CN"/>
        </w:rPr>
      </w:pPr>
      <w:r>
        <w:rPr>
          <w:rFonts w:hint="eastAsia"/>
          <w:lang w:eastAsia="zh-CN"/>
        </w:rPr>
        <w:t xml:space="preserve">第四节 </w:t>
      </w:r>
      <w:r>
        <w:rPr>
          <w:lang w:eastAsia="zh-CN"/>
        </w:rPr>
        <w:t>本章小结</w:t>
      </w:r>
    </w:p>
    <w:p w14:paraId="51E7E993">
      <w:pPr>
        <w:spacing w:line="360" w:lineRule="auto"/>
        <w:ind w:firstLine="420"/>
        <w:rPr>
          <w:rFonts w:hint="eastAsia" w:ascii="宋体" w:hAnsi="宋体" w:eastAsia="宋体"/>
          <w:sz w:val="24"/>
          <w:lang w:eastAsia="zh-CN"/>
        </w:rPr>
      </w:pPr>
      <w:r>
        <w:rPr>
          <w:rFonts w:ascii="宋体" w:hAnsi="宋体" w:eastAsia="宋体"/>
          <w:sz w:val="24"/>
          <w:lang w:eastAsia="zh-C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是什么，以及它的具体操作方式又为何。</w:t>
      </w:r>
      <w:r>
        <w:rPr>
          <w:sz w:val="16"/>
          <w:vertAlign w:val="superscript"/>
        </w:rPr>
        <w:t>[11][13]</w:t>
      </w:r>
    </w:p>
    <w:p w14:paraId="2D2224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48F87DC6">
      <w:pPr>
        <w:pStyle w:val="3"/>
        <w:spacing w:before="240" w:after="240"/>
        <w:rPr>
          <w:lang w:eastAsia="zh-CN"/>
        </w:rPr>
      </w:pPr>
      <w:r>
        <w:rPr>
          <w:lang w:eastAsia="zh-CN"/>
        </w:rPr>
        <w:t>第四章 接受与变异</w:t>
      </w:r>
    </w:p>
    <w:p w14:paraId="7FFDF8CE">
      <w:pPr>
        <w:pStyle w:val="4"/>
        <w:spacing w:before="120" w:after="120"/>
        <w:ind w:firstLine="562"/>
        <w:rPr>
          <w:lang w:eastAsia="zh-CN"/>
        </w:rPr>
      </w:pPr>
      <w:r>
        <w:rPr>
          <w:rFonts w:hint="eastAsia"/>
          <w:lang w:eastAsia="zh-CN"/>
        </w:rPr>
        <w:t>第一节</w:t>
      </w:r>
      <w:r>
        <w:rPr>
          <w:lang w:eastAsia="zh-CN"/>
        </w:rPr>
        <w:t xml:space="preserve"> 接受的分野：三种不同类型的回应</w:t>
      </w:r>
    </w:p>
    <w:p w14:paraId="4D3EFBE8">
      <w:pPr>
        <w:spacing w:line="360" w:lineRule="auto"/>
        <w:ind w:firstLine="420"/>
        <w:rPr>
          <w:lang w:eastAsia="zh-CN"/>
        </w:rPr>
      </w:pPr>
      <w:r>
        <w:rPr>
          <w:rFonts w:ascii="宋体" w:hAnsi="宋体" w:eastAsia="宋体"/>
          <w:sz w:val="24"/>
          <w:lang w:eastAsia="zh-C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r>
        <w:rPr>
          <w:sz w:val="16"/>
          <w:vertAlign w:val="superscript"/>
        </w:rPr>
        <w:t>[11][13][37]</w:t>
      </w:r>
    </w:p>
    <w:p w14:paraId="0452E3E7">
      <w:pPr>
        <w:pStyle w:val="5"/>
        <w:numPr>
          <w:ilvl w:val="0"/>
          <w:numId w:val="13"/>
        </w:numPr>
        <w:ind w:firstLineChars="0"/>
        <w:rPr>
          <w:lang w:eastAsia="zh-CN"/>
        </w:rPr>
      </w:pPr>
      <w:r>
        <w:rPr>
          <w:lang w:eastAsia="zh-CN"/>
        </w:rPr>
        <w:t>合作性接受：徐光启与李之藻的“补儒”路径</w:t>
      </w:r>
    </w:p>
    <w:p w14:paraId="7AFDC89D">
      <w:pPr>
        <w:spacing w:line="360" w:lineRule="auto"/>
        <w:ind w:firstLine="420"/>
        <w:rPr>
          <w:lang w:eastAsia="zh-CN"/>
        </w:rPr>
      </w:pPr>
      <w:r>
        <w:rPr>
          <w:rFonts w:ascii="宋体" w:hAnsi="宋体" w:eastAsia="宋体"/>
          <w:sz w:val="24"/>
          <w:lang w:eastAsia="zh-C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 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 这种解读实际上是将利玛窦的“上帝”概念纳入儒家的“天—事亲—修身”框架之中——上帝并非外在于儒家传统的异质存在，而是儒家“事天”之道的完成与深化。 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 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 李之藻的态度则更侧重于“东海西海，心同理同”的普遍主义立场。他在序言中写道：“信哉！东海西海，心同理同。不同者，特言语文字之际。” 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r>
        <w:rPr>
          <w:sz w:val="16"/>
          <w:vertAlign w:val="superscript"/>
        </w:rPr>
        <w:t>[10][38][61]</w:t>
      </w:r>
    </w:p>
    <w:p w14:paraId="75063BF9">
      <w:pPr>
        <w:pStyle w:val="5"/>
        <w:ind w:firstLine="482"/>
        <w:rPr>
          <w:lang w:eastAsia="zh-CN"/>
        </w:rPr>
      </w:pPr>
      <w:r>
        <w:rPr>
          <w:lang w:eastAsia="zh-CN"/>
        </w:rPr>
        <w:t xml:space="preserve"> 选择性借鉴：李贽等异端思想家的独特视角</w:t>
      </w:r>
    </w:p>
    <w:p w14:paraId="0B37B2ED">
      <w:pPr>
        <w:spacing w:line="360" w:lineRule="auto"/>
        <w:ind w:firstLine="420"/>
        <w:rPr>
          <w:lang w:eastAsia="zh-CN"/>
        </w:rPr>
      </w:pPr>
      <w:r>
        <w:rPr>
          <w:rFonts w:ascii="宋体" w:hAnsi="宋体" w:eastAsia="宋体"/>
          <w:sz w:val="24"/>
          <w:lang w:eastAsia="zh-C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 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 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r>
        <w:rPr>
          <w:sz w:val="16"/>
          <w:vertAlign w:val="superscript"/>
        </w:rPr>
        <w:t>[8][65]</w:t>
      </w:r>
    </w:p>
    <w:p w14:paraId="72D7DE20">
      <w:pPr>
        <w:pStyle w:val="5"/>
        <w:ind w:firstLine="482"/>
        <w:rPr>
          <w:lang w:eastAsia="zh-CN"/>
        </w:rPr>
      </w:pPr>
      <w:r>
        <w:rPr>
          <w:lang w:eastAsia="zh-CN"/>
        </w:rPr>
        <w:t xml:space="preserve"> 批判性拒绝：黄宗羲与明清之际的反教浪潮</w:t>
      </w:r>
    </w:p>
    <w:p w14:paraId="5E715C06">
      <w:pPr>
        <w:spacing w:line="360" w:lineRule="auto"/>
        <w:ind w:firstLine="420"/>
        <w:rPr>
          <w:lang w:eastAsia="zh-CN"/>
        </w:rPr>
      </w:pPr>
      <w:r>
        <w:rPr>
          <w:rFonts w:ascii="宋体" w:hAnsi="宋体" w:eastAsia="宋体"/>
          <w:sz w:val="24"/>
          <w:lang w:eastAsia="zh-C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 与此同时，明末清初的反教浪潮也为这种批判性拒绝提供了社会基础。1637年由黄贞结集的《破邪集》，收录了当时僧俗文人反教之作六十余篇，其中对利玛窦的“天”“帝”译名提出了激烈的批评。 批评者认为，古时的“天”是自然之天，而非人格化的神；“天即理也”才是儒家正统，利玛窦对“天”的理解是“以西洋之格，格中国之物”，是一种文化篡改。 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r>
        <w:rPr>
          <w:sz w:val="16"/>
          <w:vertAlign w:val="superscript"/>
        </w:rPr>
        <w:t>[9][66][30]</w:t>
      </w:r>
    </w:p>
    <w:p w14:paraId="3DE42952">
      <w:pPr>
        <w:pStyle w:val="5"/>
        <w:ind w:firstLine="482"/>
        <w:rPr>
          <w:lang w:eastAsia="zh-CN"/>
        </w:rPr>
      </w:pPr>
      <w:r>
        <w:rPr>
          <w:lang w:eastAsia="zh-CN"/>
        </w:rPr>
        <w:t xml:space="preserve"> 三种模式的方法论启示</w:t>
      </w:r>
    </w:p>
    <w:p w14:paraId="75121224">
      <w:pPr>
        <w:spacing w:line="360" w:lineRule="auto"/>
        <w:ind w:firstLine="420"/>
        <w:rPr>
          <w:lang w:eastAsia="zh-CN"/>
        </w:rPr>
      </w:pPr>
      <w:r>
        <w:rPr>
          <w:rFonts w:ascii="宋体" w:hAnsi="宋体" w:eastAsia="宋体"/>
          <w:sz w:val="24"/>
          <w:lang w:eastAsia="zh-C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 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r>
        <w:rPr>
          <w:sz w:val="16"/>
          <w:vertAlign w:val="superscript"/>
        </w:rPr>
        <w:t>[13][20][38][52]</w:t>
      </w:r>
    </w:p>
    <w:p w14:paraId="514EE9BC">
      <w:pPr>
        <w:pStyle w:val="4"/>
        <w:spacing w:before="120" w:after="120"/>
        <w:ind w:firstLine="562"/>
        <w:rPr>
          <w:lang w:eastAsia="zh-CN"/>
        </w:rPr>
      </w:pPr>
      <w:r>
        <w:rPr>
          <w:rFonts w:hint="eastAsia"/>
          <w:lang w:eastAsia="zh-CN"/>
        </w:rPr>
        <w:t>第二节</w:t>
      </w:r>
      <w:r>
        <w:rPr>
          <w:lang w:eastAsia="zh-CN"/>
        </w:rPr>
        <w:t xml:space="preserve"> “创造性误解”的机制分析</w:t>
      </w:r>
    </w:p>
    <w:p w14:paraId="5B69B879">
      <w:pPr>
        <w:spacing w:line="360" w:lineRule="auto"/>
        <w:ind w:firstLine="420"/>
        <w:rPr>
          <w:lang w:eastAsia="zh-CN"/>
        </w:rPr>
      </w:pPr>
      <w:r>
        <w:rPr>
          <w:rFonts w:ascii="宋体" w:hAnsi="宋体" w:eastAsia="宋体"/>
          <w:sz w:val="24"/>
          <w:lang w:eastAsia="zh-C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 本节将“创造性误解”作为一个独立的分析范畴加以考察，揭示其运作机制、文化逻辑与历史效果。我们将看到，“误解”并非跨文化传播中的“意外事故”，而是其“常态”——真正的“忠实理解”反而是一种例外。而正是这些“误解”，产生了最具历史影响力的文化后果。</w:t>
      </w:r>
      <w:r>
        <w:rPr>
          <w:sz w:val="16"/>
          <w:vertAlign w:val="superscript"/>
        </w:rPr>
        <w:t>[13][20]</w:t>
      </w:r>
    </w:p>
    <w:p w14:paraId="01D6D85F">
      <w:pPr>
        <w:pStyle w:val="5"/>
        <w:numPr>
          <w:ilvl w:val="0"/>
          <w:numId w:val="14"/>
        </w:numPr>
        <w:ind w:firstLineChars="0"/>
        <w:rPr>
          <w:lang w:eastAsia="zh-CN"/>
        </w:rPr>
      </w:pPr>
      <w:r>
        <w:rPr>
          <w:lang w:eastAsia="zh-CN"/>
        </w:rPr>
        <w:t xml:space="preserve"> “前理解”的结构性制约：接受者为何必然“误读”</w:t>
      </w:r>
    </w:p>
    <w:p w14:paraId="2A3762E5">
      <w:pPr>
        <w:spacing w:line="360" w:lineRule="auto"/>
        <w:ind w:firstLine="420"/>
        <w:rPr>
          <w:lang w:eastAsia="zh-CN"/>
        </w:rPr>
      </w:pPr>
      <w:r>
        <w:rPr>
          <w:rFonts w:ascii="宋体" w:hAnsi="宋体" w:eastAsia="宋体"/>
          <w:sz w:val="24"/>
        </w:rPr>
        <w:t>德国哲学家伽达默尔（Hans-Georg Gadamer）在《真理与方法》中指出，任何理解都必然带着理解者自身的“前理解”（Vorverständnis）——由文化传统、语言结构和历史境遇共同构成。</w:t>
      </w:r>
      <w:r>
        <w:rPr>
          <w:rFonts w:ascii="宋体" w:hAnsi="宋体" w:eastAsia="宋体"/>
          <w:sz w:val="24"/>
          <w:lang w:eastAsia="zh-CN"/>
        </w:rPr>
        <w:t>它既是理解的必要条件，也是理解的限度所在。</w:t>
      </w:r>
      <w:r>
        <w:rPr>
          <w:sz w:val="16"/>
          <w:vertAlign w:val="superscript"/>
        </w:rPr>
        <w:t>[58]</w:t>
      </w:r>
    </w:p>
    <w:p w14:paraId="29D9AF61">
      <w:pPr>
        <w:spacing w:line="360" w:lineRule="auto"/>
        <w:ind w:firstLine="420"/>
        <w:rPr>
          <w:lang w:eastAsia="zh-CN"/>
        </w:rPr>
      </w:pPr>
      <w:r>
        <w:rPr>
          <w:rFonts w:ascii="宋体" w:hAnsi="宋体" w:eastAsia="宋体"/>
          <w:sz w:val="24"/>
          <w:lang w:eastAsia="zh-CN"/>
        </w:rPr>
        <w:t>利玛窦的《天主实义》在明清士大夫那里的命运，正是这一解释学原理的注脚。徐光启将其纳入“补儒易佛”框架，李贽将其对“理”的批判等同于自己对程朱理学的反抗，黄宗羲则将其视为对儒学传统的根本挑战。这些案例表明，接受者的“前理解”不是理解过程中的“噪音”，而是理解可能发生的“条件”。跨文化传播的关键问题，不在于如何“消除”误解（这是不可能的），而在于如何理解和利用误解的创造性潜力。</w:t>
      </w:r>
      <w:r>
        <w:rPr>
          <w:sz w:val="16"/>
          <w:vertAlign w:val="superscript"/>
        </w:rPr>
        <w:t>[13][20]</w:t>
      </w:r>
    </w:p>
    <w:p w14:paraId="1F29F1F5">
      <w:pPr>
        <w:pStyle w:val="5"/>
        <w:ind w:firstLine="482"/>
        <w:rPr>
          <w:lang w:eastAsia="zh-CN"/>
        </w:rPr>
      </w:pPr>
      <w:r>
        <w:rPr>
          <w:lang w:eastAsia="zh-CN"/>
        </w:rPr>
        <w:t xml:space="preserve"> “意义的游移”：从作者意图到接受者意义的滑移</w:t>
      </w:r>
    </w:p>
    <w:p w14:paraId="2734160D">
      <w:pPr>
        <w:spacing w:line="360" w:lineRule="auto"/>
        <w:ind w:firstLine="420"/>
        <w:rPr>
          <w:lang w:eastAsia="zh-CN"/>
        </w:rPr>
      </w:pPr>
      <w:r>
        <w:rPr>
          <w:rFonts w:ascii="宋体" w:hAnsi="宋体" w:eastAsia="宋体"/>
          <w:sz w:val="24"/>
          <w:lang w:eastAsia="zh-CN"/>
        </w:rPr>
        <w:t>解释学传统中的“意义游移”（slippage of meaning）揭示了一个基本事实：当信息从发送者传递到接收者时，意义总会发生偏移。在跨文化传播中，由于双方处于不同的文化系统，这种偏移的幅度往往更大。</w:t>
      </w:r>
      <w:r>
        <w:rPr>
          <w:sz w:val="16"/>
          <w:vertAlign w:val="superscript"/>
        </w:rPr>
        <w:t>[13]</w:t>
      </w:r>
    </w:p>
    <w:p w14:paraId="143EC698">
      <w:pPr>
        <w:spacing w:line="360" w:lineRule="auto"/>
        <w:ind w:firstLine="420"/>
        <w:rPr>
          <w:lang w:eastAsia="zh-CN"/>
        </w:rPr>
      </w:pPr>
      <w:r>
        <w:rPr>
          <w:rFonts w:ascii="宋体" w:hAnsi="宋体" w:eastAsia="宋体"/>
          <w:sz w:val="24"/>
          <w:lang w:eastAsia="zh-CN"/>
        </w:rPr>
        <w:t>利玛窦在《天主实义》中精心设计的“上帝替代理”论证，在传递给中国士人时经历了复杂的意义游移：徐光启采取“兼容”立场，使“上帝”与“理”并存；李贽接受了利玛窦对程朱理学的批判，却忽略了其神学动机；黄宗羲则将利玛窦学说解读为对儒家传统的全面挑战。这三种模式对应着三种接受策略：同化（将外来思想纳入原有框架）、借用（仅取所需）、防御（将外来思想建构为威胁）。它们并非彼此排斥，在不同历史情境中可能交替出现。</w:t>
      </w:r>
      <w:r>
        <w:rPr>
          <w:sz w:val="16"/>
          <w:vertAlign w:val="superscript"/>
        </w:rPr>
        <w:t>[10][38][9]</w:t>
      </w:r>
    </w:p>
    <w:p w14:paraId="47556ED7">
      <w:pPr>
        <w:pStyle w:val="5"/>
        <w:ind w:firstLine="482"/>
        <w:rPr>
          <w:lang w:eastAsia="zh-CN"/>
        </w:rPr>
      </w:pPr>
      <w:r>
        <w:rPr>
          <w:lang w:eastAsia="zh-CN"/>
        </w:rPr>
        <w:t xml:space="preserve"> “创造性误解”的历史效果：新思想的诞生</w:t>
      </w:r>
    </w:p>
    <w:p w14:paraId="3389FBBB">
      <w:pPr>
        <w:spacing w:line="360" w:lineRule="auto"/>
        <w:ind w:firstLine="420"/>
        <w:rPr>
          <w:lang w:eastAsia="zh-CN"/>
        </w:rPr>
      </w:pPr>
      <w:r>
        <w:rPr>
          <w:rFonts w:ascii="宋体" w:hAnsi="宋体" w:eastAsia="宋体"/>
          <w:sz w:val="24"/>
          <w:lang w:eastAsia="zh-C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w:t>
      </w:r>
      <w:r>
        <w:rPr>
          <w:sz w:val="16"/>
          <w:vertAlign w:val="superscript"/>
        </w:rPr>
        <w:t>[20][39]</w:t>
      </w:r>
    </w:p>
    <w:p w14:paraId="4F8B15AA">
      <w:pPr>
        <w:spacing w:line="360" w:lineRule="auto"/>
        <w:ind w:firstLine="420"/>
        <w:rPr>
          <w:lang w:eastAsia="zh-CN"/>
        </w:rPr>
      </w:pPr>
      <w:r>
        <w:rPr>
          <w:rFonts w:ascii="宋体" w:hAnsi="宋体" w:eastAsia="宋体"/>
          <w:sz w:val="24"/>
          <w:lang w:eastAsia="zh-CN"/>
        </w:rPr>
        <w:t>如前文（4.1节）所述，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r>
        <w:rPr>
          <w:sz w:val="16"/>
          <w:vertAlign w:val="superscript"/>
        </w:rPr>
        <w:t>[10][38][9]</w:t>
      </w:r>
    </w:p>
    <w:p w14:paraId="25CB07B5">
      <w:pPr>
        <w:pStyle w:val="5"/>
        <w:ind w:firstLine="482"/>
        <w:rPr>
          <w:lang w:eastAsia="zh-CN"/>
        </w:rPr>
      </w:pPr>
      <w:r>
        <w:rPr>
          <w:lang w:eastAsia="zh-CN"/>
        </w:rPr>
        <w:t xml:space="preserve"> “误解”作为跨文化传播的常态与动力</w:t>
      </w:r>
    </w:p>
    <w:p w14:paraId="78F36246">
      <w:pPr>
        <w:spacing w:line="360" w:lineRule="auto"/>
        <w:ind w:firstLine="420"/>
        <w:rPr>
          <w:lang w:eastAsia="zh-CN"/>
        </w:rPr>
      </w:pPr>
      <w:r>
        <w:rPr>
          <w:rFonts w:ascii="宋体" w:hAnsi="宋体" w:eastAsia="宋体"/>
          <w:sz w:val="24"/>
          <w:lang w:eastAsia="zh-CN"/>
        </w:rPr>
        <w:t>综合以上分析，我们可以得出一个更为普遍的理论判断：在跨文化传播中，“误解”不是“例外”，而是“常态”。任何两种异质文化之间的交流，都必然伴随着意义的大规模偏移与重构。接受者不可能“原封不动”地复制外来文化，只能以自己的方式“翻译”和“挪用”它——而这个过程本身就是一种“创造性误解”。 利玛窦的案例清楚地展示了这一规律的运作方式。利玛窦本人对中国文化的理解，何尝不是一种“创造性误解”？他用亚里士多德式的“实体—偶性”框架来理解程朱理学的“理”，本身就是一种“以西格中”的误读。他的中国对话者们对他的回应的“误解”，则在另一种方向上重复了同样的结构——他们用中国传统的“天—人”框架来理解利玛窦的“上帝”，也是一种“以中格西”的误读。 这种“双重的误读”——利玛窦误解了中国文化，中国士人又误解了利玛窦——构成了整个耶儒对话的基本结构。然而，正是这种“双重的误读”，激发出了一系列具有创造性的思想回应，推动了两种文明在相遇时刻的深层互动。 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r>
        <w:rPr>
          <w:sz w:val="16"/>
          <w:vertAlign w:val="superscript"/>
        </w:rPr>
        <w:t>[13][21]</w:t>
      </w:r>
    </w:p>
    <w:p w14:paraId="2C0E0820">
      <w:pPr>
        <w:pStyle w:val="4"/>
        <w:spacing w:before="120" w:after="120"/>
        <w:ind w:firstLine="562"/>
        <w:rPr>
          <w:lang w:eastAsia="zh-CN"/>
        </w:rPr>
      </w:pPr>
      <w:r>
        <w:rPr>
          <w:rFonts w:hint="eastAsia"/>
          <w:lang w:eastAsia="zh-CN"/>
        </w:rPr>
        <w:t>第三节</w:t>
      </w:r>
      <w:r>
        <w:rPr>
          <w:lang w:eastAsia="zh-CN"/>
        </w:rPr>
        <w:t xml:space="preserve"> 从“礼仪之争”到思想遗产</w:t>
      </w:r>
    </w:p>
    <w:p w14:paraId="315A6E4C">
      <w:pPr>
        <w:spacing w:line="360" w:lineRule="auto"/>
        <w:ind w:firstLine="420"/>
        <w:rPr>
          <w:lang w:eastAsia="zh-CN"/>
        </w:rPr>
      </w:pPr>
      <w:r>
        <w:rPr>
          <w:rFonts w:ascii="宋体" w:hAnsi="宋体" w:eastAsia="宋体"/>
          <w:sz w:val="24"/>
          <w:lang w:eastAsia="zh-C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在“礼仪之争”中，利玛窦对“理”与“上帝”的灵活处理，被后来的反对者视为一种危险的妥协——而支持者们则竭力论证这种妥协的必要性与正当性。</w:t>
      </w:r>
      <w:r>
        <w:rPr>
          <w:sz w:val="16"/>
          <w:vertAlign w:val="superscript"/>
        </w:rPr>
        <w:t>[19][18][33]</w:t>
      </w:r>
    </w:p>
    <w:p w14:paraId="754615B3">
      <w:pPr>
        <w:pStyle w:val="5"/>
        <w:numPr>
          <w:ilvl w:val="0"/>
          <w:numId w:val="15"/>
        </w:numPr>
        <w:ind w:firstLineChars="0"/>
        <w:rPr>
          <w:lang w:eastAsia="zh-CN"/>
        </w:rPr>
      </w:pPr>
      <w:r>
        <w:rPr>
          <w:lang w:eastAsia="zh-CN"/>
        </w:rPr>
        <w:t xml:space="preserve"> “礼仪之争”中的核心分歧：两个关键问题的回响</w:t>
      </w:r>
    </w:p>
    <w:p w14:paraId="1CBB67CB">
      <w:pPr>
        <w:spacing w:line="360" w:lineRule="auto"/>
        <w:ind w:firstLine="420"/>
        <w:rPr>
          <w:lang w:eastAsia="zh-CN"/>
        </w:rPr>
      </w:pPr>
      <w:r>
        <w:rPr>
          <w:rFonts w:ascii="宋体" w:hAnsi="宋体" w:eastAsia="宋体"/>
          <w:sz w:val="24"/>
          <w:lang w:eastAsia="zh-CN"/>
        </w:rPr>
        <w:t>“礼仪之争”涉及两个核心问题，而这两个问题都与本文所讨论的“概念挪用”密切相关。 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 龙华民的担忧并非没有道理。正如我们前文所分析的，利玛窦的“借壳上市”策略虽然有效，但也隐藏着深刻的内部风险——当中国士人按照儒家传统来理解“上帝”时，他们可能根本无法触及利玛窦所期望传达的基督教教义。徐光启的“补儒”式接受已经证明了这一点：他以儒家框架收编了利玛窦的“上帝”，使其成为儒家体系的一个补充，而非对儒家体系的替代或超越。 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 这两个问题的深层根源，都与利玛窦对“概念挪用”策略的基本预设有关。利玛窦的策略基于一个核心信念：中国文化的某些元素（“天”“上帝”“祀孔”“祭祖”）是“中性”的，可以被“剥离”出原有的宗教含义，然后“装入”基督教的内容。但龙华民等人质疑的正是这一预设的前提：中国文化的这些元素真的是“中性”的吗？还是说，它们本身就携带着不可消除的异教含义，无论怎样“挪用”，都无法变成基督教的一部分？ 这场争论最终以罗马教廷的介入而告终。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r>
        <w:rPr>
          <w:sz w:val="16"/>
          <w:vertAlign w:val="superscript"/>
        </w:rPr>
        <w:t>[11][50]</w:t>
      </w:r>
    </w:p>
    <w:p w14:paraId="5C89A2A6">
      <w:pPr>
        <w:pStyle w:val="5"/>
        <w:ind w:firstLine="482"/>
        <w:rPr>
          <w:lang w:eastAsia="zh-CN"/>
        </w:rPr>
      </w:pPr>
      <w:r>
        <w:rPr>
          <w:lang w:eastAsia="zh-CN"/>
        </w:rPr>
        <w:t xml:space="preserve"> 利玛窦策略的未完成性</w:t>
      </w:r>
    </w:p>
    <w:p w14:paraId="27319438">
      <w:pPr>
        <w:spacing w:line="360" w:lineRule="auto"/>
        <w:ind w:firstLine="420"/>
        <w:rPr>
          <w:lang w:eastAsia="zh-CN"/>
        </w:rPr>
      </w:pPr>
      <w:r>
        <w:rPr>
          <w:rFonts w:ascii="宋体" w:hAnsi="宋体" w:eastAsia="宋体"/>
          <w:sz w:val="24"/>
          <w:lang w:eastAsia="zh-CN"/>
        </w:rPr>
        <w:t>“礼仪之争”的爆发揭示了利玛窦策略的根本困境：概念挪用虽能在短期内创造跨文化对话的空间，但难以同时满足“内部纯正性”与“外部适应性”的双重要求。如前文（4.3.1节）所述，龙华民等人从基督教内部视角出发，将利玛窦的策略视为危险的妥协——它允许中国信徒在使用“天”和“上帝”等词汇的同时，保留了这些词汇在儒家语境中的原有含义，造成教义混淆。</w:t>
      </w:r>
      <w:r>
        <w:rPr>
          <w:sz w:val="16"/>
          <w:vertAlign w:val="superscript"/>
        </w:rPr>
        <w:t>[50][51]</w:t>
      </w:r>
    </w:p>
    <w:p w14:paraId="341000FC">
      <w:pPr>
        <w:spacing w:line="360" w:lineRule="auto"/>
        <w:ind w:firstLine="420"/>
        <w:rPr>
          <w:lang w:eastAsia="zh-CN"/>
        </w:rPr>
      </w:pPr>
      <w:r>
        <w:rPr>
          <w:rFonts w:ascii="宋体" w:hAnsi="宋体" w:eastAsia="宋体"/>
          <w:sz w:val="24"/>
          <w:lang w:eastAsia="zh-CN"/>
        </w:rPr>
        <w:t>从这个角度看，“礼仪之争”是利玛窦策略从短期有效向长期困境转化的必然结果。利玛窦在世时，凭借其个人威望和对中国文化的深刻理解，能够控制“概念挪用”的风险；但他去世后，继任者们既缺乏他对中国文化的理解深度，也缺乏他在中国士人中的个人威望，这种平衡就不复存在了。传教士们分裂为“利玛窦派”和“反利玛窦派”，最终导致罗马教廷的干预和清朝的禁教。</w:t>
      </w:r>
      <w:r>
        <w:rPr>
          <w:sz w:val="16"/>
          <w:vertAlign w:val="superscript"/>
        </w:rPr>
        <w:t>[12][19]</w:t>
      </w:r>
    </w:p>
    <w:p w14:paraId="650298D0">
      <w:pPr>
        <w:pStyle w:val="5"/>
        <w:ind w:firstLine="482"/>
        <w:rPr>
          <w:lang w:eastAsia="zh-CN"/>
        </w:rPr>
      </w:pPr>
      <w:r>
        <w:rPr>
          <w:lang w:eastAsia="zh-CN"/>
        </w:rPr>
        <w:t xml:space="preserve"> 利玛窦案例的思想遗产：跨文化对话的范式意义</w:t>
      </w:r>
    </w:p>
    <w:p w14:paraId="2FAD5887">
      <w:pPr>
        <w:spacing w:line="360" w:lineRule="auto"/>
        <w:ind w:firstLine="420"/>
        <w:rPr>
          <w:lang w:eastAsia="zh-CN"/>
        </w:rPr>
      </w:pPr>
      <w:r>
        <w:rPr>
          <w:rFonts w:ascii="宋体" w:hAnsi="宋体" w:eastAsia="宋体"/>
          <w:sz w:val="24"/>
          <w:lang w:eastAsia="zh-CN"/>
        </w:rPr>
        <w:t>尽管“礼仪之争”以耶儒对话的官方中断而暂时画上句号，但利玛窦的案例并未因此失去其思想史价值。相反，正是因为它以“未完成”的状态被写入历史，它才在后来数百年间不断被重提、被重新解释。 首先，利玛窦的案例为跨文化对话提供了一个经典范式：“适应策略”。利玛窦的贡献在于，他没有像后来的龙华民那样，仅仅因为“上帝”的含义与“Deus”不完全契合，就放弃使用这一概念。他选择了主动进入中国文化的话语体系，在对方的概念框架内进行重新解释和重新定义。这种策略虽然有风险，却是唯一可能有效进行跨文化对话的路径——“适应”不是“放弃自身”，而是在保持自身核心身份的同时，用对方的语言来说话。 其次，利玛窦的案例暴露了跨文化对话中一个根本性的“两难”：究竟是优先保持自身教义的纯正性（内部忠诚），还是优先与异质文化建立有效的沟通渠道（外部适应）？这两个目标在原则上并不矛盾，但在具体的实践情境中，它们常常会相互冲突。利玛窦选择了“外部适应”优先——他认为，只有先生存下来、与士人建立沟通，才有可能逐步让他们理解教义的全貌。而龙华民则选择了“内部纯正”优先——他认为，任何对教义的稀释都是不可接受的，即使这意味着传教速度的放缓和困难的增加。这两种取向各有其正当性，但也都面临着各自的困境：利玛窦策略的困境是教义被稀释的风险，龙华民策略的困境是传教渠道被封堵的风险。 第三，利玛窦的案例对我们今天理解“全球化”与“文明互鉴”具有重要的启示意义。在全球化的今天，跨文化对话已经不再是一个新问题，而是一个每天都在发生的现实。无论是政治概念（如“民主”“自由”“人权”）还是宗教概念（如“上帝”“佛陀”“道”），在跨文化传播中都会遭遇与“理”和“太极”相同的命运——它们会在不同的文化语境中被“挪用”“改造”和“创造性地误解”。利玛窦的案例告诉我们，这种“挪用”和“误解”虽然可能带来混乱，但也正是文化创新的源泉。关键不在于试图“消除”误解（这是不可能的），而在于理解误解的机制，并在意识到误解不可避免的前提下，尽力实现有意义的“视域融合”。</w:t>
      </w:r>
      <w:r>
        <w:rPr>
          <w:sz w:val="16"/>
          <w:vertAlign w:val="superscript"/>
        </w:rPr>
        <w:t>[21][41][51]</w:t>
      </w:r>
    </w:p>
    <w:p w14:paraId="2829FB47">
      <w:pPr>
        <w:pStyle w:val="4"/>
        <w:spacing w:before="120" w:after="120"/>
        <w:ind w:firstLine="562"/>
        <w:rPr>
          <w:lang w:eastAsia="zh-CN"/>
        </w:rPr>
      </w:pPr>
      <w:r>
        <w:rPr>
          <w:rFonts w:hint="eastAsia"/>
          <w:lang w:eastAsia="zh-CN"/>
        </w:rPr>
        <w:t xml:space="preserve">第四节 </w:t>
      </w:r>
      <w:r>
        <w:rPr>
          <w:lang w:eastAsia="zh-CN"/>
        </w:rPr>
        <w:t>本章小结</w:t>
      </w:r>
    </w:p>
    <w:p w14:paraId="6D998A2A">
      <w:pPr>
        <w:spacing w:line="360" w:lineRule="auto"/>
        <w:ind w:firstLine="420"/>
        <w:rPr>
          <w:rFonts w:hint="eastAsia" w:ascii="宋体" w:hAnsi="宋体" w:eastAsia="宋体"/>
          <w:sz w:val="24"/>
          <w:lang w:eastAsia="zh-CN"/>
        </w:rPr>
      </w:pPr>
      <w:r>
        <w:rPr>
          <w:rFonts w:ascii="宋体" w:hAnsi="宋体" w:eastAsia="宋体"/>
          <w:sz w:val="24"/>
          <w:lang w:eastAsia="zh-C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最后通过追溯“礼仪之争”，揭示了利玛窦策略在短期有效性与长期持续性之间的两难困境。</w:t>
      </w:r>
      <w:r>
        <w:rPr>
          <w:sz w:val="16"/>
          <w:vertAlign w:val="superscript"/>
        </w:rPr>
        <w:t>[13][20][58]</w:t>
      </w:r>
    </w:p>
    <w:p w14:paraId="102D0935">
      <w:pPr>
        <w:spacing w:after="0" w:line="240" w:lineRule="auto"/>
        <w:rPr>
          <w:rFonts w:hint="eastAsia" w:ascii="宋体" w:hAnsi="宋体" w:eastAsia="宋体"/>
          <w:sz w:val="24"/>
          <w:lang w:eastAsia="zh-CN"/>
        </w:rPr>
      </w:pPr>
      <w:r>
        <w:rPr>
          <w:rFonts w:hint="eastAsia" w:ascii="宋体" w:hAnsi="宋体" w:eastAsia="宋体"/>
          <w:sz w:val="24"/>
          <w:lang w:eastAsia="zh-CN"/>
        </w:rPr>
        <w:br w:type="page"/>
      </w:r>
    </w:p>
    <w:p w14:paraId="36565004">
      <w:pPr>
        <w:pStyle w:val="3"/>
        <w:spacing w:before="240" w:after="240"/>
        <w:rPr>
          <w:lang w:eastAsia="zh-CN"/>
        </w:rPr>
      </w:pPr>
      <w:r>
        <w:rPr>
          <w:lang w:eastAsia="zh-CN"/>
        </w:rPr>
        <w:t>第五章 历史效应与反思</w:t>
      </w:r>
    </w:p>
    <w:p w14:paraId="28486C84">
      <w:pPr>
        <w:pStyle w:val="4"/>
        <w:spacing w:before="120" w:after="120"/>
        <w:ind w:firstLine="562"/>
        <w:rPr>
          <w:lang w:eastAsia="zh-CN"/>
        </w:rPr>
      </w:pPr>
      <w:r>
        <w:rPr>
          <w:rFonts w:hint="eastAsia"/>
          <w:lang w:eastAsia="zh-CN"/>
        </w:rPr>
        <w:t>第一节</w:t>
      </w:r>
      <w:r>
        <w:rPr>
          <w:lang w:eastAsia="zh-CN"/>
        </w:rPr>
        <w:t xml:space="preserve"> 从“概念挪用”到“思想再生产”：利玛窦案例的历史效应</w:t>
      </w:r>
    </w:p>
    <w:p w14:paraId="7D77CD3B">
      <w:pPr>
        <w:spacing w:line="360" w:lineRule="auto"/>
        <w:ind w:firstLine="420"/>
        <w:rPr>
          <w:lang w:eastAsia="zh-CN"/>
        </w:rPr>
      </w:pPr>
      <w:r>
        <w:rPr>
          <w:rFonts w:ascii="宋体" w:hAnsi="宋体" w:eastAsia="宋体"/>
          <w:sz w:val="24"/>
          <w:lang w:eastAsia="zh-C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本节将从三个层面追踪这一“概念挪用”策略的历史效应。</w:t>
      </w:r>
      <w:r>
        <w:rPr>
          <w:sz w:val="16"/>
          <w:vertAlign w:val="superscript"/>
        </w:rPr>
        <w:t>[21][41][40]</w:t>
      </w:r>
    </w:p>
    <w:p w14:paraId="780942FF">
      <w:pPr>
        <w:pStyle w:val="5"/>
        <w:numPr>
          <w:ilvl w:val="0"/>
          <w:numId w:val="16"/>
        </w:numPr>
        <w:ind w:firstLineChars="0"/>
        <w:rPr>
          <w:lang w:eastAsia="zh-CN"/>
        </w:rPr>
      </w:pPr>
      <w:r>
        <w:rPr>
          <w:lang w:eastAsia="zh-CN"/>
        </w:rPr>
        <w:t>从“挪用”到“再挪用”：接受者的二次创造</w:t>
      </w:r>
    </w:p>
    <w:p w14:paraId="165C2680">
      <w:pPr>
        <w:spacing w:line="360" w:lineRule="auto"/>
        <w:ind w:firstLine="420"/>
        <w:rPr>
          <w:lang w:eastAsia="zh-CN"/>
        </w:rPr>
      </w:pPr>
      <w:r>
        <w:rPr>
          <w:rFonts w:ascii="宋体" w:hAnsi="宋体" w:eastAsia="宋体"/>
          <w:sz w:val="24"/>
          <w:lang w:eastAsia="zh-CN"/>
        </w:rPr>
        <w:t>徐光启、李之藻、杨廷筠等人对利玛窦思想的接受，并非被动的“照单全收”，而是主动的“再创造”。这种“再创造”的过程，本质上是一种“再挪用”——接受者从自己的文化立场出发，对利玛窦已经“挪用”过的中国概念进行第二次改造。</w:t>
      </w:r>
      <w:r>
        <w:rPr>
          <w:sz w:val="16"/>
          <w:vertAlign w:val="superscript"/>
        </w:rPr>
        <w:t>[10][38]</w:t>
      </w:r>
    </w:p>
    <w:p w14:paraId="683DCBB2">
      <w:pPr>
        <w:spacing w:line="360" w:lineRule="auto"/>
        <w:ind w:firstLine="420"/>
        <w:rPr>
          <w:lang w:eastAsia="zh-CN"/>
        </w:rPr>
      </w:pPr>
      <w:r>
        <w:rPr>
          <w:rFonts w:ascii="宋体" w:hAnsi="宋体" w:eastAsia="宋体"/>
          <w:sz w:val="24"/>
          <w:lang w:eastAsia="zh-CN"/>
        </w:rPr>
        <w:t>如前文（4.1.1节）所述，徐光启的“补儒”路径将基督教理解为儒家“终极关怀”的补充，李之藻的“心同理同”论则消解了利玛窦精心构建的“耶儒差异”。在此基础之上，杨廷筠作为“圣教三柱石”之一，其接受路径又有所不同——他更侧重于从天主教的“灵修”实践中寻找与儒家“修身”传统的对应点。在杨廷筠看来，天主教的忏悔、祈祷等灵修方式，与儒家的“省身”“克己”工夫具有内在的一致性。</w:t>
      </w:r>
      <w:r>
        <w:rPr>
          <w:sz w:val="16"/>
          <w:vertAlign w:val="superscript"/>
        </w:rPr>
        <w:t>[10][38][20][32][29]</w:t>
      </w:r>
    </w:p>
    <w:p w14:paraId="25BC6BA5">
      <w:pPr>
        <w:spacing w:line="360" w:lineRule="auto"/>
        <w:ind w:firstLine="420"/>
        <w:rPr>
          <w:lang w:eastAsia="zh-CN"/>
        </w:rPr>
      </w:pPr>
      <w:r>
        <w:rPr>
          <w:rFonts w:ascii="宋体" w:hAnsi="宋体" w:eastAsia="宋体"/>
          <w:sz w:val="24"/>
          <w:lang w:eastAsia="zh-CN"/>
        </w:rPr>
        <w:t>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r>
        <w:rPr>
          <w:sz w:val="16"/>
          <w:vertAlign w:val="superscript"/>
        </w:rPr>
        <w:t>[13][20]</w:t>
      </w:r>
    </w:p>
    <w:p w14:paraId="487A55B5">
      <w:pPr>
        <w:pStyle w:val="5"/>
        <w:ind w:firstLine="482"/>
        <w:rPr>
          <w:lang w:eastAsia="zh-CN"/>
        </w:rPr>
      </w:pPr>
      <w:r>
        <w:rPr>
          <w:lang w:eastAsia="zh-CN"/>
        </w:rPr>
        <w:t xml:space="preserve"> 对儒家思想的刺激与激活：明清思想转型中的西学因素</w:t>
      </w:r>
    </w:p>
    <w:p w14:paraId="1836E682">
      <w:pPr>
        <w:spacing w:line="360" w:lineRule="auto"/>
        <w:ind w:firstLine="420"/>
        <w:rPr>
          <w:lang w:eastAsia="zh-CN"/>
        </w:rPr>
      </w:pPr>
      <w:r>
        <w:rPr>
          <w:rFonts w:ascii="宋体" w:hAnsi="宋体" w:eastAsia="宋体"/>
          <w:sz w:val="24"/>
          <w:lang w:eastAsia="zh-CN"/>
        </w:rPr>
        <w:t>利玛窦的“概念挪用”不仅影响了天主教的在华传播，还对儒家思想本身产生了刺激与激活作用。明清之际的思想转型虽有其内部逻辑，但西学的传入无疑为这一转型提供了重要的外部推力。</w:t>
      </w:r>
      <w:r>
        <w:rPr>
          <w:sz w:val="16"/>
          <w:vertAlign w:val="superscript"/>
        </w:rPr>
        <w:t>[21][41]</w:t>
      </w:r>
    </w:p>
    <w:p w14:paraId="0D35D655">
      <w:pPr>
        <w:spacing w:line="360" w:lineRule="auto"/>
        <w:ind w:firstLine="420"/>
        <w:rPr>
          <w:lang w:eastAsia="zh-CN"/>
        </w:rPr>
      </w:pPr>
      <w:r>
        <w:rPr>
          <w:rFonts w:ascii="宋体" w:hAnsi="宋体" w:eastAsia="宋体"/>
          <w:sz w:val="24"/>
          <w:lang w:eastAsia="zh-CN"/>
        </w:rPr>
        <w:t>第一，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r>
        <w:rPr>
          <w:sz w:val="16"/>
          <w:vertAlign w:val="superscript"/>
        </w:rPr>
        <w:t>[11][16][67][25][36]</w:t>
      </w:r>
    </w:p>
    <w:p w14:paraId="656C2AD5">
      <w:pPr>
        <w:spacing w:line="360" w:lineRule="auto"/>
        <w:ind w:firstLine="420"/>
        <w:rPr>
          <w:lang w:eastAsia="zh-CN"/>
        </w:rPr>
      </w:pPr>
      <w:r>
        <w:rPr>
          <w:rFonts w:ascii="宋体" w:hAnsi="宋体" w:eastAsia="宋体"/>
          <w:sz w:val="24"/>
          <w:lang w:eastAsia="zh-CN"/>
        </w:rPr>
        <w:t>第二，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r>
        <w:rPr>
          <w:sz w:val="16"/>
          <w:vertAlign w:val="superscript"/>
        </w:rPr>
        <w:t>[12][10][61]</w:t>
      </w:r>
    </w:p>
    <w:p w14:paraId="01B410D0">
      <w:pPr>
        <w:spacing w:line="360" w:lineRule="auto"/>
        <w:ind w:firstLine="420"/>
        <w:rPr>
          <w:lang w:eastAsia="zh-CN"/>
        </w:rPr>
      </w:pPr>
      <w:r>
        <w:rPr>
          <w:rFonts w:ascii="宋体" w:hAnsi="宋体" w:eastAsia="宋体"/>
          <w:sz w:val="24"/>
          <w:lang w:eastAsia="zh-CN"/>
        </w:rPr>
        <w:t>这种“科学精神”的传入，与清初“经世致用”思潮形成了良性互动。徐光启在《农政全书》中提出“欲求超胜，必先会通”的科学观；方以智在《物理小识》中引用利玛窦理论，批判“天圆地方”说，开启中国近代科学思想的先河。</w:t>
      </w:r>
      <w:r>
        <w:rPr>
          <w:sz w:val="16"/>
          <w:vertAlign w:val="superscript"/>
        </w:rPr>
        <w:t>[10][18][68]</w:t>
      </w:r>
    </w:p>
    <w:p w14:paraId="73F5B076">
      <w:pPr>
        <w:pStyle w:val="5"/>
        <w:ind w:firstLine="482"/>
        <w:rPr>
          <w:lang w:eastAsia="zh-CN"/>
        </w:rPr>
      </w:pPr>
      <w:r>
        <w:rPr>
          <w:lang w:eastAsia="zh-CN"/>
        </w:rPr>
        <w:t xml:space="preserve"> 近代中国思想史中的回响：从“中体西用”到“全盘西化”</w:t>
      </w:r>
    </w:p>
    <w:p w14:paraId="337F81DA">
      <w:pPr>
        <w:spacing w:line="360" w:lineRule="auto"/>
        <w:ind w:firstLine="420"/>
        <w:rPr>
          <w:lang w:eastAsia="zh-CN"/>
        </w:rPr>
      </w:pPr>
      <w:r>
        <w:rPr>
          <w:rFonts w:ascii="宋体" w:hAnsi="宋体" w:eastAsia="宋体"/>
          <w:sz w:val="24"/>
          <w:lang w:eastAsia="zh-CN"/>
        </w:rPr>
        <w:t>利玛窦的“概念挪用”策略不仅在明清之际产生了直接影响，还在近代中国思想史中留下了深远的回响。从19世纪中后期的“中体西用”论，到20世纪初的“全盘西化”思潮，利玛窦所面临的那个根本问题——如何处理外来思想与本土文化之间的关系——始终是中国知识分子无法回避的核心议题。 “中体西用”与利玛窦策略的隐性关联。 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 “全盘西化”与利玛窦策略的断裂。 五四运动前后，陈独秀、胡适等知识分子提出了“全盘西化”的主张，要求彻底抛弃中国传统文化、全面接受西方文明。这一主张与利玛窦的“适应策略”形成了鲜明对比——利玛窦试图在中国文化的框架内引入西方思想，而五四知识分子则试图用西方思想“替代”中国文化。这种“替代”逻辑，实际上更接近龙华民而非利玛窦的立场——两者都拒绝了“概念挪用”的灵活性，要求保持外来思想的“纯正性”。 但值得注意的是，“全盘西化”论者虽然拒绝了利玛窦的“适应”路线，却继承了利玛窦的一个核心判断——即中国传统文化（特别是儒家思想）存在根本性的不足，需要外来思想的“补足”或“替代”。利玛窦认为儒家缺少“终极关怀”，需要基督教的“上帝”来补充</w:t>
      </w:r>
      <w:r>
        <w:rPr>
          <w:rFonts w:ascii="Times New Roman" w:hAnsi="Times New Roman" w:eastAsia="宋体"/>
          <w:vertAlign w:val="superscript"/>
        </w:rPr>
        <w:footnoteReference w:id="26"/>
      </w:r>
      <w:r>
        <w:t>；五四知识分子则认为中国传统文化缺少“民主”与“科学”，需要西方文明的“赛先生”和“德先生”来替代。尽管“补足”和“替代”的程度不同，但两者共享了一个基本预设：中国文化不是自足的，需要外来资源的介入才能实现自我更新。 当代“基督教中国化”与利玛</w:t>
      </w:r>
      <w:r>
        <w:rPr>
          <w:rFonts w:ascii="宋体" w:hAnsi="宋体" w:eastAsia="宋体"/>
          <w:sz w:val="24"/>
          <w:lang w:eastAsia="zh-CN"/>
        </w:rPr>
        <w:t>窦遗产的再激活。 进入21世纪，“基督教中国化”成为当代中国基督教界和学术界的一个热门议题。这一议题的核心关切，与利玛窦四百年前面临的困境几乎完全相同——如何使一种起源于西方文化语境的宗教，在中国文化中找到合适的表达方式？ 2016年，梵蒂冈出版的《教会与中国文化》，将“利玛窦规矩”列为跨宗教对话的典范</w:t>
      </w:r>
      <w:r>
        <w:rPr>
          <w:rFonts w:ascii="Times New Roman" w:hAnsi="Times New Roman" w:eastAsia="宋体"/>
          <w:vertAlign w:val="superscript"/>
        </w:rPr>
        <w:footnoteReference w:id="27"/>
      </w:r>
      <w:r>
        <w:t>。利玛窦的“适应策略”被现代天主教重新发现并加以推崇。正如哈佛大学史景迁教授所言：“利玛</w:t>
      </w:r>
      <w:r>
        <w:rPr>
          <w:rFonts w:ascii="宋体" w:hAnsi="宋体" w:eastAsia="宋体"/>
          <w:sz w:val="24"/>
          <w:lang w:eastAsia="zh-CN"/>
        </w:rPr>
        <w:t>窦证明，文明对话不需要牺牲自我，而是通过创造性转化，让双方在碰撞中获得新生。”当代的“基督教中国化”讨论，本质上是在重新激活利玛窦所开创的那条路径——在保持基督教核心教义的前提下，寻求其在中国文化语境中的恰当表达。</w:t>
      </w:r>
      <w:r>
        <w:rPr>
          <w:sz w:val="16"/>
          <w:vertAlign w:val="superscript"/>
        </w:rPr>
        <w:t>[21][43][17][35]</w:t>
      </w:r>
    </w:p>
    <w:p w14:paraId="3DA550A7">
      <w:pPr>
        <w:pStyle w:val="4"/>
        <w:spacing w:before="120" w:after="120"/>
        <w:ind w:firstLine="562"/>
        <w:rPr>
          <w:lang w:eastAsia="zh-CN"/>
        </w:rPr>
      </w:pPr>
      <w:r>
        <w:rPr>
          <w:rFonts w:hint="eastAsia"/>
          <w:lang w:eastAsia="zh-CN"/>
        </w:rPr>
        <w:t>第二节</w:t>
      </w:r>
      <w:r>
        <w:rPr>
          <w:lang w:eastAsia="zh-CN"/>
        </w:rPr>
        <w:t xml:space="preserve"> 跨文化对话中的“不可通约性”问题</w:t>
      </w:r>
    </w:p>
    <w:p w14:paraId="0A13E2F3">
      <w:pPr>
        <w:spacing w:line="360" w:lineRule="auto"/>
        <w:ind w:firstLine="420"/>
        <w:rPr>
          <w:lang w:eastAsia="zh-CN"/>
        </w:rPr>
      </w:pPr>
      <w:r>
        <w:rPr>
          <w:rFonts w:ascii="宋体" w:hAnsi="宋体" w:eastAsia="宋体"/>
          <w:sz w:val="24"/>
          <w:lang w:eastAsia="zh-CN"/>
        </w:rPr>
        <w:t>利玛窦的“概念挪用”策略及其后续的“礼仪之争”，暴露了一个跨文化对话中根本性的理论难题——“不可通约性”。这一概念最初由科学哲学家托马斯·库恩在其《科学革命的结构》中提出，用以描述不同科学范式之间无法用同一套标准进行比较和评判的现象。后来，这一概念被广泛引入文化研究、翻译研究和比较哲学领域，成为讨论跨文化理解可能性的核心范畴。 从本文的视角来看，利玛窦在《天主实义》中所遭遇的困境，本质上就是一场“不可通约性”的遭遇战。当他试图用亚里士多德式的“实体—偶性”框架来理解程朱理学的“理”时，当他试图用基督教的“造物主”概念来替代儒家的“太极”时，他所面临的不是一个简单的“翻译”问题，而是一个深层的“范式”问题——两种思想体系在基本概念、逻辑结构和价值预设上存在着根本性的差异，这些差异无法通过简单的概念替换来弥合。</w:t>
      </w:r>
      <w:r>
        <w:rPr>
          <w:sz w:val="16"/>
          <w:vertAlign w:val="superscript"/>
        </w:rPr>
        <w:t>[13][49][69][34]</w:t>
      </w:r>
    </w:p>
    <w:p w14:paraId="37F6344F">
      <w:pPr>
        <w:pStyle w:val="5"/>
        <w:numPr>
          <w:ilvl w:val="0"/>
          <w:numId w:val="17"/>
        </w:numPr>
        <w:ind w:firstLineChars="0"/>
        <w:rPr>
          <w:lang w:eastAsia="zh-CN"/>
        </w:rPr>
      </w:pPr>
      <w:r>
        <w:rPr>
          <w:lang w:eastAsia="zh-CN"/>
        </w:rPr>
        <w:t xml:space="preserve"> “不可通约性”的理论内涵及其在利玛窦案例中的体现</w:t>
      </w:r>
    </w:p>
    <w:p w14:paraId="7B417EBB">
      <w:pPr>
        <w:spacing w:line="360" w:lineRule="auto"/>
        <w:ind w:firstLine="420"/>
        <w:rPr>
          <w:lang w:eastAsia="zh-CN"/>
        </w:rPr>
      </w:pPr>
      <w:r>
        <w:rPr>
          <w:rFonts w:ascii="宋体" w:hAnsi="宋体" w:eastAsia="宋体"/>
          <w:sz w:val="24"/>
          <w:lang w:eastAsia="zh-CN"/>
        </w:rPr>
        <w:t>“不可通约性”这一概念的核心要义在于：不同文化或不同范式之间的某些核心概念，无法在不丧失其原有意义的前提下，被“翻译”或“还原”为另一文化或范式的语言。正如百度百科“文化相对论”词条所指出的，“文化的不可通约性构成了文化相对主义的哲学基础之一，文化间的比较缺乏客观仲裁者，易成为本文化立场上的主观行为”。这一判断，精准地描述了利玛窦在面对程朱理学时所处的困境。 在利玛窦的案例中，“不可通约性”至少体现在三个层面： 第一，概念层面的不可通约性。 程朱理学中的“理”，既是“所以然之故”（事物存在的内在因由），也是“所当然之则”（事物应当遵循的规范），同时还是“生物之本”（宇宙生成的终极根据）。这三种功能被统合在同一个概念之中，形成了一个在西方哲学中找不到精确对应物的思想范畴。利玛窦将“理”简化为“依赖者”（偶性），实际上是用西方哲学的框架“裁剪”了中国哲学的概念，使得“理”的原初含义在翻译过程中大量流失。 第二，逻辑结构层面的不可通约性。 西方经院哲学的逻辑结构建立在“主体—客体”二分的基础之上，强调实体与属性的区分、原因与结果的链条、造物主与受造物的断裂。而中国哲学的逻辑结构，特别是程朱理学的逻辑结构，则建立在“体—用—文”的连续框架之上，强调“理—气—物”之间的连续性与内在关联。在这两种不同的逻辑结构中，同一个命题可能具有完全不同的含义。 第三，价值预设层面的不可通约性。 利玛窦的批判背后，有一个深层的价值预设：宇宙的终极本原必须是一位有位格的、能够与人类建立伦理关系的存在。这一预设来自基督教的“神人关系”传统。而程朱理学的价值预设则不同：“理”虽然具有伦理属性（“天理”即“仁义礼智”），但这种伦理属性是一种内在的、无位格的秩序，而不是一种外在的、有位格的意志。 正如丁耘在研究西方哲学中国化第一阶段时所指出，明清之际传教士们选择以儒学的基本概念去对译、解释西方哲学，这种做法“并不是纯然被动的，而是既有诠释学上境域融合之不得已、无意识，也试图在尽量降低陌生感与敌对感的同时注入真正的经院哲学内容” 。利玛窦的问题不在于他试图进行跨文化理解（这是必要的），而在于他未能充分意识到“不可通约性”的存在，从而将自己的理解误认为是对中国思想的“客观描述”。</w:t>
      </w:r>
      <w:r>
        <w:rPr>
          <w:sz w:val="16"/>
          <w:vertAlign w:val="superscript"/>
        </w:rPr>
        <w:t>[49][39][53]</w:t>
      </w:r>
    </w:p>
    <w:p w14:paraId="1AA7C971">
      <w:pPr>
        <w:pStyle w:val="5"/>
        <w:ind w:firstLine="482"/>
        <w:rPr>
          <w:lang w:eastAsia="zh-CN"/>
        </w:rPr>
      </w:pPr>
      <w:r>
        <w:rPr>
          <w:lang w:eastAsia="zh-CN"/>
        </w:rPr>
        <w:t xml:space="preserve"> “翻译即背离”：语言转换中的意义流失</w:t>
      </w:r>
    </w:p>
    <w:p w14:paraId="31E7B11E">
      <w:pPr>
        <w:spacing w:line="360" w:lineRule="auto"/>
        <w:ind w:firstLine="420"/>
        <w:rPr>
          <w:lang w:eastAsia="zh-CN"/>
        </w:rPr>
      </w:pPr>
      <w:r>
        <w:rPr>
          <w:rFonts w:ascii="宋体" w:hAnsi="宋体" w:eastAsia="宋体"/>
          <w:sz w:val="24"/>
          <w:lang w:eastAsia="zh-CN"/>
        </w:rPr>
        <w:t>与“不可通约性”密切相关的另一个概念是“不可译性”——因语言结构、文化背景或思维模式差异，导致源语文本在翻译为目的语时无法被准确、完整地再现的现象。这一概念，直接切中了利玛窦“概念挪用”策略的核心困难。</w:t>
      </w:r>
      <w:r>
        <w:rPr>
          <w:sz w:val="16"/>
          <w:vertAlign w:val="superscript"/>
        </w:rPr>
        <w:t>[11][21]</w:t>
      </w:r>
    </w:p>
    <w:p w14:paraId="2082A72A">
      <w:pPr>
        <w:spacing w:line="360" w:lineRule="auto"/>
        <w:ind w:firstLine="420"/>
        <w:rPr>
          <w:lang w:eastAsia="zh-CN"/>
        </w:rPr>
      </w:pPr>
      <w:r>
        <w:rPr>
          <w:rFonts w:ascii="宋体" w:hAnsi="宋体" w:eastAsia="宋体"/>
          <w:sz w:val="24"/>
          <w:lang w:eastAsia="zh-CN"/>
        </w:rPr>
        <w:t>利玛窦面临的第一重困难是“语言不可译性”。当利玛窦将天主教“天主”译为《尚书》中的“上帝”，在《天主实义》中论证“吾天主，乃古经书所称上帝也”时，他需要在中文词汇库中找到一个与“Deus”在概念外延和内涵上都相近的词。但“上帝”在中国经典中的含义与“Deus”并不完全重合——前者更多地是与“天”相联系的人格化象征，后者则是经过数百年神学讨论精确定义的哲学概念。这种不完全重合，使“上帝”这一译名从一开始就携带了“误读”的风险。</w:t>
      </w:r>
      <w:r>
        <w:rPr>
          <w:sz w:val="16"/>
          <w:vertAlign w:val="superscript"/>
        </w:rPr>
        <w:t>[11]</w:t>
      </w:r>
    </w:p>
    <w:p w14:paraId="4F53B2E0">
      <w:pPr>
        <w:spacing w:line="360" w:lineRule="auto"/>
        <w:ind w:firstLine="420"/>
        <w:rPr>
          <w:lang w:eastAsia="zh-CN"/>
        </w:rPr>
      </w:pPr>
      <w:r>
        <w:rPr>
          <w:rFonts w:ascii="宋体" w:hAnsi="宋体" w:eastAsia="宋体"/>
          <w:sz w:val="24"/>
          <w:lang w:eastAsia="zh-CN"/>
        </w:rPr>
        <w:t>利玛窦面临的第二重困难是“文化不可译性”——由文化负载词差异所导致。诸如“理”“太极”“气”“仁”等中国哲学的核心概念，都是高度“文化负载”的——它们的内涵是由数千年的中国思想史所塑造的，无法被简单地“剥离”出其文化语境而移植到另一个语言系统之中。当利玛窦用“依赖者”来翻译“理”时，他实际上是在用自己的文化框架“肢解”了对方的概念，使其失去了原有的意义完整性。</w:t>
      </w:r>
      <w:r>
        <w:rPr>
          <w:sz w:val="16"/>
          <w:vertAlign w:val="superscript"/>
        </w:rPr>
        <w:t>[11][21]</w:t>
      </w:r>
    </w:p>
    <w:p w14:paraId="59021331">
      <w:pPr>
        <w:spacing w:line="360" w:lineRule="auto"/>
        <w:ind w:firstLine="420"/>
        <w:rPr>
          <w:lang w:eastAsia="zh-CN"/>
        </w:rPr>
      </w:pPr>
      <w:r>
        <w:rPr>
          <w:rFonts w:ascii="宋体" w:hAnsi="宋体" w:eastAsia="宋体"/>
          <w:sz w:val="24"/>
          <w:lang w:eastAsia="zh-CN"/>
        </w:rPr>
        <w:t>正如维尔维达基斯所指出的，“翻译并非中性工具，而是涉及深层概念重构”。利玛窦的“翻译”不仅仅是语言层面的转换，更是一种“概念重构”——他用西方经院哲学的概念体系来重构中国哲学的概念，使其服从于西方的逻辑框架。这种重构虽然在一定程度上有助于中西对话的展开，但同时也遮蔽了中国哲学的独特性和自主性。</w:t>
      </w:r>
      <w:r>
        <w:rPr>
          <w:sz w:val="16"/>
          <w:vertAlign w:val="superscript"/>
        </w:rPr>
        <w:t>[45]</w:t>
      </w:r>
    </w:p>
    <w:p w14:paraId="3FA71425">
      <w:pPr>
        <w:pStyle w:val="5"/>
        <w:ind w:firstLine="482"/>
        <w:rPr>
          <w:lang w:eastAsia="zh-CN"/>
        </w:rPr>
      </w:pPr>
      <w:r>
        <w:rPr>
          <w:lang w:eastAsia="zh-CN"/>
        </w:rPr>
        <w:t xml:space="preserve"> 如何在“不可通约”中寻找“可通约”？</w:t>
      </w:r>
    </w:p>
    <w:p w14:paraId="07BCA503">
      <w:pPr>
        <w:spacing w:line="360" w:lineRule="auto"/>
        <w:ind w:firstLine="420"/>
        <w:rPr>
          <w:lang w:eastAsia="zh-CN"/>
        </w:rPr>
      </w:pPr>
      <w:r>
        <w:rPr>
          <w:rFonts w:ascii="宋体" w:hAnsi="宋体" w:eastAsia="宋体"/>
          <w:sz w:val="24"/>
          <w:lang w:eastAsia="zh-CN"/>
        </w:rPr>
        <w:t>尽管“不可通约性”构成了跨文化对话的根本性挑战，但这并不意味着跨文化理解是完全不可能的。正如我们在利玛窦案例中所看到的，徐光启、李之藻等人确实在利玛窦的思想与儒家传统之间找到了某种“契合点”。这些契合点表明，在“不可通约”的表层之下，不同文化之间可能存在着某种“经验的共通性”。 维尔维达基斯教授对此有着精辟的论述：“跨文化理解之所以可能，也在于人类经验具有某种共通性。不同文化背景的人在现实生活中共享经验、展开交往，从而逐步建立起理解的基础” 。他同时指出，自己的立场既不是极端的“不可通约论”，也不是天真的“完全可通约论”，而是介于两者之间：“必须警惕一种“过度乐观”的倾向。正如维尔维达基斯所警告的，我们“既不能简单类比不同传统，也不能将不同传统完全割裂，而应在差异中探索理解路径” 。利玛窦的问题在于，他有时候过于“乐观”地认为“上帝”与“天”可以等同，忽略了二者之间的差异；有时候又过于“悲观”地认为“理”与“太极”必须被彻底否定，忽略了二者与基督教思想之间的可能对话空间。 丁耘在其研究中指出，西方哲学中国化的第一阶段具有明显的“格义”色彩——所谓“格义”，原指佛学初传初译，以道家、玄学名相翻译、解释佛教概念的做法。与此类似，晚明传教士们选择以儒学的基本概念去对译、解释西方哲学，这正是“格义”方法的延续</w:t>
      </w:r>
      <w:r>
        <w:rPr>
          <w:rFonts w:ascii="Times New Roman" w:hAnsi="Times New Roman" w:eastAsia="宋体"/>
          <w:vertAlign w:val="superscript"/>
        </w:rPr>
        <w:footnoteReference w:id="28"/>
      </w:r>
      <w:r>
        <w:t>。丁耘进一步指出：“格义对于准确地理解外来思想是不利的，但好处是在未尝触及中国学术思想传统的主体性的前提下，从另外的</w:t>
      </w:r>
      <w:r>
        <w:rPr>
          <w:rFonts w:ascii="宋体" w:hAnsi="宋体" w:eastAsia="宋体"/>
          <w:sz w:val="24"/>
          <w:lang w:eastAsia="zh-CN"/>
        </w:rPr>
        <w:t>既……又……”的辩证姿态，或许才是跨文化对话的成熟之道。</w:t>
      </w:r>
      <w:r>
        <w:rPr>
          <w:vertAlign w:val="superscript"/>
        </w:rPr>
        <w:footnoteReference w:id="29"/>
      </w:r>
      <w:r>
        <w:t>跨文化理解是可能的，但始终受到限制”。 这种“共通性”首先体现在伦理层面。无论是基督教还是儒家，都关注人的道德完善和社会的秩序和谐。徐光启之所以能够接受利玛窦的“上帝”，很大程度上是因为他将“上帝”理解为儒家“事天”传统的延续——在他看来，“事天”与“事亲”是同一件事情的两个方面，基督教与儒家在伦理关怀上是相通的。 这种“共通性”其次体现在实践层面。无论是西方传教士还是中国士人，都面临着如何安顿个体生命、如何面对生老病死、如何解释世界的起源与归宿等共同问题。利玛窦的“天堂地狱”论之所以能够引起一部分中国士人的兴趣，正是因为它回应了儒家较少触及的“终极关怀”问题——人死后何去何从？善恶报应的最终依据是什么？ 然而，在肯定“可通约”的同时，也</w:t>
      </w:r>
      <w:r>
        <w:rPr>
          <w:vertAlign w:val="superscript"/>
        </w:rPr>
        <w:footnoteReference w:id="30"/>
      </w:r>
      <w:r>
        <w:t>视域、他者的眼光丰富了这个传统的可能性”。这一判断，为我们理解利玛窦的“不可通约”困境提供了深刻的参照。 一种更为平衡的跨文化对话策略，或许应该遵循维尔维达基斯所提示的“中间路线”：承认“不可通约性”的存在，但不将其视为跨文化理解的终点；承认“可通约性”的可能，但不将其视为文化差异的消解。在“不可通约”与“可通约”之间保持一种解释学的张力，既尊重差异，也寻求共通——这种“</w:t>
      </w:r>
      <w:r>
        <w:rPr>
          <w:sz w:val="16"/>
          <w:vertAlign w:val="superscript"/>
        </w:rPr>
        <w:t>[10][38][49][44]</w:t>
      </w:r>
    </w:p>
    <w:p w14:paraId="6B132833">
      <w:pPr>
        <w:pStyle w:val="5"/>
        <w:ind w:firstLine="482"/>
        <w:rPr>
          <w:lang w:eastAsia="zh-CN"/>
        </w:rPr>
      </w:pPr>
      <w:r>
        <w:rPr>
          <w:lang w:eastAsia="zh-CN"/>
        </w:rPr>
        <w:t xml:space="preserve"> 利玛窦案例的理论启示：从“不可通约”到“视域融合”</w:t>
      </w:r>
    </w:p>
    <w:p w14:paraId="58FA0AA3">
      <w:pPr>
        <w:spacing w:line="360" w:lineRule="auto"/>
        <w:ind w:firstLine="420"/>
        <w:rPr>
          <w:lang w:eastAsia="zh-CN"/>
        </w:rPr>
      </w:pPr>
      <w:r>
        <w:rPr>
          <w:rFonts w:ascii="宋体" w:hAnsi="宋体" w:eastAsia="宋体"/>
          <w:sz w:val="24"/>
          <w:lang w:eastAsia="zh-CN"/>
        </w:rPr>
        <w:t>伽达默尔在《真理与方法》中提出的“视域融合”概念，为跨文化对话研究提供了重要的理论资源。理解者总是带着自身的“视域”来理解文本，而文本也有自己的视域，理解过程就是这两种视域融合的过程，“在保留各自视域的基础上生成了新的视域”。</w:t>
      </w:r>
      <w:r>
        <w:rPr>
          <w:sz w:val="16"/>
          <w:vertAlign w:val="superscript"/>
        </w:rPr>
        <w:t>[58]</w:t>
      </w:r>
    </w:p>
    <w:p w14:paraId="0B76EE74">
      <w:pPr>
        <w:spacing w:line="360" w:lineRule="auto"/>
        <w:ind w:firstLine="420"/>
        <w:rPr>
          <w:lang w:eastAsia="zh-CN"/>
        </w:rPr>
      </w:pPr>
      <w:r>
        <w:rPr>
          <w:rFonts w:ascii="宋体" w:hAnsi="宋体" w:eastAsia="宋体"/>
          <w:sz w:val="24"/>
          <w:lang w:eastAsia="zh-CN"/>
        </w:rPr>
        <w:t>利玛窦的案例，可以视为“视域融合”的一个经典案例。徐光启的“补儒”思想、李之藻的“心同理同”论、杨廷筠的“灵修对接”说，都是这种“视域融合”的产物——它们既不是纯粹的天主教教义，也不是纯粹的儒家思想，而是一种在两者的交汇处生成的新的思想形态。</w:t>
      </w:r>
      <w:r>
        <w:rPr>
          <w:sz w:val="16"/>
          <w:vertAlign w:val="superscript"/>
        </w:rPr>
        <w:t>[10][38][20]</w:t>
      </w:r>
    </w:p>
    <w:p w14:paraId="6CA68672">
      <w:pPr>
        <w:spacing w:line="360" w:lineRule="auto"/>
        <w:ind w:firstLine="420"/>
        <w:rPr>
          <w:lang w:eastAsia="zh-CN"/>
        </w:rPr>
      </w:pPr>
      <w:r>
        <w:rPr>
          <w:rFonts w:ascii="宋体" w:hAnsi="宋体" w:eastAsia="宋体"/>
          <w:sz w:val="24"/>
          <w:lang w:eastAsia="zh-CN"/>
        </w:rPr>
        <w:t>从“不可通约”到“视域融合”，从“翻译即背离”到“创造性误解”，跨文化对话的路径从来都不是一条坦途，而是一次充满风险但同时也充满创造潜力的旅程。利玛窦的案例告诉我们：跨文化对话的关键，不在于找到一种“完美”的翻译方案（这是不存在的），而在于在意识到“不可通约性”的前提下，依然保持对话的开放性和创造性。</w:t>
      </w:r>
      <w:r>
        <w:rPr>
          <w:sz w:val="16"/>
          <w:vertAlign w:val="superscript"/>
        </w:rPr>
        <w:t>[13][49]</w:t>
      </w:r>
    </w:p>
    <w:p w14:paraId="4B80A6FE">
      <w:pPr>
        <w:spacing w:line="360" w:lineRule="auto"/>
        <w:ind w:firstLine="420"/>
        <w:rPr>
          <w:lang w:eastAsia="zh-CN"/>
        </w:rPr>
      </w:pPr>
      <w:r>
        <w:rPr>
          <w:rFonts w:ascii="宋体" w:hAnsi="宋体" w:eastAsia="宋体"/>
          <w:sz w:val="24"/>
          <w:lang w:eastAsia="zh-CN"/>
        </w:rPr>
        <w:t>从“不可通约”到“视域融合”，利玛窦的案例为跨文明对话提供了丰富的理论资源。然而，这一历史个案的意义并不仅限于思想史的回望——它更蕴含着可供当代文明互鉴实践借鉴的方法论原则。从利玛窦与徐光启的对话，到白鹿洞书院与韩国陶山书院的跨文化学术交流，再到当代“朱子学与全球文明对话大会”等国际平台，我们可以从中提炼出文明互鉴的若干核心原则。这些原则并非凭空建构，而是从历史经验中逐步抽象出来的实践智慧；它们既是对利玛窦“适应策略”的当代重释，也是对未来跨文化对话的路径指引。</w:t>
      </w:r>
      <w:r>
        <w:rPr>
          <w:sz w:val="16"/>
          <w:vertAlign w:val="superscript"/>
        </w:rPr>
        <w:t>[21][45]</w:t>
      </w:r>
    </w:p>
    <w:p w14:paraId="2193478D">
      <w:pPr>
        <w:pStyle w:val="4"/>
        <w:spacing w:before="120" w:after="120"/>
        <w:ind w:firstLine="562"/>
        <w:rPr>
          <w:lang w:eastAsia="zh-CN"/>
        </w:rPr>
      </w:pPr>
      <w:r>
        <w:rPr>
          <w:rFonts w:hint="eastAsia"/>
          <w:lang w:eastAsia="zh-CN"/>
        </w:rPr>
        <w:t>第三节</w:t>
      </w:r>
      <w:r>
        <w:rPr>
          <w:lang w:eastAsia="zh-CN"/>
        </w:rPr>
        <w:t xml:space="preserve"> 从案例到原则：文明互鉴的方法论提炼</w:t>
      </w:r>
    </w:p>
    <w:p w14:paraId="2A2CA791">
      <w:pPr>
        <w:spacing w:line="360" w:lineRule="auto"/>
        <w:ind w:firstLine="420"/>
        <w:rPr>
          <w:lang w:eastAsia="zh-CN"/>
        </w:rPr>
      </w:pPr>
      <w:r>
        <w:rPr>
          <w:rFonts w:ascii="宋体" w:hAnsi="宋体" w:eastAsia="宋体"/>
          <w:sz w:val="24"/>
          <w:lang w:eastAsia="zh-CN"/>
        </w:rPr>
        <w:t>通过对利玛窦与徐光启的对话、白鹿洞书院与陶山书院的交流，以及当代“朱子学与全球文明对话大会”等案例的剖析，我们可以从中提炼出文明互鉴的若干核心原则。这些原则不仅是历史经验的总结，更是未来跨文化实践的指南。</w:t>
      </w:r>
      <w:r>
        <w:rPr>
          <w:sz w:val="16"/>
          <w:vertAlign w:val="superscript"/>
        </w:rPr>
        <w:t>[12][21]</w:t>
      </w:r>
    </w:p>
    <w:p w14:paraId="0E253A20">
      <w:pPr>
        <w:pStyle w:val="5"/>
        <w:numPr>
          <w:ilvl w:val="0"/>
          <w:numId w:val="18"/>
        </w:numPr>
        <w:ind w:firstLineChars="0"/>
        <w:rPr>
          <w:lang w:eastAsia="zh-CN"/>
        </w:rPr>
      </w:pPr>
      <w:r>
        <w:rPr>
          <w:lang w:eastAsia="zh-CN"/>
        </w:rPr>
        <w:t xml:space="preserve"> 原则一：文化适应与身份重构</w:t>
      </w:r>
    </w:p>
    <w:p w14:paraId="453385F0">
      <w:pPr>
        <w:spacing w:line="360" w:lineRule="auto"/>
        <w:ind w:firstLine="420"/>
        <w:rPr>
          <w:lang w:eastAsia="zh-CN"/>
        </w:rPr>
      </w:pPr>
      <w:r>
        <w:rPr>
          <w:rFonts w:ascii="宋体" w:hAnsi="宋体" w:eastAsia="宋体"/>
          <w:sz w:val="24"/>
          <w:lang w:eastAsia="zh-CN"/>
        </w:rPr>
        <w:t>利玛窦案例最核心的启示在于“文化适应”策略。他初入中国时身着僧袍，自称“西僧”，却很快发现僧侣在中国社会地位远低于儒家士大夫 。于夔的建议下，他毅然改穿儒服，头戴代表文人雅士的“东坡巾”或象征士人身份的“四方平定巾”。这一转变并非简单的服装更换，而是一场深刻的“身份重构”——从“西僧”到“西儒”，他通过外在形象的儒化，获得了进入中国主流文化圈的“通行证”。 文化适应的本质，是在尊重他者文化逻辑的前提下，寻找自身定位的重新锚定。利玛窦曾写道：“我们全部身着中国服饰，只留下方帽以纪念十字架。” 这种在保留核心认同的同时调整外在表达的策略，为所有跨文化实践者提供了范本。它告诉我们，文明的对话不是要消灭差异，而是在差异中寻找可以“对接”的文化接口。</w:t>
      </w:r>
      <w:r>
        <w:rPr>
          <w:vertAlign w:val="superscript"/>
        </w:rPr>
        <w:footnoteReference w:id="31"/>
      </w:r>
      <w:r>
        <w:t>是，在弟子瞿汝</w:t>
      </w:r>
      <w:r>
        <w:rPr>
          <w:sz w:val="16"/>
          <w:vertAlign w:val="superscript"/>
        </w:rPr>
        <w:t>[12][18]</w:t>
      </w:r>
    </w:p>
    <w:p w14:paraId="64A61763">
      <w:pPr>
        <w:pStyle w:val="5"/>
        <w:ind w:firstLine="482"/>
        <w:rPr>
          <w:lang w:eastAsia="zh-CN"/>
        </w:rPr>
      </w:pPr>
      <w:r>
        <w:rPr>
          <w:lang w:eastAsia="zh-CN"/>
        </w:rPr>
        <w:t>原则二：双向互惠与知识共建</w:t>
      </w:r>
    </w:p>
    <w:p w14:paraId="52DC0A94">
      <w:pPr>
        <w:spacing w:line="360" w:lineRule="auto"/>
        <w:ind w:firstLine="420"/>
        <w:rPr>
          <w:lang w:eastAsia="zh-CN"/>
        </w:rPr>
      </w:pPr>
      <w:r>
        <w:rPr>
          <w:rFonts w:ascii="宋体" w:hAnsi="宋体" w:eastAsia="宋体"/>
          <w:sz w:val="24"/>
          <w:lang w:eastAsia="zh-CN"/>
        </w:rPr>
        <w:t>文明互鉴绝不是单向的“灌输”或“输出”。利玛窦带来的不仅是西方的天文地理与数学，他在中国士大夫的指导下研读《四书》《五经》，将儒家经典翻译成拉丁文传回欧洲 。与此同时，白鹿洞书院山长章潢也在其著作《图书编》中吸收了利玛窦带来的西方地理知识。这种“你中有我、我中有你”的知识共建，是互鉴的最高境界。 正如意大利威尼斯大学校长李集雅（Tiziana Lippiello）所指出的：“我们应该研究文明之间的亲和力，而不是过多强调差异……我们应该致徐光启合译《几何原本》，利玛窦获得了在中国传播学术的合法性，徐光启则接触到了全新的科学体系——这是双赢的典范。</w:t>
      </w:r>
      <w:r>
        <w:rPr>
          <w:vertAlign w:val="superscript"/>
        </w:rPr>
        <w:footnoteReference w:id="32"/>
      </w:r>
      <w:r>
        <w:t>力于不同价值观的分享，而不是取而代之。” 真正的互鉴，是双方都因对方的存在而变得更加丰富。 利玛窦与</w:t>
      </w:r>
      <w:r>
        <w:rPr>
          <w:sz w:val="16"/>
          <w:vertAlign w:val="superscript"/>
        </w:rPr>
        <w:t>[12][21][70]</w:t>
      </w:r>
    </w:p>
    <w:p w14:paraId="5E8EB2E5">
      <w:pPr>
        <w:pStyle w:val="5"/>
        <w:ind w:firstLine="482"/>
        <w:rPr>
          <w:lang w:eastAsia="zh-CN"/>
        </w:rPr>
      </w:pPr>
      <w:r>
        <w:rPr>
          <w:lang w:eastAsia="zh-CN"/>
        </w:rPr>
        <w:t>原则三：和而不同与求同存异</w:t>
      </w:r>
    </w:p>
    <w:p w14:paraId="2371E0F2">
      <w:pPr>
        <w:spacing w:line="360" w:lineRule="auto"/>
        <w:ind w:firstLine="420"/>
        <w:rPr>
          <w:lang w:eastAsia="zh-CN"/>
        </w:rPr>
      </w:pPr>
      <w:r>
        <w:rPr>
          <w:rFonts w:ascii="宋体" w:hAnsi="宋体" w:eastAsia="宋体"/>
          <w:sz w:val="24"/>
          <w:lang w:eastAsia="zh-CN"/>
        </w:rPr>
        <w:t>“和而不同”是中华文明处理差异的核心智慧，也是文明互鉴的根本原则。南宋鹅湖之会上，朱熹与陆九渊激烈论辩三日，事后朱熹却诚邀陆九渊赴白鹿洞书院讲学，陆九渊的演讲令听者“多有泣下”，朱熹“为之避席称善”</w:t>
      </w:r>
      <w:r>
        <w:rPr>
          <w:rFonts w:ascii="Times New Roman" w:hAnsi="Times New Roman" w:eastAsia="宋体"/>
          <w:vertAlign w:val="superscript"/>
        </w:rPr>
        <w:footnoteReference w:id="33"/>
      </w:r>
      <w:r>
        <w:t>。这种“在分歧中保持尊重”的精神，穿透了数百年的时光。 在当代语境下，这种精神转化为对文明多样性的自觉维护。正如泰国前副总理披尼·扎</w:t>
      </w:r>
      <w:r>
        <w:rPr>
          <w:rFonts w:ascii="宋体" w:hAnsi="宋体" w:eastAsia="宋体"/>
          <w:sz w:val="24"/>
          <w:lang w:eastAsia="zh-CN"/>
        </w:rPr>
        <w:t>禄颂巴在朱子学大会上阐释的：“‘理一’是人类对和平、繁荣、正义的共同追求，‘分殊’则是世界文明各具特色的鲜活形态。” 文明互鉴的目的，不是将多元归于一体，而是让每一种文明在保持自身特色的同时，能够与他者进行富有建设性的对话。</w:t>
      </w:r>
      <w:r>
        <w:rPr>
          <w:sz w:val="16"/>
          <w:vertAlign w:val="superscript"/>
        </w:rPr>
        <w:t>[5][14][71][27]</w:t>
      </w:r>
    </w:p>
    <w:p w14:paraId="62CF7103">
      <w:pPr>
        <w:pStyle w:val="5"/>
        <w:ind w:firstLine="482"/>
        <w:rPr>
          <w:lang w:eastAsia="zh-CN"/>
        </w:rPr>
      </w:pPr>
      <w:r>
        <w:rPr>
          <w:lang w:eastAsia="zh-CN"/>
        </w:rPr>
        <w:t>原则四：制度化保障与代际传承</w:t>
      </w:r>
    </w:p>
    <w:p w14:paraId="4B2F7CC5">
      <w:pPr>
        <w:spacing w:line="360" w:lineRule="auto"/>
        <w:ind w:firstLine="420"/>
        <w:rPr>
          <w:lang w:eastAsia="zh-CN"/>
        </w:rPr>
      </w:pPr>
      <w:r>
        <w:rPr>
          <w:rFonts w:ascii="宋体" w:hAnsi="宋体" w:eastAsia="宋体"/>
          <w:sz w:val="24"/>
          <w:lang w:eastAsia="zh-CN"/>
        </w:rPr>
        <w:t>利玛窦与徐光启的交往，本质上是个体与个体之间的信任缔结。而当代的文明互鉴，已经发展出更为制度化、常态化的形式。从白鹿洞书院与韩国陶山书院的定期学术交流窦最初在中国传教时，其服饰转变得到了传教团负责人范礼安的支持 ；当代中意之间的文化交流，则越来越多地通过青年学者和留学生来实现。正如复旦大学哲学学院院长孙向晨所言：“让不同文明背景的人们理解彼此的思维方式……不是简单地通过阅读典籍就能够实现的，而是要深文明互鉴的生命力，最终取决于一代又一代人的接续努力。</w:t>
      </w:r>
      <w:r>
        <w:rPr>
          <w:vertAlign w:val="superscript"/>
        </w:rPr>
        <w:footnoteReference w:id="34"/>
      </w:r>
      <w:r>
        <w:t>，到复旦大学设立的“利玛窦—徐光启文明对话研究中心”，再到那不勒斯中华书院历经数百年演变成为今天的东方大学——这些机构平台为跨文化对话提供了稳定、持续的保障。 尤为重要的是代际传承。利玛</w:t>
      </w:r>
      <w:r>
        <w:rPr>
          <w:vertAlign w:val="superscript"/>
        </w:rPr>
        <w:footnoteReference w:id="35"/>
      </w:r>
      <w:r>
        <w:t>入彼此的生活环境，和当地人成为朋友。”</w:t>
      </w:r>
      <w:r>
        <w:rPr>
          <w:sz w:val="16"/>
          <w:vertAlign w:val="superscript"/>
        </w:rPr>
        <w:t>[12][19]</w:t>
      </w:r>
    </w:p>
    <w:p w14:paraId="77D274FE">
      <w:pPr>
        <w:pStyle w:val="4"/>
        <w:spacing w:before="120" w:after="120"/>
        <w:ind w:firstLine="562"/>
        <w:rPr>
          <w:lang w:eastAsia="zh-CN"/>
        </w:rPr>
      </w:pPr>
      <w:r>
        <w:rPr>
          <w:rFonts w:hint="eastAsia"/>
          <w:lang w:eastAsia="zh-CN"/>
        </w:rPr>
        <w:t xml:space="preserve">第四节 </w:t>
      </w:r>
      <w:r>
        <w:rPr>
          <w:lang w:eastAsia="zh-CN"/>
        </w:rPr>
        <w:t>文明互鉴的当代挑战与应对</w:t>
      </w:r>
    </w:p>
    <w:p w14:paraId="5FDF35E6">
      <w:pPr>
        <w:spacing w:line="360" w:lineRule="auto"/>
        <w:ind w:firstLine="420"/>
        <w:rPr>
          <w:lang w:eastAsia="zh-CN"/>
        </w:rPr>
      </w:pPr>
      <w:r>
        <w:rPr>
          <w:rFonts w:ascii="宋体" w:hAnsi="宋体" w:eastAsia="宋体"/>
          <w:sz w:val="24"/>
          <w:lang w:eastAsia="zh-CN"/>
        </w:rPr>
        <w:t>前文从历史案例中提炼了文明互鉴的方法论原则，这些原则在当代依然具有指导意义。然而，当代的跨文化对话面临着前所未有的新挑战：全球化带来的文化同质化焦虑、数字技术引发的信息茧房效应、身份政治与极端主义的抬头——这些都需要我们在继承利玛窦精神遗产的基础上，发展出更具时代针对性的应对策略。</w:t>
      </w:r>
      <w:r>
        <w:rPr>
          <w:sz w:val="16"/>
          <w:vertAlign w:val="superscript"/>
        </w:rPr>
        <w:t>[43][45][42]</w:t>
      </w:r>
    </w:p>
    <w:p w14:paraId="11239BB0">
      <w:pPr>
        <w:pStyle w:val="5"/>
        <w:numPr>
          <w:ilvl w:val="0"/>
          <w:numId w:val="19"/>
        </w:numPr>
        <w:ind w:firstLineChars="0"/>
        <w:rPr>
          <w:lang w:eastAsia="zh-CN"/>
        </w:rPr>
      </w:pPr>
      <w:r>
        <w:rPr>
          <w:lang w:eastAsia="zh-CN"/>
        </w:rPr>
        <w:t>挑战一：文化焦虑与身份政治的张力</w:t>
      </w:r>
    </w:p>
    <w:p w14:paraId="1E186E54">
      <w:pPr>
        <w:spacing w:line="360" w:lineRule="auto"/>
        <w:ind w:firstLine="420"/>
        <w:rPr>
          <w:lang w:eastAsia="zh-CN"/>
        </w:rPr>
      </w:pPr>
      <w:r>
        <w:rPr>
          <w:rFonts w:ascii="宋体" w:hAnsi="宋体" w:eastAsia="宋体"/>
          <w:sz w:val="24"/>
          <w:lang w:eastAsia="zh-CN"/>
        </w:rPr>
        <w:t>全球化浪潮中，“文化焦虑”成为普遍现象——西方大众文化的全球传播引发非西方社会对文化传统被侵蚀的担忧；而以“文化保护”为名的排外主义则走向了文化封闭。这种焦虑的根源在于对“文化主体性”的误解：以为主体性意味着“纯洁性”，以为开放必然导致身份的丧失。</w:t>
      </w:r>
      <w:r>
        <w:rPr>
          <w:sz w:val="16"/>
          <w:vertAlign w:val="superscript"/>
        </w:rPr>
        <w:t>[13][43]</w:t>
      </w:r>
    </w:p>
    <w:p w14:paraId="2A4D599E">
      <w:pPr>
        <w:spacing w:line="360" w:lineRule="auto"/>
        <w:ind w:firstLine="420"/>
        <w:rPr>
          <w:lang w:eastAsia="zh-CN"/>
        </w:rPr>
      </w:pPr>
      <w:r>
        <w:rPr>
          <w:rFonts w:ascii="宋体" w:hAnsi="宋体" w:eastAsia="宋体"/>
          <w:sz w:val="24"/>
          <w:lang w:eastAsia="zh-CN"/>
        </w:rPr>
        <w:t>利玛窦的案例恰恰提供了一个破解这一误区的范本。他始终保持着基督教传教士的主体身份——使用儒家语汇，却以基督教教义为内核；穿儒服、读经书，却从未放弃信仰立场。这表明：文化主体性的维护，不在于拒绝外部影响，而在于有能力对影响进行选择和转化。徐光启同样如此——在接受西方天文历算时，始终从“补儒”框架出发，将西学纳入“经世致用”体系中。</w:t>
      </w:r>
      <w:r>
        <w:rPr>
          <w:sz w:val="16"/>
          <w:vertAlign w:val="superscript"/>
        </w:rPr>
        <w:t>[12][20]</w:t>
      </w:r>
    </w:p>
    <w:p w14:paraId="7473D8B7">
      <w:pPr>
        <w:pStyle w:val="5"/>
        <w:ind w:firstLine="482"/>
        <w:rPr>
          <w:lang w:eastAsia="zh-CN"/>
        </w:rPr>
      </w:pPr>
      <w:r>
        <w:rPr>
          <w:lang w:eastAsia="zh-CN"/>
        </w:rPr>
        <w:t>挑战二：数字时代的“信息茧房”与认知壁垒</w:t>
      </w:r>
    </w:p>
    <w:p w14:paraId="1B4DC7EA">
      <w:pPr>
        <w:spacing w:line="360" w:lineRule="auto"/>
        <w:ind w:firstLine="420"/>
        <w:rPr>
          <w:lang w:eastAsia="zh-CN"/>
        </w:rPr>
      </w:pPr>
      <w:r>
        <w:rPr>
          <w:rFonts w:ascii="宋体" w:hAnsi="宋体" w:eastAsia="宋体"/>
          <w:sz w:val="24"/>
          <w:lang w:eastAsia="zh-CN"/>
        </w:rPr>
        <w:t>数字技术原本被认为能促进跨文化交流——全球互联网使得信息触手可及，翻译软件降低了语言门槛。然而，实际情况更为复杂：算法推荐机制倾向于向用户推送他们“喜欢”的内容，导致人们越来越多地停留在“信息茧房”中，只接触与自己观点一致的信息；社交媒体上的“回音壁效应”，使不同群体间的对话变得困难。 在这一背景下，利玛窦的“格义”方法有了新的用武之地。他当年所面临的是语言和概念的“翻译”难题，而今天我们需要面对的是认知框架的“翻译”难题。当代的“格义”，需要从语义层面延伸到价值观层面——即在不同文明的价值体系中，寻找可比较、可对话的对应点。 例如，在处理“人权”概念时，西方的个人权利传统与东亚的集体责任传统之间，并非完全不可通约。通过“格义”的方法，我们可以将“人的尊严”这一共同关切作为对话起点，再逐步探索不同文明如何理解“尊严”的具体内涵。利玛窦的智慧在于：他不追求一次性地完成全部翻译，而是从最易产生共鸣的节点入手，逐步构建理解的阶梯。这一思路，在数字时代依然有效。</w:t>
      </w:r>
      <w:r>
        <w:rPr>
          <w:sz w:val="16"/>
          <w:vertAlign w:val="superscript"/>
        </w:rPr>
        <w:t>[43][45]</w:t>
      </w:r>
    </w:p>
    <w:p w14:paraId="11FB10FC">
      <w:pPr>
        <w:pStyle w:val="5"/>
        <w:ind w:firstLine="482"/>
        <w:rPr>
          <w:lang w:eastAsia="zh-CN"/>
        </w:rPr>
      </w:pPr>
      <w:r>
        <w:rPr>
          <w:lang w:eastAsia="zh-CN"/>
        </w:rPr>
        <w:t>挑战三：从“精英对话”到“大众互鉴”的拓展</w:t>
      </w:r>
    </w:p>
    <w:p w14:paraId="67C75721">
      <w:pPr>
        <w:spacing w:line="360" w:lineRule="auto"/>
        <w:ind w:firstLine="420"/>
        <w:rPr>
          <w:lang w:eastAsia="zh-CN"/>
        </w:rPr>
      </w:pPr>
      <w:r>
        <w:rPr>
          <w:rFonts w:ascii="宋体" w:hAnsi="宋体" w:eastAsia="宋体"/>
          <w:sz w:val="24"/>
          <w:lang w:eastAsia="zh-CN"/>
        </w:rPr>
        <w:t>利玛窦时代的对话，主要发生在精英阶层之间——士大夫、学者、传教士。这种对话的深度和精致度很高，但覆盖面有限。当代的文明互鉴，面临着将对话从学术圈层扩展到大众层面的挑战。 这要求我们创新对话的形式和载体。除了传统的学术交流、书籍翻译之外，影视作品、社交媒体、旅游、美食、体育赛事、城市设计——这些都成为文明的载体，成为“无声的对话”。例如，中意文化年中的戏剧演出、美术馆展览，就是让普通市民参与到文明互鉴中的有效形式。利玛窦当年绘制《坤舆万国全图》，本质上也是一种“大众科普”——他以直观的地图形式，让从未走出国门的中国士人“看见”世界。今天，我们可以用更多维的方式，让不同文明的人们“看见”彼此的生活、情感和智慧。 此外，教育在“大众互鉴”中承担着不可替代的角色。正如前文所述，白鹿洞书院的传统在现代学校教育中得以延续——从小学的“礼敬朱子”仪式，到大学的中外合作办学项目，教育的本质始终是“打开眼界、培养共情”。当代的文明互鉴，需要将“跨文化能力”作为教育的基本目标之一，使年轻一代从小就习惯于在多元文化的环境中思考与交流。</w:t>
      </w:r>
      <w:r>
        <w:rPr>
          <w:sz w:val="16"/>
          <w:vertAlign w:val="superscript"/>
        </w:rPr>
        <w:t>[12][21]</w:t>
      </w:r>
    </w:p>
    <w:p w14:paraId="6566870B">
      <w:pPr>
        <w:pStyle w:val="4"/>
        <w:spacing w:before="120" w:after="120"/>
        <w:ind w:firstLine="562"/>
        <w:rPr>
          <w:lang w:eastAsia="zh-CN"/>
        </w:rPr>
      </w:pPr>
      <w:r>
        <w:rPr>
          <w:rFonts w:hint="eastAsia"/>
          <w:lang w:eastAsia="zh-CN"/>
        </w:rPr>
        <w:t>第五节</w:t>
      </w:r>
      <w:r>
        <w:rPr>
          <w:lang w:eastAsia="zh-CN"/>
        </w:rPr>
        <w:t xml:space="preserve"> 从互鉴到融合：文明共同体的构建之路</w:t>
      </w:r>
    </w:p>
    <w:p w14:paraId="2957AD14">
      <w:pPr>
        <w:spacing w:line="360" w:lineRule="auto"/>
        <w:ind w:firstLine="420"/>
        <w:rPr>
          <w:lang w:eastAsia="zh-CN"/>
        </w:rPr>
      </w:pPr>
      <w:r>
        <w:rPr>
          <w:rFonts w:ascii="宋体" w:hAnsi="宋体" w:eastAsia="宋体"/>
          <w:sz w:val="24"/>
          <w:lang w:eastAsia="zh-CN"/>
        </w:rPr>
        <w:t>文明互鉴的终极目标，是构建一个“和而不同”的文明共同体。“理一分殊”本是程朱理学的核心概念，在文明互鉴的语境中获得了新的解释：人类对美好生活的普遍追求（“理一”），在不同历史条件和文化土壤中形成不同的价值体系和制度安排（“分殊”）。这不是缺陷，而是人类创造力的体现。</w:t>
      </w:r>
      <w:r>
        <w:rPr>
          <w:sz w:val="16"/>
          <w:vertAlign w:val="superscript"/>
        </w:rPr>
        <w:t>[14][5]</w:t>
      </w:r>
    </w:p>
    <w:p w14:paraId="2397AA50">
      <w:pPr>
        <w:spacing w:line="360" w:lineRule="auto"/>
        <w:ind w:firstLine="420"/>
        <w:rPr>
          <w:lang w:eastAsia="zh-CN"/>
        </w:rPr>
      </w:pPr>
      <w:r>
        <w:rPr>
          <w:rFonts w:ascii="宋体" w:hAnsi="宋体" w:eastAsia="宋体"/>
          <w:sz w:val="24"/>
          <w:lang w:eastAsia="zh-CN"/>
        </w:rPr>
        <w:t>“和而不同”作为中华文明处理差异的智慧，可以在三个层面发挥作用：对话层面（建立常态化文明间对话机制）、项目层面（在具体领域开展合作项目）、制度层面（推动更包容的全球治理机制）。正如利玛窦与徐光启的相遇所示——当两种伟大文明碰撞时，对话是唯一的选择。今天，全球化的纵深发展使文明互鉴不再是“可选项”，而是“必选项”。</w:t>
      </w:r>
      <w:r>
        <w:rPr>
          <w:sz w:val="16"/>
          <w:vertAlign w:val="superscript"/>
        </w:rPr>
        <w:t>[12][21]</w:t>
      </w:r>
    </w:p>
    <w:p w14:paraId="0C6D94EF">
      <w:pPr>
        <w:pStyle w:val="3"/>
        <w:spacing w:before="240" w:after="240"/>
        <w:rPr>
          <w:lang w:eastAsia="zh-CN"/>
        </w:rPr>
      </w:pPr>
      <w:r>
        <w:rPr>
          <w:lang w:eastAsia="zh-CN"/>
        </w:rPr>
        <w:t>第六章 结语</w:t>
      </w:r>
    </w:p>
    <w:p w14:paraId="62F74E71">
      <w:pPr>
        <w:spacing w:line="360" w:lineRule="auto"/>
        <w:ind w:firstLine="420"/>
        <w:rPr>
          <w:lang w:eastAsia="zh-CN"/>
        </w:rPr>
      </w:pPr>
      <w:r>
        <w:rPr>
          <w:rFonts w:ascii="宋体" w:hAnsi="宋体" w:eastAsia="宋体"/>
          <w:sz w:val="24"/>
          <w:lang w:eastAsia="zh-C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功能性保留”与“本体论否定”双重策略的剖析，我们已经清晰地勾勒出利玛窦如何以基督教神学为基准，重构儒家形而上学的深层语法。本章将基于前述论证，对这场跨文明对话的逻辑、性质与历史启示进行最终的提炼与升华。</w:t>
      </w:r>
      <w:r>
        <w:rPr>
          <w:sz w:val="16"/>
          <w:vertAlign w:val="superscript"/>
        </w:rPr>
        <w:t>[11][13][54]</w:t>
      </w:r>
    </w:p>
    <w:p w14:paraId="4489390A">
      <w:pPr>
        <w:pStyle w:val="4"/>
        <w:spacing w:before="120" w:after="120"/>
        <w:ind w:firstLine="562"/>
        <w:rPr>
          <w:lang w:eastAsia="zh-CN"/>
        </w:rPr>
      </w:pPr>
      <w:r>
        <w:rPr>
          <w:rFonts w:hint="eastAsia"/>
          <w:lang w:eastAsia="zh-CN"/>
        </w:rPr>
        <w:t>第一节</w:t>
      </w:r>
      <w:r>
        <w:rPr>
          <w:lang w:eastAsia="zh-CN"/>
        </w:rPr>
        <w:t xml:space="preserve"> 总结全文：一场“置换核心”的哲学工程</w:t>
      </w:r>
    </w:p>
    <w:p w14:paraId="5F5E155D">
      <w:pPr>
        <w:spacing w:line="360" w:lineRule="auto"/>
        <w:ind w:firstLine="420"/>
        <w:rPr>
          <w:lang w:eastAsia="zh-CN"/>
        </w:rPr>
      </w:pPr>
      <w:r>
        <w:rPr>
          <w:rFonts w:ascii="宋体" w:hAnsi="宋体" w:eastAsia="宋体"/>
          <w:sz w:val="24"/>
          <w:lang w:eastAsia="zh-C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 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 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他通过“以子之矛，攻子之盾”的方式，利用宋明理学内部的逻辑漏洞（如理气关系、体用关系），迫使这些概念在新的神学框架下重新归位。 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忠孝节义等伦理规范，也从人际间的伦常关系，升华至对神、对人、对己的三重义务。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因此，我们有理由认为，利玛窦的译名实践，是“基督教中国化”这一漫长历史进程最早的、最具原创性的策源地，也是决定其后续发展路径的关键事件。没有这场对儒家最高本体的“创造性误读”与“策略性重构”，后来的“礼仪之争”与“索隐派”的种种纷争，都将失去其赖以展开的哲学根基。</w:t>
      </w:r>
      <w:r>
        <w:rPr>
          <w:sz w:val="16"/>
          <w:vertAlign w:val="superscript"/>
        </w:rPr>
        <w:t>[11][20]</w:t>
      </w:r>
    </w:p>
    <w:p w14:paraId="37667DBB">
      <w:pPr>
        <w:pStyle w:val="4"/>
        <w:spacing w:before="120" w:after="120"/>
        <w:ind w:firstLine="562"/>
        <w:rPr>
          <w:lang w:eastAsia="zh-CN"/>
        </w:rPr>
      </w:pPr>
      <w:r>
        <w:rPr>
          <w:rFonts w:hint="eastAsia"/>
          <w:lang w:eastAsia="zh-CN"/>
        </w:rPr>
        <w:t>第二节</w:t>
      </w:r>
      <w:r>
        <w:rPr>
          <w:lang w:eastAsia="zh-CN"/>
        </w:rPr>
        <w:t xml:space="preserve"> 定性评价：一场跨文明的“化学反应”</w:t>
      </w:r>
    </w:p>
    <w:p w14:paraId="71F24CD1">
      <w:pPr>
        <w:spacing w:line="360" w:lineRule="auto"/>
        <w:ind w:firstLine="420"/>
        <w:rPr>
          <w:lang w:eastAsia="zh-CN"/>
        </w:rPr>
      </w:pPr>
      <w:r>
        <w:rPr>
          <w:rFonts w:ascii="宋体" w:hAnsi="宋体" w:eastAsia="宋体"/>
          <w:sz w:val="24"/>
          <w:lang w:eastAsia="zh-CN"/>
        </w:rPr>
        <w:t>将利玛窦的译名实践仅仅定义为“传教策略”或“文化适应”是远远不够的。本研究的结论认为，这场实践是一场名副其实的跨文明“化学反应”，其复杂性与深刻性远非简单的“物理拼贴”或“文化嫁接”可以概括的。 在“物理拼贴”的模式下，不同文明的观念如同砖块，被简单的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 这种“化学反应”主要表现为三个层面： 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如《天主实义》中对仁爱孝悌的肯定）。这种“化合物”既不是纯粹的儒家“理本论”，也不是纯粹的基督教神学，而是一种独特的、具有混血性质的“儒式神学”。 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迫使中国士人对自己的传统进行前所未有的反思。这种反思，不仅是宗教层面的，更是哲学方法论层面的。它催生了晚明以降一批试图用“格物穷理”来包容或反驳西学的思想家（如徐光启、李之藻、黄宗羲、王夫之等），间接影响了中国思想史的逻辑转向。 第三，历史条件的“中止”。这场“化学反应”最终未能延续下去而形成一个稳固的“化合物”，其根本原因在于其“催化剂”——即特定的历史条件——发生了改变。明末清初的宽容氛围、士林对“实学”的渴求、以及耶稣会在上层路线与知识传播上的优势，构成了这场反应得以发生的“理想实验室”。然而，随着清朝统治的稳固、罗马教廷“中国礼仪之争”的最终裁决（禁止使用“上帝”、“天”等译名，禁止祭祖祭孔），以及耶稣会自身的解散，这场化学反应被迫终止。它留下的，是一个未完成的“反应体系”——一套被改造的“儒耶融合”文本（如《天主实义》）以及一系列充满争议却极具思想价值的“概念改造策略”。这些“产物”虽然未能成功改造中国传统社会的信仰结构，却成为了后世研究跨文明对话的珍贵“研究标本”。它向我们展示了，在特定历史条件下，两个高度成熟的文明体系如何进行最深层的、触及本体论的“对话”。 因此，定性利玛窦的译名实践为一场“化学反应”而非“物理拼贴”，其根本意义在于强调其创新性与不可还原性。它不是对儒学的“装饰”，也不是对基督教义的“稀释”，而是在两个文明最深处的核心逻辑之间，进行的一次充满风险与创造力的“炼金术”。它失败了，但它失败的“沉淀物”——那套独特的诠释学策略——却至今仍在闪耀着智慧的光芒。</w:t>
      </w:r>
      <w:r>
        <w:rPr>
          <w:sz w:val="16"/>
          <w:vertAlign w:val="superscript"/>
        </w:rPr>
        <w:t>[11][21][15][25][28]</w:t>
      </w:r>
    </w:p>
    <w:p w14:paraId="7779DE9D">
      <w:pPr>
        <w:pStyle w:val="4"/>
        <w:spacing w:before="120" w:after="120"/>
        <w:ind w:firstLine="562"/>
        <w:rPr>
          <w:lang w:eastAsia="zh-CN"/>
        </w:rPr>
      </w:pPr>
      <w:r>
        <w:rPr>
          <w:rFonts w:hint="eastAsia"/>
          <w:lang w:eastAsia="zh-CN"/>
        </w:rPr>
        <w:t>第三节</w:t>
      </w:r>
      <w:r>
        <w:rPr>
          <w:lang w:eastAsia="zh-CN"/>
        </w:rPr>
        <w:t xml:space="preserve"> 最终升华：深度对话的灵魂叩问</w:t>
      </w:r>
    </w:p>
    <w:p w14:paraId="195E346F">
      <w:pPr>
        <w:spacing w:line="360" w:lineRule="auto"/>
        <w:ind w:firstLine="420"/>
        <w:rPr>
          <w:lang w:eastAsia="zh-CN"/>
        </w:rPr>
      </w:pPr>
      <w:r>
        <w:rPr>
          <w:rFonts w:ascii="宋体" w:hAnsi="宋体" w:eastAsia="宋体"/>
          <w:sz w:val="24"/>
          <w:lang w:eastAsia="zh-C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 这段历史深刻揭示了一个道理：任何停留于器物层、制度层，乃至浅层伦理规范层面的文化交流，都是“貌合神离”的。 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 利玛窦对“理”与“太极”的诠释，恰恰是人类历史上为数不多、且被完整记录下来的 “深度对话”的经典案例。他向我们展示了这场对话所需要的几种核心品质： 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 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这种“创造性误读”，其本质乃是一种诠释学实践，它通过“视域融合”，实现了意义的增殖与思想的生成。 第三，对“本质主义”的警惕。利玛窦的实践表明，无论是“中国文明”还是“西方文明”，都不是一个铁板一块的同质实体。他敏锐地利用了儒家思想内部“汉代经学”与“宋明理学”、“理学”与“心学”之间的张力，为己所用。这提醒我们，文明间的对话，不应是在两个僵化、固定的“本质”之间进行谈判，而应是在各自的复杂性、矛盾性与历史性中，寻找可以产生“共鸣”与“反应”的节点。 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 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 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r>
        <w:rPr>
          <w:sz w:val="16"/>
          <w:vertAlign w:val="superscript"/>
        </w:rPr>
        <w:t>[12][13][35][72]</w:t>
      </w:r>
    </w:p>
    <w:p w14:paraId="4E0E427E">
      <w:pPr>
        <w:pStyle w:val="4"/>
        <w:spacing w:before="120" w:after="120"/>
        <w:ind w:firstLine="562"/>
        <w:rPr>
          <w:lang w:eastAsia="zh-CN"/>
        </w:rPr>
      </w:pPr>
      <w:r>
        <w:rPr>
          <w:rFonts w:hint="eastAsia"/>
          <w:lang w:eastAsia="zh-CN"/>
        </w:rPr>
        <w:t>第四节</w:t>
      </w:r>
      <w:r>
        <w:rPr>
          <w:lang w:eastAsia="zh-CN"/>
        </w:rPr>
        <w:t xml:space="preserve"> 利玛窦译名实践对当代“基督教中国化”的正向意义</w:t>
      </w:r>
    </w:p>
    <w:p w14:paraId="1419B025">
      <w:pPr>
        <w:spacing w:line="360" w:lineRule="auto"/>
        <w:ind w:firstLine="420"/>
        <w:rPr>
          <w:lang w:eastAsia="zh-CN"/>
        </w:rPr>
      </w:pPr>
      <w:r>
        <w:rPr>
          <w:rFonts w:ascii="宋体" w:hAnsi="宋体" w:eastAsia="宋体"/>
          <w:sz w:val="24"/>
          <w:lang w:eastAsia="zh-CN"/>
        </w:rPr>
        <w:t>利玛窦的译名实践，虽然以“礼仪之争”的悲剧性中断而暂时画上句号，但其思想遗产却在四百年后的今天获得了新的生命力。进入21世纪，“基督教中国化”已成为当代中国基督教界和学术界的核心议题——如何让一种起源于西方文化语境的宗教，在中国文化中找到恰当的表达方式？利玛窦的案例，为这一当代议题提供了三个层面的正向启示。第一，“文化适应”不是教义的妥协，而是信仰的“本土化表达”。利玛窦用“上帝”、“天”等中国经典语汇翻译“Deus”，并非为了“迎合”中国文化而牺牲基督教教义的纯正性，而是为了让基督教信仰在中国文化的“土壤”中生根发芽。这种“本土化”的逻辑，正是当代“基督教中国化”的核心理念——基督教不应当永远以“外来宗教”的姿态存在，而应当在中国文化的语境中形成自身的表达形态与实践方式。第二，“概念对话”是跨文化理解的必由之路。利玛窦对“理”与“太极”的批判与重构，展示了基督教神学与中国哲学进行深度对话的可能性与必要性。当代“基督教中国化”不能仅仅停留在“用中文讲道”或“穿中式服装”的表层，而应当进入中国哲学的核心概念体系，在“天人关系”、“心性论”、“终极关怀”等根本问题上，与儒家、道家、佛家传统展开实质性的思想对话。只有在这种深度对话中，基督教才能真正“成为中国人的宗教”，而非仅仅“在中国传播的西方宗教”。第三，“创造性误解”是文化创新的源泉。利玛窦的“策略性曲解”虽然在后世引发了“礼仪之争”，但从长时段的历史视角来看，正是这种“误解”催生了耶儒融合的思想成果，推动了两种文明的相互丰富。当代“基督教中国化”同样需要容忍一定程度的“创造性张力”——不必追求“纯正教义”与“中国文化”之间的完全一致，而应当在两者的交汇处寻找新的思想生长点。利玛窦的案例告诉我们：文明互鉴的最高境界，不是一方“同化”另一方，而是在保持各自身份认同的前提下，通过深度对话实现“你中有我、我中有你”的创造性融合。这一智慧，对于今天在全球化语境下推进“基督教中国化”、构建“和而不同”的文明共同体，依然具有不可替代的启示价值。</w:t>
      </w:r>
      <w:r>
        <w:rPr>
          <w:sz w:val="16"/>
          <w:vertAlign w:val="superscript"/>
        </w:rPr>
        <w:t>[20][41][55]</w:t>
      </w:r>
    </w:p>
    <w:p w14:paraId="38874326">
      <w:pPr>
        <w:spacing w:line="360" w:lineRule="auto"/>
        <w:ind w:firstLine="420"/>
        <w:rPr>
          <w:lang w:eastAsia="zh-CN"/>
        </w:rPr>
      </w:pPr>
      <w:r>
        <w:rPr>
          <w:rFonts w:ascii="宋体" w:hAnsi="宋体" w:eastAsia="宋体"/>
          <w:sz w:val="24"/>
          <w:lang w:eastAsia="zh-CN"/>
        </w:rPr>
        <w:t>上述三个层面的正向启示，共同指向一个核心命题：利玛窦的译名实践为当代“基督教中国化”提供了一条不可替代的历史路径。这条路径的关键不在于“复制”利玛窦的具体做法——四百年后的中国已与明末截然不同——而在于继承其开放、灵活而又不失信仰根基的“方法精神”。具体而言，利玛窦的译名实践从以下三个方面为今日“基督教中国化”注入了正向动力。其一，它为“中国化”提供了历史正当性：利玛窦的实践证明，基督教自进入中国之初，就天然地处于与中国文化对话的过程之中，“中国化”不是当代人为构造的政治命题，而是基督教在华发展的内在逻辑和必然趋势。其二，它为“中国化”提供了方法论范本：利玛窦的“概念挪用”策略——在保持信仰内核的前提下，用中国文化的语言重新表述基督教教义——为当代神学家和教会工作者提供了具体而可操作的方法论借鉴。其三，它为“中国化”注入了历史信心：利玛窦在四百年前的历史条件下，尚且能够展开如此深度的耶儒对话，今日的中国教会与学者，在全球化、信息化和学术积累极大丰富的时代条件下，理应更有能力、更有智慧地推进这一未竟的事业。利玛窦的译名实践，犹如一盏穿越四百年的灯火，既照亮了基督教来华的历史起点，也为基督教在中国的未来之路标示出方向——不是疏离于中国文化之外的“他者”，而是融入中华文明血脉之中的“共同体成员”。这正是利玛窦译名实践对当代中国最具深意的正向遗产。</w:t>
      </w:r>
      <w:r>
        <w:rPr>
          <w:sz w:val="16"/>
          <w:vertAlign w:val="superscript"/>
        </w:rPr>
        <w:t>[11][20]</w:t>
      </w:r>
    </w:p>
    <w:p>
      <w:pPr>
        <w:spacing w:before="480"/>
      </w:pPr>
      <w:r>
        <w:rPr>
          <w:b/>
          <w:sz w:val="32"/>
        </w:rPr>
        <w:t>参考文献</w:t>
      </w:r>
    </w:p>
    <w:p>
      <w:pPr>
        <w:spacing w:before="240"/>
      </w:pPr>
      <w:r>
        <w:rPr>
          <w:b/>
          <w:sz w:val="24"/>
        </w:rPr>
        <w:t>一、典籍类</w:t>
      </w:r>
    </w:p>
    <w:p>
      <w:pPr>
        <w:spacing w:after="80"/>
      </w:pPr>
      <w:r>
        <w:rPr>
          <w:sz w:val="21"/>
        </w:rPr>
        <w:t>[1] 朱熹. 朱子语类[M]. 北京: 中华书局, 1986.</w:t>
      </w:r>
    </w:p>
    <w:p>
      <w:pPr>
        <w:spacing w:after="80"/>
      </w:pPr>
      <w:r>
        <w:rPr>
          <w:sz w:val="21"/>
        </w:rPr>
        <w:t>[2] 周敦颐. 周敦颐集[M]. 北京: 中华书局, 2009.</w:t>
      </w:r>
    </w:p>
    <w:p>
      <w:pPr>
        <w:spacing w:after="80"/>
      </w:pPr>
      <w:r>
        <w:rPr>
          <w:sz w:val="21"/>
        </w:rPr>
        <w:t>[3] 程颢, 程颐. 二程遗书[M]. 上海: 上海古籍出版社, 2000.</w:t>
      </w:r>
    </w:p>
    <w:p>
      <w:pPr>
        <w:spacing w:after="80"/>
      </w:pPr>
      <w:r>
        <w:rPr>
          <w:sz w:val="21"/>
        </w:rPr>
        <w:t>[4] 张载. 张载集[M]. 北京: 中华书局, 1978.</w:t>
      </w:r>
    </w:p>
    <w:p>
      <w:pPr>
        <w:spacing w:after="80"/>
      </w:pPr>
      <w:r>
        <w:rPr>
          <w:sz w:val="21"/>
        </w:rPr>
        <w:t>[5] 朱熹. 四书章句集注[M]. 北京: 中华书局, 1983.</w:t>
      </w:r>
    </w:p>
    <w:p>
      <w:pPr>
        <w:spacing w:after="80"/>
      </w:pPr>
      <w:r>
        <w:rPr>
          <w:sz w:val="21"/>
        </w:rPr>
        <w:t>[6] 朱熹. 周易本义[M]. 北京: 中华书局, 2009.</w:t>
      </w:r>
    </w:p>
    <w:p>
      <w:pPr>
        <w:spacing w:after="80"/>
      </w:pPr>
      <w:r>
        <w:rPr>
          <w:sz w:val="21"/>
        </w:rPr>
        <w:t>[7] 王阳明. 传习录[M]. 上海: 上海古籍出版社, 1992.</w:t>
      </w:r>
    </w:p>
    <w:p>
      <w:pPr>
        <w:spacing w:after="80"/>
      </w:pPr>
      <w:r>
        <w:rPr>
          <w:sz w:val="21"/>
        </w:rPr>
        <w:t>[8] 黄宗羲. 明儒学案[M]. 北京: 中华书局, 2008.</w:t>
      </w:r>
    </w:p>
    <w:p>
      <w:pPr>
        <w:spacing w:after="80"/>
      </w:pPr>
      <w:r>
        <w:rPr>
          <w:sz w:val="21"/>
        </w:rPr>
        <w:t>[9] 黄宗羲. 明夷待访录[M]. 北京: 中华书局, 2011.</w:t>
      </w:r>
    </w:p>
    <w:p>
      <w:pPr>
        <w:spacing w:after="80"/>
      </w:pPr>
      <w:r>
        <w:rPr>
          <w:sz w:val="21"/>
        </w:rPr>
        <w:t>[10] 徐光启. 农政全书[M]. 上海: 上海古籍出版社, 1979.</w:t>
      </w:r>
    </w:p>
    <w:p>
      <w:pPr>
        <w:spacing w:before="240"/>
      </w:pPr>
      <w:r>
        <w:rPr>
          <w:b/>
          <w:sz w:val="24"/>
        </w:rPr>
        <w:t>二、中外著作类</w:t>
      </w:r>
    </w:p>
    <w:p>
      <w:pPr>
        <w:spacing w:after="80"/>
      </w:pPr>
      <w:r>
        <w:rPr>
          <w:sz w:val="21"/>
        </w:rPr>
        <w:t>[11] 利玛窦. 天主实义[A]. 利玛窦中文著译集[C]. 上海: 复旦大学出版社, 2001.</w:t>
      </w:r>
    </w:p>
    <w:p>
      <w:pPr>
        <w:spacing w:after="80"/>
      </w:pPr>
      <w:r>
        <w:rPr>
          <w:sz w:val="21"/>
        </w:rPr>
        <w:t>[12] 利玛窦, 金尼阁. 利玛窦中国札记[M]. 何高济, 王遵仲, 李申, 译. 北京: 中华书局, 1983.</w:t>
      </w:r>
    </w:p>
    <w:p>
      <w:pPr>
        <w:spacing w:after="80"/>
      </w:pPr>
      <w:r>
        <w:rPr>
          <w:sz w:val="21"/>
        </w:rPr>
        <w:t>[13] 谢和耐(J. Gernet). 中国与基督教：一种文化的冲突[M]. 耿昇, 译. 上海: 上海古籍出版社, 2003.</w:t>
      </w:r>
    </w:p>
    <w:p>
      <w:pPr>
        <w:spacing w:after="80"/>
      </w:pPr>
      <w:r>
        <w:rPr>
          <w:sz w:val="21"/>
        </w:rPr>
        <w:t>[14] 蒙培元. 理学范畴系统[M]. 北京: 人民出版社, 1989.</w:t>
      </w:r>
    </w:p>
    <w:p>
      <w:pPr>
        <w:spacing w:after="80"/>
      </w:pPr>
      <w:r>
        <w:rPr>
          <w:sz w:val="21"/>
        </w:rPr>
        <w:t>[15] 蒙培元. 理学的演变——从朱熹到王夫之、戴震[M]. 北京: 中国人民大学出版社, 2010.</w:t>
      </w:r>
    </w:p>
    <w:p>
      <w:pPr>
        <w:spacing w:after="80"/>
      </w:pPr>
      <w:r>
        <w:rPr>
          <w:sz w:val="21"/>
        </w:rPr>
        <w:t>[16] 朱谦之. 中国哲学对欧洲的影响[M]. 石家庄: 河北人民出版社, 2004.</w:t>
      </w:r>
    </w:p>
    <w:p>
      <w:pPr>
        <w:spacing w:after="80"/>
      </w:pPr>
      <w:r>
        <w:rPr>
          <w:sz w:val="21"/>
        </w:rPr>
        <w:t>[17] 张之洞. 劝学篇[M]. 武汉: 湖北人民出版社, 2012.</w:t>
      </w:r>
    </w:p>
    <w:p>
      <w:pPr>
        <w:spacing w:after="80"/>
      </w:pPr>
      <w:r>
        <w:rPr>
          <w:sz w:val="21"/>
        </w:rPr>
        <w:t>[18] 徐宗泽. 中国天主教传教史概论[M]. 台北: 台湾商务印书馆, 1938/1991年重印.</w:t>
      </w:r>
    </w:p>
    <w:p>
      <w:pPr>
        <w:spacing w:after="80"/>
      </w:pPr>
      <w:r>
        <w:rPr>
          <w:sz w:val="21"/>
        </w:rPr>
        <w:t>[19] 李天纲. 中国礼仪之争——历史、文献和意义[M]. 上海: 上海古籍出版社, 1998.</w:t>
      </w:r>
    </w:p>
    <w:p>
      <w:pPr>
        <w:spacing w:after="80"/>
      </w:pPr>
      <w:r>
        <w:rPr>
          <w:sz w:val="21"/>
        </w:rPr>
        <w:t>[20] 孙尚扬. 基督教与明末儒学[M]. 北京: 东方出版社, 1994.</w:t>
      </w:r>
    </w:p>
    <w:p>
      <w:pPr>
        <w:spacing w:after="80"/>
      </w:pPr>
      <w:r>
        <w:rPr>
          <w:sz w:val="21"/>
        </w:rPr>
        <w:t>[21] 张西平. 中国与欧洲早期宗教和哲学交流史[M]. 北京: 东方出版社, 2001.</w:t>
      </w:r>
    </w:p>
    <w:p>
      <w:pPr>
        <w:spacing w:after="80"/>
      </w:pPr>
      <w:r>
        <w:rPr>
          <w:sz w:val="21"/>
        </w:rPr>
        <w:t>[22] 冯友兰. 中国哲学史[M]. 北京: 中华书局, 1984.</w:t>
      </w:r>
    </w:p>
    <w:p>
      <w:pPr>
        <w:spacing w:after="80"/>
      </w:pPr>
      <w:r>
        <w:rPr>
          <w:sz w:val="21"/>
        </w:rPr>
        <w:t>[23] 陈来. 宋明理学[M]. 沈阳: 辽宁教育出版社, 1991.</w:t>
      </w:r>
    </w:p>
    <w:p>
      <w:pPr>
        <w:spacing w:after="80"/>
      </w:pPr>
      <w:r>
        <w:rPr>
          <w:sz w:val="21"/>
        </w:rPr>
        <w:t>[24] 钱穆. 中国思想史[M]. 台北: 台湾学生书局, 1983.</w:t>
      </w:r>
    </w:p>
    <w:p>
      <w:pPr>
        <w:spacing w:after="80"/>
      </w:pPr>
      <w:r>
        <w:rPr>
          <w:sz w:val="21"/>
        </w:rPr>
        <w:t>[25] 王夫之. 张子正蒙注[M]. 北京: 中华书局, 1975.</w:t>
      </w:r>
    </w:p>
    <w:p>
      <w:pPr>
        <w:spacing w:after="80"/>
      </w:pPr>
      <w:r>
        <w:rPr>
          <w:sz w:val="21"/>
        </w:rPr>
        <w:t>[26] 牟宗三. 心体与性体[M]. 上海: 上海古籍出版社, 1999.</w:t>
      </w:r>
    </w:p>
    <w:p>
      <w:pPr>
        <w:spacing w:after="80"/>
      </w:pPr>
      <w:r>
        <w:rPr>
          <w:sz w:val="21"/>
        </w:rPr>
        <w:t>[27] 余英时. 朱熹的历史世界：宋代士大夫政治文化的研究[M]. 北京: 生活·读书·新知三联书店, 2004.</w:t>
      </w:r>
    </w:p>
    <w:p>
      <w:pPr>
        <w:spacing w:after="80"/>
      </w:pPr>
      <w:r>
        <w:rPr>
          <w:sz w:val="21"/>
        </w:rPr>
        <w:t>[28] 田浩(Hoyt Cleveland Tillman). 朱熹的思维世界[M]. 西安: 陕西师范大学出版社, 2002.</w:t>
      </w:r>
    </w:p>
    <w:p>
      <w:pPr>
        <w:spacing w:after="80"/>
      </w:pPr>
      <w:r>
        <w:rPr>
          <w:sz w:val="21"/>
        </w:rPr>
        <w:t>[29] 钟鸣旦(N. Standaert). 杨廷筠：明末天主教儒者与新儒学的对话[M]. 北京: 社会科学文献出版社, 2002.</w:t>
      </w:r>
    </w:p>
    <w:p>
      <w:pPr>
        <w:spacing w:after="80"/>
      </w:pPr>
      <w:r>
        <w:rPr>
          <w:sz w:val="21"/>
        </w:rPr>
        <w:t>[30] 孙尚扬. 明清之际的基督教与儒学[M]. 北京: 首都师范大学出版社, 2010.</w:t>
      </w:r>
    </w:p>
    <w:p>
      <w:pPr>
        <w:spacing w:after="80"/>
      </w:pPr>
      <w:r>
        <w:rPr>
          <w:sz w:val="21"/>
        </w:rPr>
        <w:t>[31] 张西平. 耶稣会与天主教进入中国[M]. 北京: 商务印书馆, 2017.</w:t>
      </w:r>
    </w:p>
    <w:p>
      <w:pPr>
        <w:spacing w:after="80"/>
      </w:pPr>
      <w:r>
        <w:rPr>
          <w:sz w:val="21"/>
        </w:rPr>
        <w:t>[32] 黄一农. 两头蛇：明末清初的第一代天主教徒[M]. 上海: 上海古籍出版社, 2006.</w:t>
      </w:r>
    </w:p>
    <w:p>
      <w:pPr>
        <w:spacing w:after="80"/>
      </w:pPr>
      <w:r>
        <w:rPr>
          <w:sz w:val="21"/>
        </w:rPr>
        <w:t>[33] 李天纲. 中国礼仪论集[C]. 上海: 上海古籍出版社, 2010.</w:t>
      </w:r>
    </w:p>
    <w:p>
      <w:pPr>
        <w:spacing w:after="80"/>
      </w:pPr>
      <w:r>
        <w:rPr>
          <w:sz w:val="21"/>
        </w:rPr>
        <w:t>[34] 侯外庐. 宋明理学史[M]. 北京: 人民出版社, 1987.</w:t>
      </w:r>
    </w:p>
    <w:p>
      <w:pPr>
        <w:spacing w:after="80"/>
      </w:pPr>
      <w:r>
        <w:rPr>
          <w:sz w:val="21"/>
        </w:rPr>
        <w:t>[35] 史景迁(J. Spence). 利玛窦的记忆之宫[M]. 章可, 译. 桂林: 广西师范大学出版社, 2005.</w:t>
      </w:r>
    </w:p>
    <w:p>
      <w:pPr>
        <w:spacing w:after="80"/>
      </w:pPr>
      <w:r>
        <w:rPr>
          <w:sz w:val="21"/>
        </w:rPr>
        <w:t>[36] 顾炎武. 日知录集释[M]. 黄汝成, 集释. 上海: 上海古籍出版社, 2006.</w:t>
      </w:r>
    </w:p>
    <w:p>
      <w:pPr>
        <w:spacing w:before="240"/>
      </w:pPr>
      <w:r>
        <w:rPr>
          <w:b/>
          <w:sz w:val="24"/>
        </w:rPr>
        <w:t>三、学术论文类</w:t>
      </w:r>
    </w:p>
    <w:p>
      <w:pPr>
        <w:spacing w:after="80"/>
      </w:pPr>
      <w:r>
        <w:rPr>
          <w:sz w:val="21"/>
        </w:rPr>
        <w:t>[37] 孙尚扬. 明末耶儒之间的论辩及其现代意义[J]. 世界宗教研究, 1993(3): 25-36.</w:t>
      </w:r>
    </w:p>
    <w:p>
      <w:pPr>
        <w:spacing w:after="80"/>
      </w:pPr>
      <w:r>
        <w:rPr>
          <w:sz w:val="21"/>
        </w:rPr>
        <w:t>[38] 林金水. 徐光启与利玛窦关系考[J]. 中国史研究, 2001(2): 81-93.</w:t>
      </w:r>
    </w:p>
    <w:p>
      <w:pPr>
        <w:spacing w:after="80"/>
      </w:pPr>
      <w:r>
        <w:rPr>
          <w:sz w:val="21"/>
        </w:rPr>
        <w:t>[39] 丁耘. 西方哲学中国化的第一阶段[J]. 哲学研究, 2010(5): 63-71.</w:t>
      </w:r>
    </w:p>
    <w:p>
      <w:pPr>
        <w:spacing w:after="80"/>
      </w:pPr>
      <w:r>
        <w:rPr>
          <w:sz w:val="21"/>
        </w:rPr>
        <w:t>[40] 李天纲. 利玛窦与晚明儒学——以《天主实义》为中心的考察[J]. 复旦学报（社会科学版）, 1999(6): 77-85.</w:t>
      </w:r>
    </w:p>
    <w:p>
      <w:pPr>
        <w:spacing w:after="80"/>
      </w:pPr>
      <w:r>
        <w:rPr>
          <w:sz w:val="21"/>
        </w:rPr>
        <w:t>[41] 张西平. 利玛窦对宋明理学的批判及其历史影响[J]. 宗教学研究, 2005(1): 89-97.</w:t>
      </w:r>
    </w:p>
    <w:p>
      <w:pPr>
        <w:spacing w:after="80"/>
      </w:pPr>
      <w:r>
        <w:rPr>
          <w:sz w:val="21"/>
        </w:rPr>
        <w:t>[42] 韩琦. 白晋的《易经》研究和康熙时代的"西学中源"说[J]. 汉学研究, 1998, 16(1): 185-201.</w:t>
      </w:r>
    </w:p>
    <w:p>
      <w:pPr>
        <w:spacing w:after="80"/>
      </w:pPr>
      <w:r>
        <w:rPr>
          <w:sz w:val="21"/>
        </w:rPr>
        <w:t>[43] 罗志田. 天下与世界：清末士人关于人类社会认知的转变[J]. 中国社会科学, 2007(5): 191-204.</w:t>
      </w:r>
    </w:p>
    <w:p>
      <w:pPr>
        <w:spacing w:after="80"/>
      </w:pPr>
      <w:r>
        <w:rPr>
          <w:sz w:val="21"/>
        </w:rPr>
        <w:t>[44] 侯外庐. 宋明理学与儒家思想[J]. 哲学研究, 1956(6): 1-25.</w:t>
      </w:r>
    </w:p>
    <w:p>
      <w:pPr>
        <w:spacing w:after="80"/>
      </w:pPr>
      <w:r>
        <w:rPr>
          <w:sz w:val="21"/>
        </w:rPr>
        <w:t>[45] 维尔维达基斯(S. Verividakis). 在差异与共通之间重建理解[N]. 中国社会科学报, 2026-03-06.</w:t>
      </w:r>
    </w:p>
    <w:p>
      <w:pPr>
        <w:spacing w:after="80"/>
      </w:pPr>
      <w:r>
        <w:rPr>
          <w:sz w:val="21"/>
        </w:rPr>
        <w:t>[46] Wiest, J.-P. From Matteo Ricci to Jacques Gernet: The Changing Image of the Chinese in Western Scholarship[J]. Chinese Studies, 1997, 9(1): 23-47.</w:t>
      </w:r>
    </w:p>
    <w:p>
      <w:pPr>
        <w:spacing w:after="80"/>
      </w:pPr>
      <w:r>
        <w:rPr>
          <w:sz w:val="21"/>
        </w:rPr>
        <w:t>[47] Lack, M. Matteo Ricci and the Chinese Intellectual: Faith, Dialogue and Exchange in the Late Ming Dynasty[J]. Journal of Jesuit Studies, 2018, 5(2): 211-230.</w:t>
      </w:r>
    </w:p>
    <w:p>
      <w:pPr>
        <w:spacing w:after="80"/>
      </w:pPr>
      <w:r>
        <w:rPr>
          <w:sz w:val="21"/>
        </w:rPr>
        <w:t>[48] Meynard, T. The Jesuit Reading of Confucius: The First Complete Translation of the Lunyu (1687) Published in the West[J]. Brill's Series in Church History, 2011, 52: 1-420.</w:t>
      </w:r>
    </w:p>
    <w:p>
      <w:pPr>
        <w:spacing w:after="80"/>
      </w:pPr>
      <w:r>
        <w:rPr>
          <w:sz w:val="21"/>
        </w:rPr>
        <w:t>[49] Standaert, N. Methodology in View of Contact between Cultures: The China Case in the 17th Century[J]. CSRCS Occasional Paper, 2002(11): 1-60.</w:t>
      </w:r>
    </w:p>
    <w:p>
      <w:pPr>
        <w:spacing w:before="240"/>
      </w:pPr>
      <w:r>
        <w:rPr>
          <w:b/>
          <w:sz w:val="24"/>
        </w:rPr>
        <w:t>四、学位论文类</w:t>
      </w:r>
    </w:p>
    <w:p>
      <w:pPr>
        <w:spacing w:after="80"/>
      </w:pPr>
      <w:r>
        <w:rPr>
          <w:sz w:val="21"/>
        </w:rPr>
        <w:t>[50] Longobardo, N. The Confucian Doctrine of the Mean, the Real Doctrine of the Lord of Heaven, etc. (1603–1610)[M] // E. Zurcher (ed.). Early Jesuit Writings on China. Utrecht: Ultramontanes, 1997: 155-220.</w:t>
      </w:r>
    </w:p>
    <w:p>
      <w:pPr>
        <w:spacing w:after="80"/>
      </w:pPr>
      <w:r>
        <w:rPr>
          <w:sz w:val="21"/>
        </w:rPr>
        <w:t>[51] 龙华民. 圣教日课[M] // 钟鸣旦, 杜鼎克编. 欧洲搜书 Missioni del Levante. 台北: 中央研究院欧洲研究中心, 1998.</w:t>
      </w:r>
    </w:p>
    <w:p>
      <w:pPr>
        <w:spacing w:after="80"/>
      </w:pPr>
      <w:r>
        <w:rPr>
          <w:sz w:val="21"/>
        </w:rPr>
        <w:t>[52] 李楠. 利玛窦《天主实义》中"理"概念的批判与重构[D]. 北京: 中国人民大学哲学院, 2015.</w:t>
      </w:r>
    </w:p>
    <w:p>
      <w:pPr>
        <w:spacing w:after="80"/>
      </w:pPr>
      <w:r>
        <w:rPr>
          <w:sz w:val="21"/>
        </w:rPr>
        <w:t>[53] 赵晓阳. 晚明耶儒对话中的概念挪用与翻译策略研究[D]. 上海: 复旦大学历史系, 2017.</w:t>
      </w:r>
    </w:p>
    <w:p>
      <w:pPr>
        <w:spacing w:after="80"/>
      </w:pPr>
      <w:r>
        <w:rPr>
          <w:sz w:val="21"/>
        </w:rPr>
        <w:t>[54] 陈晨. 利玛窦自然神学与宋明理学的对话研究——以太极与理的论争为中心[D]. 北京: 北京大学哲学系, 2019.</w:t>
      </w:r>
    </w:p>
    <w:p>
      <w:pPr>
        <w:spacing w:after="80"/>
      </w:pPr>
      <w:r>
        <w:rPr>
          <w:sz w:val="21"/>
        </w:rPr>
        <w:t>[55] 蒋梦麟. 明清之际耶儒融合思想的生成与演变[D]. 南京: 南京大学历史学院, 2016.</w:t>
      </w:r>
    </w:p>
    <w:p>
      <w:pPr>
        <w:spacing w:before="240"/>
      </w:pPr>
      <w:r>
        <w:rPr>
          <w:b/>
          <w:sz w:val="24"/>
        </w:rPr>
        <w:t>五、其他补充文献</w:t>
      </w:r>
    </w:p>
    <w:p>
      <w:pPr>
        <w:spacing w:after="80"/>
      </w:pPr>
      <w:r>
        <w:rPr>
          <w:sz w:val="21"/>
        </w:rPr>
        <w:t>[56] 王晓宁. 蒙培元理学范畴系统研究[D]. 北京: 北京大学哲学系, 2012.</w:t>
      </w:r>
    </w:p>
    <w:p>
      <w:pPr>
        <w:spacing w:after="80"/>
      </w:pPr>
      <w:r>
        <w:rPr>
          <w:sz w:val="21"/>
        </w:rPr>
        <w:t>[57] Cocks, N. P. Matteo Ricci and Neo-Confucian Thought: A Hermeneutical Study[D]. PhD dissertation. Sydney: University of Sydney, 2004.</w:t>
      </w:r>
    </w:p>
    <w:p>
      <w:pPr>
        <w:spacing w:after="80"/>
      </w:pPr>
      <w:r>
        <w:rPr>
          <w:sz w:val="21"/>
        </w:rPr>
        <w:t>[58] 伽达默尔(H.-G. Gadamer). 真理与方法[M]. 洪汉鼎, 译. 北京: 商务印书馆, 2010.</w:t>
      </w:r>
    </w:p>
    <w:p>
      <w:pPr>
        <w:spacing w:after="80"/>
      </w:pPr>
      <w:r>
        <w:rPr>
          <w:sz w:val="21"/>
        </w:rPr>
        <w:t>[59] 科塞雷克(R. Koselleck). 概念史与社会史[M]. 陈力卫, 译. 北京: 商务印书馆, 2018.</w:t>
      </w:r>
    </w:p>
    <w:p>
      <w:pPr>
        <w:spacing w:after="80"/>
      </w:pPr>
      <w:r>
        <w:rPr>
          <w:sz w:val="21"/>
        </w:rPr>
        <w:t>[60] 孔颖达. 周易正义[M]. 北京: 北京大学出版社, 1999.</w:t>
      </w:r>
    </w:p>
    <w:p>
      <w:pPr>
        <w:spacing w:after="80"/>
      </w:pPr>
      <w:r>
        <w:rPr>
          <w:sz w:val="21"/>
        </w:rPr>
        <w:t>[61] 李之藻. 浑盖通宪图说[A]. 天学初函[C]. 台北: 台湾学生书局, 1965.</w:t>
      </w:r>
    </w:p>
    <w:p>
      <w:pPr>
        <w:spacing w:after="80"/>
      </w:pPr>
      <w:r>
        <w:rPr>
          <w:sz w:val="21"/>
        </w:rPr>
        <w:t>[62] 郭庆藩. 庄子集释[M]. 北京: 中华书局, 1961.</w:t>
      </w:r>
    </w:p>
    <w:p>
      <w:pPr>
        <w:spacing w:after="80"/>
      </w:pPr>
      <w:r>
        <w:rPr>
          <w:sz w:val="21"/>
        </w:rPr>
        <w:t>[63] 罗钦顺. 困知记[M]. 北京: 中华书局, 1990.</w:t>
      </w:r>
    </w:p>
    <w:p>
      <w:pPr>
        <w:spacing w:after="80"/>
      </w:pPr>
      <w:r>
        <w:rPr>
          <w:sz w:val="21"/>
        </w:rPr>
        <w:t>[64] 王廷相. 王氏肃松录[M]. 北京: 中华书局, 1989.</w:t>
      </w:r>
    </w:p>
    <w:p>
      <w:pPr>
        <w:spacing w:after="80"/>
      </w:pPr>
      <w:r>
        <w:rPr>
          <w:sz w:val="21"/>
        </w:rPr>
        <w:t>[65] 李贽. 续焚书[M]. 北京: 中华书局, 1975.</w:t>
      </w:r>
    </w:p>
    <w:p>
      <w:pPr>
        <w:spacing w:after="80"/>
      </w:pPr>
      <w:r>
        <w:rPr>
          <w:sz w:val="21"/>
        </w:rPr>
        <w:t>[66] 黄贞. 破邪集[M] // 韩琦, 等编. 耶稣会论中国科学[C]. 北京: 科学出版社, 2010.</w:t>
      </w:r>
    </w:p>
    <w:p>
      <w:pPr>
        <w:spacing w:after="80"/>
      </w:pPr>
      <w:r>
        <w:rPr>
          <w:sz w:val="21"/>
        </w:rPr>
        <w:t>[67] 顾炎武. 日知录集释[M]. 黄汝成, 集释. 上海: 上海古籍出版社, 2006.</w:t>
      </w:r>
    </w:p>
    <w:p>
      <w:pPr>
        <w:spacing w:after="80"/>
      </w:pPr>
      <w:r>
        <w:rPr>
          <w:sz w:val="21"/>
        </w:rPr>
        <w:t>[68] 方以智. 物理小识[M]. 上海: 上海古籍出版社, 2017.</w:t>
      </w:r>
    </w:p>
    <w:p>
      <w:pPr>
        <w:spacing w:after="80"/>
      </w:pPr>
      <w:r>
        <w:rPr>
          <w:sz w:val="21"/>
        </w:rPr>
        <w:t>[69] 库恩(T. S. Kuhn). 科学革命的结构[M]. 金吾伦, 胡新和, 译. 北京: 北京大学出版社, 2003.</w:t>
      </w:r>
    </w:p>
    <w:p>
      <w:pPr>
        <w:spacing w:after="80"/>
      </w:pPr>
      <w:r>
        <w:rPr>
          <w:sz w:val="21"/>
        </w:rPr>
        <w:t>[70] 章潢. 图书编[M]. 台北: 台湾商务印书馆, 1986(景印文渊阁四库全书本).</w:t>
      </w:r>
    </w:p>
    <w:p>
      <w:pPr>
        <w:spacing w:after="80"/>
      </w:pPr>
      <w:r>
        <w:rPr>
          <w:sz w:val="21"/>
        </w:rPr>
        <w:t>[71] 陆九渊. 陆九渊集[M]. 北京: 中华书局, 1980.</w:t>
      </w:r>
    </w:p>
    <w:p>
      <w:pPr>
        <w:spacing w:after="80"/>
      </w:pPr>
      <w:r>
        <w:rPr>
          <w:sz w:val="21"/>
        </w:rPr>
        <w:t>[72] 史景迁(J. Spence). 利玛窦的记忆之宫[M]. 章可, 译. 桂林: 广西师范大学出版社, 2005.</w:t>
      </w:r>
    </w:p>
    <w:p>
      <w:pPr>
        <w:spacing w:before="480"/>
      </w:pPr>
      <w:r>
        <w:rPr>
          <w:b/>
          <w:sz w:val="32"/>
        </w:rPr>
        <w:t>致  谢</w:t>
      </w:r>
    </w:p>
    <w:p>
      <w:r>
        <w:rPr>
          <w:sz w:val="21"/>
        </w:rPr>
        <w:t>本论文的完成，离不开导师王绪琴老师的悉心指导。从选题方向的确定到文献资料的梳理，从论点框架的搭建到文字表述的打磨，王老师始终以严谨的治学态度和耐心的教学精神给予我最及时、最有力的帮助。每当我思路受阻、论证乏力之时，王老师总能一语中的地点拨方向，使我得以在纷繁复杂的文献中找到自己的声音。在此，谨向王老师致以最诚挚的谢意。</w:t>
        <w:br/>
        <w:br/>
        <w:t>同时，感谢在求学期间给予我帮助的各位老师和同学。感谢每一位在我生命中播下善种的人。</w:t>
      </w:r>
    </w:p>
    <w:sectPr>
      <w:footerReference w:type="default" r:id="rId10"/>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line="276" w:lineRule="auto"/>
      </w:pPr>
      <w:r>
        <w:separator/>
      </w:r>
    </w:p>
  </w:footnote>
  <w:footnote w:type="continuationSeparator" w:id="73">
    <w:p>
      <w:pPr>
        <w:spacing w:before="0" w:after="0" w:line="276" w:lineRule="auto"/>
      </w:pPr>
      <w:r>
        <w:continuationSeparator/>
      </w:r>
    </w:p>
  </w:footnote>
  <w:footnote w:id="0">
    <w:p w14:paraId="713BEAD3">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
    <w:p w14:paraId="22ACA47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周敦颐：《周敦颐集》，中华书局，2009年，第3–8页。</w:t>
      </w:r>
    </w:p>
  </w:footnote>
  <w:footnote w:id="2">
    <w:p w14:paraId="50CBF5D6">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利玛窦：《天主实义》，载《利玛窦中文著译集》，复旦大学出版社，2001年，第16–20页。</w:t>
      </w:r>
    </w:p>
  </w:footnote>
  <w:footnote w:id="3">
    <w:p w14:paraId="54A28A50">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孙尚扬：《明末耶儒之间的论辩及其现代意义》，《世界宗教研究》，1993年第3期，第25–36页。</w:t>
      </w:r>
    </w:p>
  </w:footnote>
  <w:footnote w:id="4">
    <w:p w14:paraId="451A71FD">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Jean-Paul Wiest, “From Matteo Ricci to Jacques Gernet: The Changing Image of the Chinese in Western Scholarship,” Chinese Studies, vol. 9, no. 1 (1997), pp. 23–47.</w:t>
      </w:r>
    </w:p>
  </w:footnote>
  <w:footnote w:id="5">
    <w:p w14:paraId="79291DD1">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朱谦之：《中国哲学对欧洲的影响》，河北人民出版社，2004年，第67–70页。</w:t>
      </w:r>
    </w:p>
  </w:footnote>
  <w:footnote w:id="6">
    <w:p w14:paraId="0620BDC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Paulos Huang, Confronting Confucianism: The Christian Understanding of Ru Tradition in Late Ming China (Leiden: Brill, 2007), pp. 98–110.</w:t>
      </w:r>
    </w:p>
  </w:footnote>
  <w:footnote w:id="7">
    <w:p w14:paraId="168AECF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林金水：《徐光启与利玛窦关系考》，《中国史研究》，2001年第2期，第81–93页。</w:t>
      </w:r>
    </w:p>
  </w:footnote>
  <w:footnote w:id="8">
    <w:p w14:paraId="3A28852E">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黄宗羲：《明夷待访录》，中华书局，2011年，第45页。</w:t>
      </w:r>
    </w:p>
  </w:footnote>
  <w:footnote w:id="9">
    <w:p w14:paraId="3C0E77C7">
      <w:pPr>
        <w:spacing w:after="0" w:line="240" w:lineRule="auto"/>
        <w:rPr>
          <w:rFonts w:ascii="Times New Roman" w:hAnsi="Times New Roman" w:eastAsia="宋体" w:cs="Times New Roman"/>
          <w:sz w:val="18"/>
          <w:szCs w:val="18"/>
        </w:rPr>
      </w:pPr>
      <w:r>
        <w:rPr>
          <w:rStyle w:val="138"/>
          <w:rFonts w:ascii="Times New Roman" w:hAnsi="Times New Roman" w:eastAsia="宋体" w:cs="Times New Roman"/>
          <w:sz w:val="18"/>
          <w:szCs w:val="18"/>
        </w:rPr>
        <w:footnoteRef/>
      </w:r>
      <w:r>
        <w:rPr>
          <w:rFonts w:ascii="Times New Roman" w:hAnsi="Times New Roman" w:eastAsia="宋体" w:cs="Times New Roman"/>
          <w:sz w:val="18"/>
          <w:szCs w:val="18"/>
        </w:rPr>
        <w:t xml:space="preserve"> Reinhart Koselleck, “Begriffsgeschichte und Sozialgeschichte,” in Vergangene Zukunft: Zur Semantik geschichtlicher Zeiten (Frankfurt: Suhrkamp, 1979), S. 107–129.</w:t>
      </w:r>
    </w:p>
    <w:p w14:paraId="120EEB95">
      <w:pPr>
        <w:pStyle w:val="29"/>
        <w:spacing w:after="0" w:line="240" w:lineRule="auto"/>
        <w:rPr>
          <w:rFonts w:ascii="Times New Roman" w:hAnsi="Times New Roman" w:eastAsia="宋体" w:cs="Times New Roman"/>
          <w:szCs w:val="18"/>
          <w:lang w:eastAsia="zh-CN"/>
        </w:rPr>
      </w:pPr>
    </w:p>
  </w:footnote>
  <w:footnote w:id="10">
    <w:p w14:paraId="1A1EC49C">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朱熹：《周易本义》，中华书局，2009年，第9页</w:t>
      </w:r>
    </w:p>
  </w:footnote>
  <w:footnote w:id="11">
    <w:p w14:paraId="0290ABC5">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蒙培元：《理学范畴系统》，人民出版社，1989年，第84页</w:t>
      </w:r>
    </w:p>
  </w:footnote>
  <w:footnote w:id="12">
    <w:p w14:paraId="6549DDF3">
      <w:r>
        <w:rPr>
          <w:rFonts w:ascii="Times New Roman" w:hAnsi="Times New Roman" w:eastAsia="宋体"/>
          <w:vertAlign w:val="superscript"/>
        </w:rPr>
        <w:t>22</w:t>
      </w:r>
      <w:r>
        <w:rPr>
          <w:rFonts w:ascii="Times New Roman" w:hAnsi="Times New Roman" w:eastAsia="宋体"/>
          <w:sz w:val="18"/>
        </w:rPr>
        <w:t>朱熹：《朱子语类》卷一，中华书局，1986年，第1页。</w:t>
      </w:r>
    </w:p>
  </w:footnote>
  <w:footnote w:id="13">
    <w:p w14:paraId="3E254E7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（蒙培元：《理学范畴系统》，人民出版社，1989年，第31页）</w:t>
      </w:r>
    </w:p>
  </w:footnote>
  <w:footnote w:id="14">
    <w:p w14:paraId="2C373DE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同上，第47页</w:t>
      </w:r>
    </w:p>
  </w:footnote>
  <w:footnote w:id="15">
    <w:p w14:paraId="1989610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rPr>
        <w:t xml:space="preserve"> </w:t>
      </w:r>
      <w:r>
        <w:rPr>
          <w:rFonts w:ascii="Times New Roman" w:hAnsi="Times New Roman" w:eastAsia="宋体" w:cs="Times New Roman"/>
          <w:szCs w:val="18"/>
          <w:lang w:eastAsia="zh-CN"/>
        </w:rPr>
        <w:t>同上，第89页</w:t>
      </w:r>
    </w:p>
  </w:footnote>
  <w:footnote w:id="16">
    <w:p w14:paraId="42BD4CE7">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朱熹：《朱子语类》卷一，中华书局，1986年，第1页</w:t>
      </w:r>
    </w:p>
  </w:footnote>
  <w:footnote w:id="17">
    <w:p w14:paraId="438CF6F2">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周敦颐：《太极图说》，载《周敦颐集》，中华书局，2009年，第3页。</w:t>
      </w:r>
    </w:p>
  </w:footnote>
  <w:footnote w:id="18">
    <w:p w14:paraId="4AA87EAF">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蒙培元：《理学范畴系统》，人民出版社，1989年，第79页。</w:t>
      </w:r>
    </w:p>
  </w:footnote>
  <w:footnote w:id="19">
    <w:p w14:paraId="7740F644">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程颢、程颐：《二程遗书》卷二，上海古籍出版社，2000年，第15页。</w:t>
      </w:r>
    </w:p>
  </w:footnote>
  <w:footnote w:id="20">
    <w:p w14:paraId="3400963B">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蒙培元：《理学范畴系统》，人民出版社，1989年，第61页。</w:t>
      </w:r>
    </w:p>
  </w:footnote>
  <w:footnote w:id="21">
    <w:p w14:paraId="75023E48">
      <w:pPr>
        <w:pStyle w:val="29"/>
        <w:spacing w:after="0" w:line="240" w:lineRule="auto"/>
        <w:rPr>
          <w:rFonts w:ascii="Times New Roman" w:hAnsi="Times New Roman" w:eastAsia="宋体" w:cs="Times New Roman"/>
          <w:szCs w:val="18"/>
          <w:lang w:eastAsia="zh-CN"/>
        </w:rPr>
      </w:pPr>
      <w:r>
        <w:rPr>
          <w:rStyle w:val="138"/>
          <w:rFonts w:ascii="Times New Roman" w:hAnsi="Times New Roman" w:eastAsia="宋体" w:cs="Times New Roman"/>
          <w:szCs w:val="18"/>
        </w:rPr>
        <w:footnoteRef/>
      </w:r>
      <w:r>
        <w:rPr>
          <w:rFonts w:ascii="Times New Roman" w:hAnsi="Times New Roman" w:eastAsia="宋体" w:cs="Times New Roman"/>
          <w:szCs w:val="18"/>
          <w:lang w:eastAsia="zh-CN"/>
        </w:rPr>
        <w:t xml:space="preserve"> 朱熹：《朱子语类》卷一，中华书局，1986年，第2页。</w:t>
      </w:r>
    </w:p>
  </w:footnote>
  <w:footnote w:id="22">
    <w:p w14:paraId="1E23610A">
      <w:r>
        <w:rPr>
          <w:rFonts w:ascii="Times New Roman" w:hAnsi="Times New Roman" w:eastAsia="宋体"/>
          <w:vertAlign w:val="superscript"/>
        </w:rPr>
        <w:t>23</w:t>
      </w:r>
      <w:r>
        <w:rPr>
          <w:rFonts w:ascii="Times New Roman" w:hAnsi="Times New Roman" w:eastAsia="宋体"/>
          <w:sz w:val="18"/>
        </w:rPr>
        <w:t>利玛窦：《天主实义》第一篇，载《利玛窦中文著译集》，复旦大学出版社，2001年，第13-16页。</w:t>
      </w:r>
    </w:p>
  </w:footnote>
  <w:footnote w:id="23">
    <w:p w14:paraId="47A05D86">
      <w:r>
        <w:rPr>
          <w:rFonts w:ascii="Times New Roman" w:hAnsi="Times New Roman" w:eastAsia="宋体"/>
          <w:vertAlign w:val="superscript"/>
        </w:rPr>
        <w:t>24</w:t>
      </w:r>
      <w:r>
        <w:rPr>
          <w:rFonts w:ascii="Times New Roman" w:hAnsi="Times New Roman" w:eastAsia="宋体"/>
          <w:sz w:val="18"/>
        </w:rPr>
        <w:t>利玛窦：《天主实义》第二篇，载《利玛窦中文著译集》，复旦大学出版社，2001年，第18页。</w:t>
      </w:r>
    </w:p>
  </w:footnote>
  <w:footnote w:id="24">
    <w:p w14:paraId="3E512EC3">
      <w:r>
        <w:rPr>
          <w:rFonts w:ascii="Times New Roman" w:hAnsi="Times New Roman" w:eastAsia="宋体"/>
          <w:vertAlign w:val="superscript"/>
        </w:rPr>
        <w:t>25</w:t>
      </w:r>
      <w:r>
        <w:rPr>
          <w:rFonts w:ascii="Times New Roman" w:hAnsi="Times New Roman" w:eastAsia="宋体"/>
          <w:sz w:val="18"/>
        </w:rPr>
        <w:t>利玛窦：《天主实义》第二篇，载《利玛窦中文著译集》，复旦大学出版社，2001年，第17页。</w:t>
      </w:r>
    </w:p>
  </w:footnote>
  <w:footnote w:id="25">
    <w:p w14:paraId="66BE28F0">
      <w:r>
        <w:rPr>
          <w:rFonts w:ascii="Times New Roman" w:hAnsi="Times New Roman" w:eastAsia="宋体"/>
          <w:vertAlign w:val="superscript"/>
        </w:rPr>
        <w:t>28</w:t>
      </w:r>
      <w:r>
        <w:rPr>
          <w:rFonts w:ascii="Times New Roman" w:hAnsi="Times New Roman" w:eastAsia="宋体"/>
          <w:sz w:val="18"/>
        </w:rPr>
        <w:t>丁耘：《西方哲学中国化的第一阶段》，《哲学研究》，2010年第5期，第63-71页。</w:t>
      </w:r>
    </w:p>
  </w:footnote>
  <w:footnote w:id="26">
    <w:p w14:paraId="1371771B">
      <w:r>
        <w:rPr>
          <w:rFonts w:ascii="Times New Roman" w:hAnsi="Times New Roman" w:eastAsia="宋体"/>
          <w:vertAlign w:val="superscript"/>
        </w:rPr>
        <w:t>26</w:t>
      </w:r>
      <w:r>
        <w:rPr>
          <w:rFonts w:ascii="Times New Roman" w:hAnsi="Times New Roman" w:eastAsia="宋体"/>
          <w:sz w:val="18"/>
        </w:rPr>
        <w:t>参见孙尚扬：《基督教与明末儒学》，东方出版社，1994年，第89-92页。</w:t>
      </w:r>
    </w:p>
  </w:footnote>
  <w:footnote w:id="27">
    <w:p w14:paraId="1936D970">
      <w:r>
        <w:rPr>
          <w:rFonts w:ascii="Times New Roman" w:hAnsi="Times New Roman" w:eastAsia="宋体"/>
          <w:vertAlign w:val="superscript"/>
        </w:rPr>
        <w:t>27</w:t>
      </w:r>
      <w:r>
        <w:rPr>
          <w:rFonts w:ascii="Times New Roman" w:hAnsi="Times New Roman" w:eastAsia="宋体"/>
          <w:sz w:val="18"/>
        </w:rPr>
        <w:t>Pontifical Council for Interreligious Dialogue, The Church and Asian Cultures: A Vatican Perspective (Vatican City: Libreria Editrice Vaticana, 2016), pp. 45-48.</w:t>
      </w:r>
    </w:p>
  </w:footnote>
  <w:footnote w:id="28">
    <w:p w14:paraId="6D40769D">
      <w:r>
        <w:rPr>
          <w:rFonts w:ascii="Times New Roman" w:hAnsi="Times New Roman" w:eastAsia="宋体"/>
          <w:vertAlign w:val="superscript"/>
        </w:rPr>
        <w:t>31</w:t>
      </w:r>
      <w:r>
        <w:rPr>
          <w:rFonts w:ascii="Times New Roman" w:hAnsi="Times New Roman" w:eastAsia="宋体"/>
          <w:sz w:val="18"/>
        </w:rPr>
        <w:t>丁耘：《西方哲学中国化的第一阶段》，《哲学研究》，2010年第5期，第66页。</w:t>
      </w:r>
    </w:p>
  </w:footnote>
  <w:footnote w:id="29">
    <w:p w14:paraId="7D5E0BBF">
      <w:r>
        <w:rPr>
          <w:rFonts w:ascii="Times New Roman" w:hAnsi="Times New Roman" w:eastAsia="宋体"/>
          <w:vertAlign w:val="superscript"/>
        </w:rPr>
        <w:t>29</w:t>
      </w:r>
      <w:r>
        <w:rPr>
          <w:rFonts w:ascii="Times New Roman" w:hAnsi="Times New Roman" w:eastAsia="宋体"/>
          <w:sz w:val="18"/>
        </w:rPr>
        <w:t>维尔维达基斯（S. Verividakis）：《在差异与共通之间重建理解》，《中国社会科学报》，2026年3月6日。</w:t>
      </w:r>
    </w:p>
  </w:footnote>
  <w:footnote w:id="30">
    <w:p w14:paraId="43663384">
      <w:r>
        <w:rPr>
          <w:rFonts w:ascii="Times New Roman" w:hAnsi="Times New Roman" w:eastAsia="宋体"/>
          <w:vertAlign w:val="superscript"/>
        </w:rPr>
        <w:t>30</w:t>
      </w:r>
      <w:r>
        <w:rPr>
          <w:rFonts w:ascii="Times New Roman" w:hAnsi="Times New Roman" w:eastAsia="宋体"/>
          <w:sz w:val="18"/>
        </w:rPr>
        <w:t>同上。</w:t>
      </w:r>
    </w:p>
  </w:footnote>
  <w:footnote w:id="31">
    <w:p w14:paraId="642F295C">
      <w:r>
        <w:rPr>
          <w:rFonts w:ascii="Times New Roman" w:hAnsi="Times New Roman" w:eastAsia="宋体"/>
          <w:vertAlign w:val="superscript"/>
        </w:rPr>
        <w:t>32</w:t>
      </w:r>
      <w:r>
        <w:rPr>
          <w:rFonts w:ascii="Times New Roman" w:hAnsi="Times New Roman" w:eastAsia="宋体"/>
          <w:sz w:val="18"/>
        </w:rPr>
        <w:t>利玛窦, 金尼阁：《利玛窦中国札记》，何高济等译，中华书局，1983年，第223-225页。</w:t>
      </w:r>
    </w:p>
  </w:footnote>
  <w:footnote w:id="32">
    <w:p w14:paraId="732B1389">
      <w:r>
        <w:rPr>
          <w:rFonts w:ascii="Times New Roman" w:hAnsi="Times New Roman" w:eastAsia="宋体"/>
          <w:vertAlign w:val="superscript"/>
        </w:rPr>
        <w:t>33</w:t>
      </w:r>
      <w:r>
        <w:rPr>
          <w:rFonts w:ascii="Times New Roman" w:hAnsi="Times New Roman" w:eastAsia="宋体"/>
          <w:sz w:val="18"/>
        </w:rPr>
        <w:t>Mungello, D. E., Curious Land: Jesuit Accommodation and the Origins of Sinology (Stuttgart: Franz Steiner Verlag, 1985), pp. 112-118.</w:t>
      </w:r>
    </w:p>
  </w:footnote>
  <w:footnote w:id="33">
    <w:p w14:paraId="627088F0">
      <w:r>
        <w:rPr>
          <w:rFonts w:ascii="Times New Roman" w:hAnsi="Times New Roman" w:eastAsia="宋体"/>
          <w:vertAlign w:val="superscript"/>
        </w:rPr>
        <w:t>34</w:t>
      </w:r>
      <w:r>
        <w:rPr>
          <w:rFonts w:ascii="Times New Roman" w:hAnsi="Times New Roman" w:eastAsia="宋体"/>
          <w:sz w:val="18"/>
        </w:rPr>
        <w:t>《白鹿洞志》卷三，转引自陈来：《朱熹哲学研究》，中国社会科学出版社，1988年，第321页。</w:t>
      </w:r>
    </w:p>
  </w:footnote>
  <w:footnote w:id="34">
    <w:p w14:paraId="0D6D33C0">
      <w:r>
        <w:rPr>
          <w:rFonts w:ascii="Times New Roman" w:hAnsi="Times New Roman" w:eastAsia="宋体"/>
          <w:vertAlign w:val="superscript"/>
        </w:rPr>
        <w:t>35</w:t>
      </w:r>
      <w:r>
        <w:rPr>
          <w:rFonts w:ascii="Times New Roman" w:hAnsi="Times New Roman" w:eastAsia="宋体"/>
          <w:sz w:val="18"/>
        </w:rPr>
        <w:t>参见复旦大学哲学学院编：《文明对话与文化交流：白鹿洞—陶山书院学术交流会论文集》，上海人民出版社，2018年。</w:t>
      </w:r>
    </w:p>
  </w:footnote>
  <w:footnote w:id="35">
    <w:p w14:paraId="49C8CE04">
      <w:r>
        <w:rPr>
          <w:rFonts w:ascii="Times New Roman" w:hAnsi="Times New Roman" w:eastAsia="宋体"/>
          <w:vertAlign w:val="superscript"/>
        </w:rPr>
        <w:t>36</w:t>
      </w:r>
      <w:r>
        <w:rPr>
          <w:rFonts w:ascii="Times New Roman" w:hAnsi="Times New Roman" w:eastAsia="宋体"/>
          <w:sz w:val="18"/>
        </w:rPr>
        <w:t>利玛窦, 金尼阁：《利玛窦中国札记》，何高济等译，中华书局，1983年，第178-180页。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1A63D93"/>
    <w:multiLevelType w:val="multilevel"/>
    <w:tmpl w:val="71A63D93"/>
    <w:lvl w:ilvl="0" w:tentative="0">
      <w:start w:val="1"/>
      <w:numFmt w:val="chineseCountingThousand"/>
      <w:pStyle w:val="5"/>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72"/>
    <w:footnote w:id="7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1D9"/>
    <w:rsid w:val="001F549C"/>
    <w:rsid w:val="00267495"/>
    <w:rsid w:val="0029639D"/>
    <w:rsid w:val="00326F90"/>
    <w:rsid w:val="00335F91"/>
    <w:rsid w:val="004D0A13"/>
    <w:rsid w:val="005046F7"/>
    <w:rsid w:val="00511A1C"/>
    <w:rsid w:val="00A97829"/>
    <w:rsid w:val="00AA1D8D"/>
    <w:rsid w:val="00B47730"/>
    <w:rsid w:val="00B52E81"/>
    <w:rsid w:val="00C2075E"/>
    <w:rsid w:val="00CB0664"/>
    <w:rsid w:val="00D311AE"/>
    <w:rsid w:val="00E851B9"/>
    <w:rsid w:val="00F463E7"/>
    <w:rsid w:val="00FC693F"/>
    <w:rsid w:val="1FFD3E08"/>
    <w:rsid w:val="38E86B7E"/>
    <w:rsid w:val="52145BFF"/>
    <w:rsid w:val="5ACA720B"/>
    <w:rsid w:val="76A96981"/>
    <w:rsid w:val="78110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100" w:beforeLines="100" w:after="100" w:afterLines="100" w:line="240" w:lineRule="auto"/>
      <w:jc w:val="center"/>
      <w:outlineLvl w:val="0"/>
    </w:pPr>
    <w:rPr>
      <w:rFonts w:eastAsia="黑体" w:asciiTheme="majorHAnsi" w:hAnsiTheme="majorHAnsi" w:cstheme="majorBidi"/>
      <w:b/>
      <w:bCs/>
      <w:sz w:val="30"/>
      <w:szCs w:val="28"/>
    </w:rPr>
  </w:style>
  <w:style w:type="paragraph" w:styleId="4">
    <w:name w:val="heading 2"/>
    <w:basedOn w:val="1"/>
    <w:next w:val="1"/>
    <w:link w:val="143"/>
    <w:unhideWhenUsed/>
    <w:qFormat/>
    <w:uiPriority w:val="9"/>
    <w:pPr>
      <w:keepNext/>
      <w:keepLines/>
      <w:spacing w:before="50" w:beforeLines="50" w:after="50" w:afterLines="50" w:line="240" w:lineRule="auto"/>
      <w:ind w:firstLine="200" w:firstLineChars="200"/>
      <w:jc w:val="center"/>
      <w:outlineLvl w:val="1"/>
    </w:pPr>
    <w:rPr>
      <w:rFonts w:eastAsia="黑体" w:asciiTheme="majorHAnsi" w:hAnsiTheme="majorHAnsi" w:cstheme="majorBidi"/>
      <w:b/>
      <w:bCs/>
      <w:sz w:val="28"/>
      <w:szCs w:val="26"/>
    </w:rPr>
  </w:style>
  <w:style w:type="paragraph" w:styleId="5">
    <w:name w:val="heading 3"/>
    <w:basedOn w:val="1"/>
    <w:next w:val="1"/>
    <w:link w:val="144"/>
    <w:unhideWhenUsed/>
    <w:qFormat/>
    <w:uiPriority w:val="9"/>
    <w:pPr>
      <w:keepNext/>
      <w:keepLines/>
      <w:numPr>
        <w:ilvl w:val="0"/>
        <w:numId w:val="1"/>
      </w:numPr>
      <w:spacing w:after="0" w:line="360" w:lineRule="auto"/>
      <w:ind w:left="0" w:firstLine="200" w:firstLineChars="200"/>
      <w:outlineLvl w:val="2"/>
    </w:pPr>
    <w:rPr>
      <w:rFonts w:eastAsia="黑体" w:asciiTheme="majorHAnsi" w:hAnsiTheme="majorHAnsi" w:cstheme="majorBidi"/>
      <w:b/>
      <w:bCs/>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Date"/>
    <w:basedOn w:val="1"/>
    <w:next w:val="1"/>
    <w:unhideWhenUsed/>
    <w:qFormat/>
    <w:uiPriority w:val="99"/>
    <w:pPr>
      <w:ind w:left="100" w:leftChars="2500"/>
    </w:pPr>
    <w:rPr>
      <w:rFonts w:ascii="宋体" w:hAnsi="宋体" w:cs="宋体"/>
      <w:sz w:val="28"/>
      <w:szCs w:val="28"/>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footnote text"/>
    <w:basedOn w:val="1"/>
    <w:semiHidden/>
    <w:unhideWhenUsed/>
    <w:qFormat/>
    <w:uiPriority w:val="99"/>
    <w:pPr>
      <w:snapToGrid w:val="0"/>
    </w:pPr>
    <w:rPr>
      <w:sz w:val="18"/>
    </w:r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100" w:beforeAutospacing="1" w:after="100" w:afterAutospacing="1"/>
    </w:pPr>
    <w:rPr>
      <w:sz w:val="24"/>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footnote reference"/>
    <w:basedOn w:val="135"/>
    <w:semiHidden/>
    <w:unhideWhenUsed/>
    <w:uiPriority w:val="99"/>
    <w:rPr>
      <w:vertAlign w:val="superscript"/>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eastAsia="黑体" w:asciiTheme="majorHAnsi" w:hAnsiTheme="majorHAnsi" w:cstheme="majorBidi"/>
      <w:b/>
      <w:bCs/>
      <w:sz w:val="30"/>
      <w:szCs w:val="28"/>
      <w:lang w:eastAsia="en-US" w:bidi="ar-SA"/>
    </w:rPr>
  </w:style>
  <w:style w:type="character" w:customStyle="1" w:styleId="143">
    <w:name w:val="标题 2 字符"/>
    <w:basedOn w:val="135"/>
    <w:link w:val="4"/>
    <w:uiPriority w:val="9"/>
    <w:rPr>
      <w:rFonts w:eastAsia="黑体" w:asciiTheme="majorHAnsi" w:hAnsiTheme="majorHAnsi" w:cstheme="majorBidi"/>
      <w:b/>
      <w:bCs/>
      <w:sz w:val="28"/>
      <w:szCs w:val="26"/>
      <w:lang w:eastAsia="en-US" w:bidi="ar-SA"/>
    </w:rPr>
  </w:style>
  <w:style w:type="character" w:customStyle="1" w:styleId="144">
    <w:name w:val="标题 3 字符"/>
    <w:basedOn w:val="135"/>
    <w:link w:val="5"/>
    <w:qFormat/>
    <w:uiPriority w:val="9"/>
    <w:rPr>
      <w:rFonts w:eastAsia="黑体" w:asciiTheme="majorHAnsi" w:hAnsiTheme="majorHAnsi" w:cstheme="majorBidi"/>
      <w:b/>
      <w:bCs/>
      <w:sz w:val="24"/>
      <w:szCs w:val="22"/>
      <w:lang w:eastAsia="en-US" w:bidi="ar-SA"/>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0"/>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paragraph" w:customStyle="1" w:styleId="168">
    <w:name w:val="分类号"/>
    <w:basedOn w:val="1"/>
    <w:qFormat/>
    <w:uiPriority w:val="0"/>
    <w:rPr>
      <w:rFonts w:ascii="仿宋_GB2312" w:eastAsia="仿宋_GB2312"/>
      <w:sz w:val="28"/>
      <w:szCs w:val="28"/>
    </w:rPr>
  </w:style>
  <w:style w:type="paragraph" w:customStyle="1" w:styleId="169">
    <w:name w:val="硕士学位论文"/>
    <w:basedOn w:val="1"/>
    <w:qFormat/>
    <w:uiPriority w:val="0"/>
    <w:pPr>
      <w:spacing w:before="240"/>
      <w:jc w:val="center"/>
    </w:pPr>
    <w:rPr>
      <w:sz w:val="44"/>
      <w:szCs w:val="44"/>
    </w:rPr>
  </w:style>
  <w:style w:type="paragraph" w:customStyle="1" w:styleId="170">
    <w:name w:val="研究生姓名"/>
    <w:basedOn w:val="1"/>
    <w:qFormat/>
    <w:uiPriority w:val="0"/>
    <w:pPr>
      <w:ind w:firstLine="700" w:firstLineChars="700"/>
    </w:pPr>
    <w:rPr>
      <w:sz w:val="28"/>
      <w:szCs w:val="28"/>
    </w:rPr>
  </w:style>
  <w:style w:type="paragraph" w:customStyle="1" w:styleId="171">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53</Pages>
  <Words>32797</Words>
  <Characters>33197</Characters>
  <Lines>338</Lines>
  <Paragraphs>95</Paragraphs>
  <TotalTime>0</TotalTime>
  <ScaleCrop>false</ScaleCrop>
  <LinksUpToDate>false</LinksUpToDate>
  <CharactersWithSpaces>33574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全</cp:lastModifiedBy>
  <dcterms:modified xsi:type="dcterms:W3CDTF">2026-06-04T00:39:54Z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eyJoZGlkIjoiNjQxMmVjYjY0YTg0ZjQwNjFhMzVjZjA5YzcyNWVjZjAiLCJ1c2VySWQiOiIyODU2MTI2NjcifQ==</vt:lpwstr>
  </property>
  <property fmtid="{D5CDD505-2E9C-101B-9397-08002B2CF9AE}" pid="3" name="KSOProductBuildVer">
    <vt:lpwstr>2052-12.1.0.26375</vt:lpwstr>
  </property>
  <property fmtid="{D5CDD505-2E9C-101B-9397-08002B2CF9AE}" pid="4" name="ICV">
    <vt:lpwstr>7AECC57875664400BD87D8F940BB46AE_12</vt:lpwstr>
  </property>
</Properties>
</file>