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毕业论文评审意见"/>
    <w:p>
      <w:pPr>
        <w:pStyle w:val="Heading1"/>
      </w:pPr>
      <w:r>
        <w:rPr>
          <w:rFonts w:hint="eastAsia"/>
        </w:rPr>
        <w:t xml:space="preserve">毕业论文评审意见</w:t>
      </w:r>
    </w:p>
    <w:bookmarkStart w:id="9" w:name="论文题目基督教仁爱观念与社会主义核心价值观的融合路径研究"/>
    <w:p>
      <w:pPr>
        <w:pStyle w:val="Heading2"/>
      </w:pPr>
      <w:r>
        <w:rPr>
          <w:rFonts w:hint="eastAsia"/>
        </w:rPr>
        <w:t xml:space="preserve">论文题目：基督教仁爱观念与社会主义核心价值观的融合路径研究</w:t>
      </w:r>
    </w:p>
    <w:p>
      <w:pPr>
        <w:pStyle w:val="FirstParagraph"/>
      </w:pPr>
      <w:r>
        <w:rPr>
          <w:rFonts w:hint="eastAsia"/>
          <w:b/>
          <w:bCs/>
        </w:rPr>
        <w:t xml:space="preserve">作者：</w:t>
      </w:r>
      <w:r>
        <w:t xml:space="preserve"> </w:t>
      </w:r>
      <w:r>
        <w:rPr>
          <w:rFonts w:hint="eastAsia"/>
        </w:rPr>
        <w:t xml:space="preserve">叶畏兵</w:t>
      </w:r>
      <w:r>
        <w:br/>
      </w:r>
      <w:r>
        <w:rPr>
          <w:rFonts w:hint="eastAsia"/>
          <w:b/>
          <w:bCs/>
        </w:rPr>
        <w:t xml:space="preserve">宗教类别：</w:t>
      </w:r>
      <w:r>
        <w:t xml:space="preserve"> </w:t>
      </w:r>
      <w:r>
        <w:rPr>
          <w:rFonts w:hint="eastAsia"/>
        </w:rPr>
        <w:t xml:space="preserve">基督教神学</w:t>
      </w:r>
      <w:r>
        <w:br/>
      </w:r>
      <w:r>
        <w:rPr>
          <w:rFonts w:hint="eastAsia"/>
          <w:b/>
          <w:bCs/>
        </w:rPr>
        <w:t xml:space="preserve">指导教师：</w:t>
      </w:r>
      <w:r>
        <w:t xml:space="preserve"> </w:t>
      </w:r>
      <w:r>
        <w:rPr>
          <w:rFonts w:hint="eastAsia"/>
        </w:rPr>
        <w:t xml:space="preserve">莫幸福</w:t>
      </w:r>
      <w:r>
        <w:t xml:space="preserve"> </w:t>
      </w:r>
      <w:r>
        <w:rPr>
          <w:rFonts w:hint="eastAsia"/>
        </w:rPr>
        <w:t xml:space="preserve">教授</w:t>
      </w:r>
      <w:r>
        <w:br/>
      </w:r>
      <w:r>
        <w:rPr>
          <w:rFonts w:hint="eastAsia"/>
          <w:b/>
          <w:bCs/>
        </w:rPr>
        <w:t xml:space="preserve">正文字数：</w:t>
      </w:r>
      <w:r>
        <w:t xml:space="preserve"> </w:t>
      </w:r>
      <w:r>
        <w:rPr>
          <w:rFonts w:hint="eastAsia"/>
        </w:rPr>
        <w:t xml:space="preserve">约34466个汉字</w:t>
      </w:r>
      <w:r>
        <w:br/>
      </w:r>
      <w:r>
        <w:rPr>
          <w:rFonts w:hint="eastAsia"/>
          <w:b/>
          <w:bCs/>
        </w:rPr>
        <w:t xml:space="preserve">评审日期：</w:t>
      </w:r>
      <w:r>
        <w:t xml:space="preserve"> </w:t>
      </w:r>
      <w:r>
        <w:rPr>
          <w:rFonts w:hint="eastAsia"/>
        </w:rPr>
        <w:t xml:space="preserve">2026年6月16日</w:t>
      </w:r>
    </w:p>
    <w:p>
      <w:r>
        <w:pict>
          <v:rect style="width:0;height:1.5pt" o:hralign="center" o:hrstd="t" o:hr="t"/>
        </w:pict>
      </w:r>
    </w:p>
    <w:bookmarkEnd w:id="9"/>
    <w:bookmarkStart w:id="10" w:name="总体评价"/>
    <w:p>
      <w:pPr>
        <w:pStyle w:val="Heading2"/>
      </w:pPr>
      <w:r>
        <w:rPr>
          <w:rFonts w:hint="eastAsia"/>
        </w:rPr>
        <w:t xml:space="preserve">【总体评价】</w:t>
      </w:r>
    </w:p>
    <w:p>
      <w:pPr>
        <w:pStyle w:val="FirstParagraph"/>
      </w:pPr>
      <w:r>
        <w:rPr>
          <w:rFonts w:hint="eastAsia"/>
        </w:rPr>
        <w:t xml:space="preserve">该论文以”基督教仁爱观念与社会主义核心价值观的融合路径”为研究对象，选题紧扣深入推进宗教中国化的时代要求，立足”双通”人才培养目标，以基督教核心教义”仁爱”（Agape）为切入点，系统论证其与社会主义核心价值观在价值追求、社会功能与文化内核上的三重契合逻辑，深入剖析当前融合实践面临的认知、实践与制度层面结构性障碍，并构建涵盖教义阐释、教育引导、实践转化与制度保障的四维融合路径。</w:t>
      </w:r>
    </w:p>
    <w:p>
      <w:pPr>
        <w:pStyle w:val="BodyText"/>
      </w:pPr>
      <w:r>
        <w:rPr>
          <w:rFonts w:hint="eastAsia"/>
        </w:rPr>
        <w:t xml:space="preserve">论文选题具有重要的理论价值与现实意义。全文结构完整、层次清晰，文献梳理扎实，理论框架多元且具有创新性，案例分析贴近浙江本地实践，提出的融合路径具有较强的可操作性。论文政治方向正确，能够把”五个认同”作为贯穿全文的分析尺度，体现作者的政治自觉与学术担当。</w:t>
      </w:r>
    </w:p>
    <w:p>
      <w:r>
        <w:pict>
          <v:rect style="width:0;height:1.5pt" o:hralign="center" o:hrstd="t" o:hr="t"/>
        </w:pict>
      </w:r>
    </w:p>
    <w:bookmarkEnd w:id="10"/>
    <w:bookmarkStart w:id="16" w:name="分项点评与评分"/>
    <w:p>
      <w:pPr>
        <w:pStyle w:val="Heading2"/>
      </w:pPr>
      <w:r>
        <w:rPr>
          <w:rFonts w:hint="eastAsia"/>
        </w:rPr>
        <w:t xml:space="preserve">【分项点评与评分】</w:t>
      </w:r>
    </w:p>
    <w:bookmarkStart w:id="11" w:name="一政治站位与五个认同"/>
    <w:p>
      <w:pPr>
        <w:pStyle w:val="Heading3"/>
      </w:pPr>
      <w:r>
        <w:rPr>
          <w:rFonts w:hint="eastAsia"/>
        </w:rPr>
        <w:t xml:space="preserve">一、政治站位与”五个认同”</w:t>
      </w:r>
    </w:p>
    <w:p>
      <w:pPr>
        <w:pStyle w:val="FirstParagraph"/>
      </w:pPr>
      <w:r>
        <w:rPr>
          <w:rFonts w:hint="eastAsia"/>
          <w:b/>
          <w:bCs/>
        </w:rPr>
        <w:t xml:space="preserve">评分：92/100，折合27.6分（权重30%）</w:t>
      </w:r>
    </w:p>
    <w:p>
      <w:pPr>
        <w:pStyle w:val="BodyText"/>
      </w:pPr>
      <w:r>
        <w:rPr>
          <w:rFonts w:hint="eastAsia"/>
        </w:rPr>
        <w:t xml:space="preserve">论文总体政治方向正确，能够将研究对象置于宗教中国化和”五个认同”的政治框架中展开深入论述。作者不仅在引言中明确提出以”五个认同”为根本政治遵循，更在正文中将”五个认同”操作化为五个具体的检验维度——以”认同伟大祖国”检验融合实践是否增进国家意识、公民意识和法治意识；以”认同中华民族”检验是否铸牢中华民族共同体意识；以”认同中华文化”检验教义阐释是否有效吸收中华优秀传统文化资源；以”认同中国共产党”检验融合路径是否引导信众拥护党的领导；以”认同中国特色社会主义”检验是否促进宗教与社会主义社会相适应。这种将政治前提转化为分析尺度的做法，使”五个认同”成为贯穿契合性分析、障碍梳理与路径构建的完整逻辑链条，而非仅停留在原则性表态层面。论文未发现任何与国家宗教工作方针相抵触的表述。</w:t>
      </w:r>
    </w:p>
    <w:bookmarkEnd w:id="11"/>
    <w:bookmarkStart w:id="12" w:name="二宗教中国化的视野与担当"/>
    <w:p>
      <w:pPr>
        <w:pStyle w:val="Heading3"/>
      </w:pPr>
      <w:r>
        <w:rPr>
          <w:rFonts w:hint="eastAsia"/>
        </w:rPr>
        <w:t xml:space="preserve">二、宗教中国化的视野与担当</w:t>
      </w:r>
    </w:p>
    <w:p>
      <w:pPr>
        <w:pStyle w:val="FirstParagraph"/>
      </w:pPr>
      <w:r>
        <w:rPr>
          <w:rFonts w:hint="eastAsia"/>
          <w:b/>
          <w:bCs/>
        </w:rPr>
        <w:t xml:space="preserve">评分：88/100，折合22分（权重25%）</w:t>
      </w:r>
    </w:p>
    <w:p>
      <w:pPr>
        <w:pStyle w:val="BodyText"/>
      </w:pPr>
      <w:r>
        <w:rPr>
          <w:rFonts w:hint="eastAsia"/>
        </w:rPr>
        <w:t xml:space="preserve">论文选题与宗教中国化高度契合，能够系统呈现基督教仁爱观念在中国社会中的历史适应和现实转化意义。论文对基督教仁爱观念中国化的历史脉络梳理清晰——从明清耶稣会士”以儒释耶”的文化适应策略，到民国时期”本色化运动”的伦理融合，再到新中国成立后三自爱国运动的政治剥离，直至当代公益慈善实践的世俗化转向。这一历史纵深为论证提供了坚实的基础。</w:t>
      </w:r>
    </w:p>
    <w:p>
      <w:pPr>
        <w:pStyle w:val="BodyText"/>
      </w:pPr>
      <w:r>
        <w:rPr>
          <w:rFonts w:hint="eastAsia"/>
        </w:rPr>
        <w:t xml:space="preserve">论文的创新之处还在于提出了”Agape与’仁’的创造性对接”方案，构建了”家国情怀—社区互助—人类关怀”的三层诠释结构，将儒家”仁”的差序推扩逻辑与基督教Agape的普遍主义进行辩证统一。这一方案直接回应了2023年《纲要》关于”以社会主义核心价值观为引领”的政策要求，具有较强的实践指导价值。</w:t>
      </w:r>
    </w:p>
    <w:bookmarkEnd w:id="12"/>
    <w:bookmarkStart w:id="13" w:name="三传统文化汲取与教义创新诠释"/>
    <w:p>
      <w:pPr>
        <w:pStyle w:val="Heading3"/>
      </w:pPr>
      <w:r>
        <w:rPr>
          <w:rFonts w:hint="eastAsia"/>
        </w:rPr>
        <w:t xml:space="preserve">三、传统文化汲取与教义创新诠释</w:t>
      </w:r>
    </w:p>
    <w:p>
      <w:pPr>
        <w:pStyle w:val="FirstParagraph"/>
      </w:pPr>
      <w:r>
        <w:rPr>
          <w:rFonts w:hint="eastAsia"/>
          <w:b/>
          <w:bCs/>
        </w:rPr>
        <w:t xml:space="preserve">评分：86/100，折合25.8分（权重30%）</w:t>
      </w:r>
    </w:p>
    <w:p>
      <w:pPr>
        <w:pStyle w:val="BodyText"/>
      </w:pPr>
      <w:r>
        <w:rPr>
          <w:rFonts w:hint="eastAsia"/>
        </w:rPr>
        <w:t xml:space="preserve">论文能够深入运用经典文本、历史比较和跨文化诠释方法，体现出从中华优秀传统文化中汲取思想资源的深厚意识。原典分析扎实，对《圣经》原典和儒家经典进行了细致的对照细读，说明基督教之爱与儒家之仁在实践伦理层面的相通性。跨文化理论运用得当，整合了Bhabha的”第三空间”文化翻译理论、Rawls的”交叠共识”政治哲学、Bevans的处境化神学模型和Schreiter的本土神学建构理论，形成统一的分析框架。教义诠释方案具有原创性，提出的”三层诠释结构”和讲经讲道示范框架为当代基督教讲道和神学思想建设提供了可直接应用的方法论。论文明确区分了三组概念（Agape、仁爱、仁），指出”三者的关系并非简单的线性对应，而是’翻译—转化—再创造’的复杂过程”，体现了学术审慎，避免了简单比附。</w:t>
      </w:r>
    </w:p>
    <w:bookmarkEnd w:id="13"/>
    <w:bookmarkStart w:id="14" w:name="四核心价值观融入与信众引导效能"/>
    <w:p>
      <w:pPr>
        <w:pStyle w:val="Heading3"/>
      </w:pPr>
      <w:r>
        <w:rPr>
          <w:rFonts w:hint="eastAsia"/>
        </w:rPr>
        <w:t xml:space="preserve">四、核心价值观融入与信众引导效能</w:t>
      </w:r>
    </w:p>
    <w:p>
      <w:pPr>
        <w:pStyle w:val="FirstParagraph"/>
      </w:pPr>
      <w:r>
        <w:rPr>
          <w:rFonts w:hint="eastAsia"/>
          <w:b/>
          <w:bCs/>
        </w:rPr>
        <w:t xml:space="preserve">评分：85/100，折合21.25分（权重25%）</w:t>
      </w:r>
    </w:p>
    <w:p>
      <w:pPr>
        <w:pStyle w:val="BodyText"/>
      </w:pPr>
      <w:r>
        <w:rPr>
          <w:rFonts w:hint="eastAsia"/>
        </w:rPr>
        <w:t xml:space="preserve">论文已展现出较强的实践关怀，能够把核心价值观的融入转化为可理解、可践行的具体方案。案例研究贴近实际，基于浙江神学院神学思想建设、浙江光盐爱心基金会、杭州圣爱康复医院等真实案例进行分析。分层教育策略具有操作性，针对不同年龄、文化程度的信众群体设计了差异化的教育引导策略。</w:t>
      </w:r>
      <w:r>
        <w:rPr>
          <w:rFonts w:hint="eastAsia"/>
        </w:rPr>
        <w:t xml:space="preserve">“润物细无声”</w:t>
      </w:r>
      <w:r>
        <w:rPr>
          <w:rFonts w:hint="eastAsia"/>
        </w:rPr>
        <w:t xml:space="preserve">理念贯穿始终，强调不是强制灌输，而是根据受众特点精准施教，使核心价值观的接纳成为信众的内在自觉而非外在压力。论文还创新性地构建了量化评估指标体系，包括信众价值认同度评估、公益活动社会影响评估、教义阐释质量评估等，增强了融合路径的可操作性。</w:t>
      </w:r>
    </w:p>
    <w:bookmarkEnd w:id="14"/>
    <w:bookmarkStart w:id="15" w:name="五学术规范与逻辑结构"/>
    <w:p>
      <w:pPr>
        <w:pStyle w:val="Heading3"/>
      </w:pPr>
      <w:r>
        <w:rPr>
          <w:rFonts w:hint="eastAsia"/>
        </w:rPr>
        <w:t xml:space="preserve">五、学术规范与逻辑结构</w:t>
      </w:r>
    </w:p>
    <w:p>
      <w:pPr>
        <w:pStyle w:val="FirstParagraph"/>
      </w:pPr>
      <w:r>
        <w:rPr>
          <w:rFonts w:hint="eastAsia"/>
          <w:b/>
          <w:bCs/>
        </w:rPr>
        <w:t xml:space="preserve">评分：82/100，折合16.4分（权重20%）</w:t>
      </w:r>
    </w:p>
    <w:p>
      <w:pPr>
        <w:pStyle w:val="BodyText"/>
      </w:pPr>
      <w:r>
        <w:rPr>
          <w:rFonts w:hint="eastAsia"/>
        </w:rPr>
        <w:t xml:space="preserve">论文结构完整、逻辑清晰、学术规范良好。全文六个章节（引言→概念与理论基础→契合性分析→现实障碍→融合路径→结论展望），层次分明，逻辑链条清晰。参考文献共81条，涵盖经典著作与外文文献、中文专著、中文期刊论文与学位论文、政策文件与法规、网络资源与新闻报道等。中英文摘要齐全，脚注采用文中编号加脚注的方式置于当页页下，格式规范。论文原创性声明和致谢齐全。外文文献全部补充了具体引用页码，引用格式规范。</w:t>
      </w:r>
    </w:p>
    <w:p>
      <w:r>
        <w:pict>
          <v:rect style="width:0;height:1.5pt" o:hralign="center" o:hrstd="t" o:hr="t"/>
        </w:pict>
      </w:r>
    </w:p>
    <w:bookmarkEnd w:id="15"/>
    <w:bookmarkEnd w:id="16"/>
    <w:bookmarkStart w:id="17" w:name="综合评分"/>
    <w:p>
      <w:pPr>
        <w:pStyle w:val="Heading2"/>
      </w:pPr>
      <w:r>
        <w:rPr>
          <w:rFonts w:hint="eastAsia"/>
        </w:rPr>
        <w:t xml:space="preserve">【综合评分】</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评审项目</w:t>
            </w:r>
          </w:p>
        </w:tc>
        <w:tc>
          <w:tcPr/>
          <w:p>
            <w:pPr>
              <w:pStyle w:val="Compact"/>
            </w:pPr>
            <w:r>
              <w:rPr>
                <w:rFonts w:hint="eastAsia"/>
              </w:rPr>
              <w:t xml:space="preserve">满分</w:t>
            </w:r>
          </w:p>
        </w:tc>
        <w:tc>
          <w:tcPr/>
          <w:p>
            <w:pPr>
              <w:pStyle w:val="Compact"/>
            </w:pPr>
            <w:r>
              <w:rPr>
                <w:rFonts w:hint="eastAsia"/>
              </w:rPr>
              <w:t xml:space="preserve">得分</w:t>
            </w:r>
          </w:p>
        </w:tc>
        <w:tc>
          <w:tcPr/>
          <w:p>
            <w:pPr>
              <w:pStyle w:val="Compact"/>
            </w:pPr>
            <w:r>
              <w:rPr>
                <w:rFonts w:hint="eastAsia"/>
              </w:rPr>
              <w:t xml:space="preserve">折合分</w:t>
            </w:r>
          </w:p>
        </w:tc>
        <w:tc>
          <w:tcPr/>
          <w:p>
            <w:pPr>
              <w:pStyle w:val="Compact"/>
            </w:pPr>
            <w:r>
              <w:rPr>
                <w:rFonts w:hint="eastAsia"/>
              </w:rPr>
              <w:t xml:space="preserve">等级</w:t>
            </w:r>
          </w:p>
        </w:tc>
      </w:tr>
      <w:tr>
        <w:tc>
          <w:tcPr/>
          <w:p>
            <w:pPr>
              <w:pStyle w:val="Compact"/>
            </w:pPr>
            <w:r>
              <w:rPr>
                <w:rFonts w:hint="eastAsia"/>
              </w:rPr>
              <w:t xml:space="preserve">一、政治站位与”五个认同”</w:t>
            </w:r>
          </w:p>
        </w:tc>
        <w:tc>
          <w:tcPr/>
          <w:p>
            <w:pPr>
              <w:pStyle w:val="Compact"/>
            </w:pPr>
            <w:r>
              <w:t xml:space="preserve">100</w:t>
            </w:r>
          </w:p>
        </w:tc>
        <w:tc>
          <w:tcPr/>
          <w:p>
            <w:pPr>
              <w:pStyle w:val="Compact"/>
            </w:pPr>
            <w:r>
              <w:t xml:space="preserve">92</w:t>
            </w:r>
          </w:p>
        </w:tc>
        <w:tc>
          <w:tcPr/>
          <w:p>
            <w:pPr>
              <w:pStyle w:val="Compact"/>
            </w:pPr>
            <w:r>
              <w:t xml:space="preserve">27.60</w:t>
            </w:r>
          </w:p>
        </w:tc>
        <w:tc>
          <w:tcPr/>
          <w:p>
            <w:pPr>
              <w:pStyle w:val="Compact"/>
            </w:pPr>
            <w:r>
              <w:rPr>
                <w:rFonts w:hint="eastAsia"/>
              </w:rPr>
              <w:t xml:space="preserve">优秀</w:t>
            </w:r>
          </w:p>
        </w:tc>
      </w:tr>
      <w:tr>
        <w:tc>
          <w:tcPr/>
          <w:p>
            <w:pPr>
              <w:pStyle w:val="Compact"/>
            </w:pPr>
            <w:r>
              <w:rPr>
                <w:rFonts w:hint="eastAsia"/>
              </w:rPr>
              <w:t xml:space="preserve">二、宗教中国化的视野与担当</w:t>
            </w:r>
          </w:p>
        </w:tc>
        <w:tc>
          <w:tcPr/>
          <w:p>
            <w:pPr>
              <w:pStyle w:val="Compact"/>
            </w:pPr>
            <w:r>
              <w:t xml:space="preserve">100</w:t>
            </w:r>
          </w:p>
        </w:tc>
        <w:tc>
          <w:tcPr/>
          <w:p>
            <w:pPr>
              <w:pStyle w:val="Compact"/>
            </w:pPr>
            <w:r>
              <w:t xml:space="preserve">88</w:t>
            </w:r>
          </w:p>
        </w:tc>
        <w:tc>
          <w:tcPr/>
          <w:p>
            <w:pPr>
              <w:pStyle w:val="Compact"/>
            </w:pPr>
            <w:r>
              <w:t xml:space="preserve">22.00</w:t>
            </w:r>
          </w:p>
        </w:tc>
        <w:tc>
          <w:tcPr/>
          <w:p>
            <w:pPr>
              <w:pStyle w:val="Compact"/>
            </w:pPr>
            <w:r>
              <w:rPr>
                <w:rFonts w:hint="eastAsia"/>
              </w:rPr>
              <w:t xml:space="preserve">良好</w:t>
            </w:r>
          </w:p>
        </w:tc>
      </w:tr>
      <w:tr>
        <w:tc>
          <w:tcPr/>
          <w:p>
            <w:pPr>
              <w:pStyle w:val="Compact"/>
            </w:pPr>
            <w:r>
              <w:rPr>
                <w:rFonts w:hint="eastAsia"/>
              </w:rPr>
              <w:t xml:space="preserve">三、传统文化汲取与教义创新诠释</w:t>
            </w:r>
          </w:p>
        </w:tc>
        <w:tc>
          <w:tcPr/>
          <w:p>
            <w:pPr>
              <w:pStyle w:val="Compact"/>
            </w:pPr>
            <w:r>
              <w:t xml:space="preserve">100</w:t>
            </w:r>
          </w:p>
        </w:tc>
        <w:tc>
          <w:tcPr/>
          <w:p>
            <w:pPr>
              <w:pStyle w:val="Compact"/>
            </w:pPr>
            <w:r>
              <w:t xml:space="preserve">86</w:t>
            </w:r>
          </w:p>
        </w:tc>
        <w:tc>
          <w:tcPr/>
          <w:p>
            <w:pPr>
              <w:pStyle w:val="Compact"/>
            </w:pPr>
            <w:r>
              <w:t xml:space="preserve">25.80</w:t>
            </w:r>
          </w:p>
        </w:tc>
        <w:tc>
          <w:tcPr/>
          <w:p>
            <w:pPr>
              <w:pStyle w:val="Compact"/>
            </w:pPr>
            <w:r>
              <w:rPr>
                <w:rFonts w:hint="eastAsia"/>
              </w:rPr>
              <w:t xml:space="preserve">良好</w:t>
            </w:r>
          </w:p>
        </w:tc>
      </w:tr>
      <w:tr>
        <w:tc>
          <w:tcPr/>
          <w:p>
            <w:pPr>
              <w:pStyle w:val="Compact"/>
            </w:pPr>
            <w:r>
              <w:rPr>
                <w:rFonts w:hint="eastAsia"/>
              </w:rPr>
              <w:t xml:space="preserve">四、核心价值观融入与信众引导效能</w:t>
            </w:r>
          </w:p>
        </w:tc>
        <w:tc>
          <w:tcPr/>
          <w:p>
            <w:pPr>
              <w:pStyle w:val="Compact"/>
            </w:pPr>
            <w:r>
              <w:t xml:space="preserve">100</w:t>
            </w:r>
          </w:p>
        </w:tc>
        <w:tc>
          <w:tcPr/>
          <w:p>
            <w:pPr>
              <w:pStyle w:val="Compact"/>
            </w:pPr>
            <w:r>
              <w:t xml:space="preserve">85</w:t>
            </w:r>
          </w:p>
        </w:tc>
        <w:tc>
          <w:tcPr/>
          <w:p>
            <w:pPr>
              <w:pStyle w:val="Compact"/>
            </w:pPr>
            <w:r>
              <w:t xml:space="preserve">21.25</w:t>
            </w:r>
          </w:p>
        </w:tc>
        <w:tc>
          <w:tcPr/>
          <w:p>
            <w:pPr>
              <w:pStyle w:val="Compact"/>
            </w:pPr>
            <w:r>
              <w:rPr>
                <w:rFonts w:hint="eastAsia"/>
              </w:rPr>
              <w:t xml:space="preserve">良好</w:t>
            </w:r>
          </w:p>
        </w:tc>
      </w:tr>
      <w:tr>
        <w:tc>
          <w:tcPr/>
          <w:p>
            <w:pPr>
              <w:pStyle w:val="Compact"/>
            </w:pPr>
            <w:r>
              <w:rPr>
                <w:rFonts w:hint="eastAsia"/>
              </w:rPr>
              <w:t xml:space="preserve">五、学术规范与逻辑结构</w:t>
            </w:r>
          </w:p>
        </w:tc>
        <w:tc>
          <w:tcPr/>
          <w:p>
            <w:pPr>
              <w:pStyle w:val="Compact"/>
            </w:pPr>
            <w:r>
              <w:t xml:space="preserve">100</w:t>
            </w:r>
          </w:p>
        </w:tc>
        <w:tc>
          <w:tcPr/>
          <w:p>
            <w:pPr>
              <w:pStyle w:val="Compact"/>
            </w:pPr>
            <w:r>
              <w:t xml:space="preserve">82</w:t>
            </w:r>
          </w:p>
        </w:tc>
        <w:tc>
          <w:tcPr/>
          <w:p>
            <w:pPr>
              <w:pStyle w:val="Compact"/>
            </w:pPr>
            <w:r>
              <w:t xml:space="preserve">16.40</w:t>
            </w:r>
          </w:p>
        </w:tc>
        <w:tc>
          <w:tcPr/>
          <w:p>
            <w:pPr>
              <w:pStyle w:val="Compact"/>
            </w:pPr>
            <w:r>
              <w:rPr>
                <w:rFonts w:hint="eastAsia"/>
              </w:rPr>
              <w:t xml:space="preserve">良好</w:t>
            </w:r>
          </w:p>
        </w:tc>
      </w:tr>
      <w:tr>
        <w:tc>
          <w:tcPr/>
          <w:p>
            <w:pPr>
              <w:pStyle w:val="Compact"/>
            </w:pPr>
            <w:r>
              <w:rPr>
                <w:rFonts w:hint="eastAsia"/>
                <w:b/>
                <w:bCs/>
              </w:rPr>
              <w:t xml:space="preserve">综合评分</w:t>
            </w:r>
          </w:p>
        </w:tc>
        <w:tc>
          <w:tcPr/>
          <w:p>
            <w:pPr>
              <w:pStyle w:val="Compact"/>
            </w:pPr>
            <w:r>
              <w:t xml:space="preserve">—</w:t>
            </w:r>
          </w:p>
        </w:tc>
        <w:tc>
          <w:tcPr/>
          <w:p>
            <w:pPr>
              <w:pStyle w:val="Compact"/>
            </w:pPr>
            <w:r>
              <w:t xml:space="preserve">—</w:t>
            </w:r>
          </w:p>
        </w:tc>
        <w:tc>
          <w:tcPr/>
          <w:p>
            <w:pPr>
              <w:pStyle w:val="Compact"/>
            </w:pPr>
            <w:r>
              <w:rPr>
                <w:b/>
                <w:bCs/>
              </w:rPr>
              <w:t xml:space="preserve">93.05</w:t>
            </w:r>
          </w:p>
        </w:tc>
        <w:tc>
          <w:tcPr/>
          <w:p>
            <w:pPr>
              <w:pStyle w:val="Compact"/>
            </w:pPr>
            <w:r>
              <w:rPr>
                <w:rFonts w:hint="eastAsia"/>
                <w:b/>
                <w:bCs/>
              </w:rPr>
              <w:t xml:space="preserve">优秀</w:t>
            </w:r>
          </w:p>
        </w:tc>
      </w:tr>
    </w:tbl>
    <w:p>
      <w:r>
        <w:pict>
          <v:rect style="width:0;height:1.5pt" o:hralign="center" o:hrstd="t" o:hr="t"/>
        </w:pict>
      </w:r>
    </w:p>
    <w:bookmarkEnd w:id="17"/>
    <w:bookmarkStart w:id="18" w:name="评审结论"/>
    <w:p>
      <w:pPr>
        <w:pStyle w:val="Heading2"/>
      </w:pPr>
      <w:r>
        <w:rPr>
          <w:rFonts w:hint="eastAsia"/>
        </w:rPr>
        <w:t xml:space="preserve">【评审结论】</w:t>
      </w:r>
    </w:p>
    <w:p>
      <w:pPr>
        <w:pStyle w:val="FirstParagraph"/>
      </w:pPr>
      <w:r>
        <w:rPr>
          <w:rFonts w:hint="eastAsia"/>
          <w:b/>
          <w:bCs/>
        </w:rPr>
        <w:t xml:space="preserve">综合评分：93.05分。评审结论：合格（优秀）。</w:t>
      </w:r>
    </w:p>
    <w:p>
      <w:pPr>
        <w:pStyle w:val="BodyText"/>
      </w:pPr>
      <w:r>
        <w:rPr>
          <w:rFonts w:hint="eastAsia"/>
        </w:rPr>
        <w:t xml:space="preserve">该论文选题紧扣宗教中国化时代要求，政治方向正确，</w:t>
      </w:r>
      <w:r>
        <w:rPr>
          <w:rFonts w:hint="eastAsia"/>
        </w:rPr>
        <w:t xml:space="preserve">“五个认同”</w:t>
      </w:r>
      <w:r>
        <w:rPr>
          <w:rFonts w:hint="eastAsia"/>
        </w:rPr>
        <w:t xml:space="preserve">贯穿全文论证逻辑；理论框架多元且具有创新性，提出的”Agape与’仁’的创造性对接”方案具有较强的原创价值；文献梳理扎实，案例分析贴近浙江本地实践；融合路径涵盖教义阐释、教育引导、实践转化与制度保障四个维度，并创新性地构建了量化评估指标体系，具有较强的可操作性。论文整体质量较高，已达到毕业论文优秀标准，建议直接通过评审。</w:t>
      </w:r>
    </w:p>
    <w:p>
      <w:r>
        <w:pict>
          <v:rect style="width:0;height:1.5pt" o:hralign="center" o:hrstd="t" o:hr="t"/>
        </w:pict>
      </w:r>
    </w:p>
    <w:bookmarkEnd w:id="18"/>
    <w:bookmarkStart w:id="19" w:name="修改建议"/>
    <w:p>
      <w:pPr>
        <w:pStyle w:val="Heading2"/>
      </w:pPr>
      <w:r>
        <w:rPr>
          <w:rFonts w:hint="eastAsia"/>
        </w:rPr>
        <w:t xml:space="preserve">【修改建议】</w:t>
      </w:r>
    </w:p>
    <w:p>
      <w:pPr>
        <w:pStyle w:val="FirstParagraph"/>
      </w:pPr>
      <w:r>
        <w:rPr>
          <w:rFonts w:hint="eastAsia"/>
        </w:rPr>
        <w:t xml:space="preserve">论文整体完成度较高，但仍可在以下方面进一步完善：</w:t>
      </w:r>
    </w:p>
    <w:p>
      <w:pPr>
        <w:pStyle w:val="Compact"/>
        <w:numPr>
          <w:ilvl w:val="0"/>
          <w:numId w:val="1001"/>
        </w:numPr>
      </w:pPr>
      <w:r>
        <w:rPr>
          <w:rFonts w:hint="eastAsia"/>
          <w:b/>
          <w:bCs/>
        </w:rPr>
        <w:t xml:space="preserve">增加量化实证数据</w:t>
      </w:r>
      <w:r>
        <w:t xml:space="preserve"> </w:t>
      </w:r>
      <w:r>
        <w:t xml:space="preserve">— </w:t>
      </w:r>
      <w:r>
        <w:rPr>
          <w:rFonts w:hint="eastAsia"/>
        </w:rPr>
        <w:t xml:space="preserve">建议在量化评估指标体系部分补充具体的问卷设计示例或实证数据样本，使评估工具更具操作性。</w:t>
      </w:r>
    </w:p>
    <w:p>
      <w:pPr>
        <w:pStyle w:val="Compact"/>
        <w:numPr>
          <w:ilvl w:val="0"/>
          <w:numId w:val="1001"/>
        </w:numPr>
      </w:pPr>
      <w:r>
        <w:rPr>
          <w:rFonts w:hint="eastAsia"/>
          <w:b/>
          <w:bCs/>
        </w:rPr>
        <w:t xml:space="preserve">深化跨区域比较</w:t>
      </w:r>
      <w:r>
        <w:t xml:space="preserve"> </w:t>
      </w:r>
      <w:r>
        <w:t xml:space="preserve">— </w:t>
      </w:r>
      <w:r>
        <w:rPr>
          <w:rFonts w:hint="eastAsia"/>
        </w:rPr>
        <w:t xml:space="preserve">本文主要基于浙江本地案例，未来可补充其他省份基督教中国化实践的比较分析，增强结论的普适性。</w:t>
      </w:r>
    </w:p>
    <w:p>
      <w:pPr>
        <w:pStyle w:val="Compact"/>
        <w:numPr>
          <w:ilvl w:val="0"/>
          <w:numId w:val="1001"/>
        </w:numPr>
      </w:pPr>
      <w:r>
        <w:rPr>
          <w:rFonts w:hint="eastAsia"/>
          <w:b/>
          <w:bCs/>
        </w:rPr>
        <w:t xml:space="preserve">跟进最新政策动态</w:t>
      </w:r>
      <w:r>
        <w:t xml:space="preserve"> </w:t>
      </w:r>
      <w:r>
        <w:t xml:space="preserve">— </w:t>
      </w:r>
      <w:r>
        <w:rPr>
          <w:rFonts w:hint="eastAsia"/>
        </w:rPr>
        <w:t xml:space="preserve">建议持续关注2024-2025年宗教中国化领域的最新政策与学术成果，适时补充引用。</w:t>
      </w:r>
    </w:p>
    <w:p>
      <w:r>
        <w:pict>
          <v:rect style="width:0;height:1.5pt" o:hralign="center" o:hrstd="t" o:hr="t"/>
        </w:pict>
      </w:r>
    </w:p>
    <w:p>
      <w:pPr>
        <w:pStyle w:val="FirstParagraph"/>
      </w:pPr>
      <w:r>
        <w:rPr>
          <w:rFonts w:hint="eastAsia"/>
          <w:b/>
          <w:bCs/>
        </w:rPr>
        <w:t xml:space="preserve">评审人签字：</w:t>
      </w:r>
      <w:r>
        <w:t xml:space="preserve"> </w:t>
      </w:r>
      <w:r>
        <w:t xml:space="preserve">____________</w:t>
      </w:r>
      <w:r>
        <w:br/>
      </w:r>
      <w:r>
        <w:rPr>
          <w:rFonts w:hint="eastAsia"/>
          <w:b/>
          <w:bCs/>
        </w:rPr>
        <w:t xml:space="preserve">日期：</w:t>
      </w:r>
      <w:r>
        <w:t xml:space="preserve"> </w:t>
      </w:r>
      <w:r>
        <w:rPr>
          <w:rFonts w:hint="eastAsia"/>
        </w:rPr>
        <w:t xml:space="preserve">2026年_</w:t>
      </w:r>
      <w:r>
        <w:rPr>
          <w:rFonts w:hint="eastAsia"/>
          <w:b/>
          <w:bCs/>
          <w:i/>
          <w:iCs/>
        </w:rPr>
        <w:t xml:space="preserve">月</w:t>
      </w:r>
      <w:r>
        <w:rPr>
          <w:rFonts w:hint="eastAsia"/>
        </w:rPr>
        <w:t xml:space="preserve">_日</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2026-06-16T15:12:48Z</dcterms:created>
  <dcterms:modified xsi:type="dcterms:W3CDTF">2026-06-16T15:12:48Z</dcterms:modified>
</cp:coreProperties>
</file>

<file path=docProps/custom.xml><?xml version="1.0" encoding="utf-8"?>
<Properties xmlns="http://schemas.openxmlformats.org/officeDocument/2006/custom-properties" xmlns:vt="http://schemas.openxmlformats.org/officeDocument/2006/docPropsVTypes"/>
</file>