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成员4：房价下跌如何触发危机</w:t>
      </w:r>
    </w:p>
    <w:p>
      <w:pPr>
        <w:pStyle w:val="Heading2"/>
      </w:pPr>
      <w:r>
        <w:t>一、数据图：2000-2008 年美国房价指数 vs 次级贷违约率</w:t>
      </w:r>
    </w:p>
    <w:p>
      <w:pPr>
        <w:spacing w:after="120"/>
      </w:pPr>
      <w:r>
        <w:rPr>
          <w:b w:val="0"/>
        </w:rPr>
        <w:t>【图表说明】上图展示了 2000-2008 年美国房价指数（左轴，2000 年=100）与次级贷款违约率（右轴，%）的变化趋势。</w:t>
      </w:r>
    </w:p>
    <w:p>
      <w:pPr>
        <w:pStyle w:val="Heading3"/>
      </w:pPr>
      <w:r>
        <w:t>关键发现：</w:t>
      </w:r>
    </w:p>
    <w:p>
      <w:pPr>
        <w:spacing w:after="120"/>
      </w:pPr>
      <w:r>
        <w:rPr>
          <w:b w:val="0"/>
        </w:rPr>
        <w:t>• 2000-2006 年：房价从 100 涨至 189（+89%），违约率维持在 1.5%-5.5% 低位</w:t>
      </w:r>
    </w:p>
    <w:p>
      <w:pPr>
        <w:spacing w:after="120"/>
      </w:pPr>
      <w:r>
        <w:rPr>
          <w:b w:val="0"/>
        </w:rPr>
        <w:t>• 2006 年：房价达到峰值 189，违约率升至 5.5%，拐点出现</w:t>
      </w:r>
    </w:p>
    <w:p>
      <w:pPr>
        <w:spacing w:after="120"/>
      </w:pPr>
      <w:r>
        <w:rPr>
          <w:b w:val="0"/>
        </w:rPr>
        <w:t>• 2007-2008 年：房价暴跌至 139（-26%），违约率飙升至 15.8%</w:t>
      </w:r>
    </w:p>
    <w:p>
      <w:pPr>
        <w:spacing w:after="120"/>
      </w:pPr>
      <w:r>
        <w:rPr>
          <w:b/>
        </w:rPr>
        <w:t>• 剪刀差效应：房价下跌与违约率上升形成"剪刀差"，标志危机全面爆发</w:t>
      </w:r>
    </w:p>
    <w:p>
      <w:pPr>
        <w:pStyle w:val="Heading2"/>
      </w:pPr>
      <w:r>
        <w:t>二、真实案例：雷曼兄弟破产</w:t>
      </w:r>
    </w:p>
    <w:p>
      <w:pPr>
        <w:pStyle w:val="Heading3"/>
      </w:pPr>
      <w:r>
        <w:t>1. 公司简介</w:t>
      </w:r>
    </w:p>
    <w:p>
      <w:pPr>
        <w:spacing w:after="120"/>
      </w:pPr>
      <w:r>
        <w:rPr>
          <w:b w:val="0"/>
        </w:rPr>
        <w:t>• 成立时间：1850 年，总部位于纽约</w:t>
      </w:r>
    </w:p>
    <w:p>
      <w:pPr>
        <w:spacing w:after="120"/>
      </w:pPr>
      <w:r>
        <w:rPr>
          <w:b w:val="0"/>
        </w:rPr>
        <w:t>• 地位：美国第四大投资银行，全球性金融机构</w:t>
      </w:r>
    </w:p>
    <w:p>
      <w:pPr>
        <w:spacing w:after="120"/>
      </w:pPr>
      <w:r>
        <w:rPr>
          <w:b w:val="0"/>
        </w:rPr>
        <w:t>• 危机前资产规模：约 6390 亿美元</w:t>
      </w:r>
    </w:p>
    <w:p>
      <w:pPr>
        <w:pStyle w:val="Heading3"/>
      </w:pPr>
      <w:r>
        <w:t>2. 倒闭原因</w:t>
      </w:r>
    </w:p>
    <w:p>
      <w:r>
        <w:rPr>
          <w:b/>
        </w:rPr>
        <w:t>核心原因：</w:t>
      </w:r>
      <w:r>
        <w:t>过度投资次级房贷相关证券（MBS、CDO）</w:t>
      </w:r>
    </w:p>
    <w:p>
      <w:pPr>
        <w:spacing w:after="120"/>
      </w:pPr>
      <w:r>
        <w:rPr>
          <w:b w:val="0"/>
        </w:rPr>
        <w:t>• 2003-2007 年大量收购房贷机构，扩大次级贷业务</w:t>
      </w:r>
    </w:p>
    <w:p>
      <w:pPr>
        <w:spacing w:after="120"/>
      </w:pPr>
      <w:r>
        <w:rPr>
          <w:b w:val="0"/>
        </w:rPr>
        <w:t>• 持有 MBS/CDO 资产超过 850 亿美元</w:t>
      </w:r>
    </w:p>
    <w:p>
      <w:pPr>
        <w:spacing w:after="120"/>
      </w:pPr>
      <w:r>
        <w:rPr>
          <w:b w:val="0"/>
        </w:rPr>
        <w:t>• 杠杆率高达 31:1</w:t>
      </w:r>
    </w:p>
    <w:p>
      <w:pPr>
        <w:spacing w:after="120"/>
      </w:pPr>
      <w:r>
        <w:rPr>
          <w:b w:val="0"/>
        </w:rPr>
        <w:t>• 房价下跌后，MBS/CDO 价值暴跌</w:t>
      </w:r>
    </w:p>
    <w:p>
      <w:pPr>
        <w:pStyle w:val="Heading3"/>
      </w:pPr>
      <w:r>
        <w:t>3. 传导路径（关键表格）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880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事件</w:t>
            </w:r>
          </w:p>
        </w:tc>
        <w:tc>
          <w:tcPr>
            <w:tcW w:type="dxa" w:w="2880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① 房价下跌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2006 年起美国房价开始下跌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次级贷款违约率上升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② MBS 贬值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雷曼持有的 MBS/CDO 价值暴跌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资产缩水 850 亿美元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③ 流动性危机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交易对手要求追加保证金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现金短缺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④ 寻求救助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雷曼寻求买家或政府救助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韩国产业银行退出谈判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⑤ 破产申请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2008 年 9 月 15 日申请破产保护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史上最大破产案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⑥ 全球冲击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股市暴跌、信贷冻结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金融危机全面爆发</w:t>
            </w:r>
          </w:p>
        </w:tc>
      </w:tr>
    </w:tbl>
    <w:p>
      <w:pPr>
        <w:pStyle w:val="Heading3"/>
      </w:pPr>
      <w:r>
        <w:t>4. 关键数据</w:t>
      </w:r>
    </w:p>
    <w:p>
      <w:pPr>
        <w:spacing w:after="120"/>
      </w:pPr>
      <w:r>
        <w:rPr>
          <w:b w:val="0"/>
        </w:rPr>
        <w:t>• 破产日期：2008 年 9 月 15 日</w:t>
      </w:r>
    </w:p>
    <w:p>
      <w:pPr>
        <w:spacing w:after="120"/>
      </w:pPr>
      <w:r>
        <w:rPr>
          <w:b w:val="0"/>
        </w:rPr>
        <w:t>• 破产资产：6130 亿美元（美国历史上最大破产案）</w:t>
      </w:r>
    </w:p>
    <w:p>
      <w:pPr>
        <w:spacing w:after="120"/>
      </w:pPr>
      <w:r>
        <w:rPr>
          <w:b w:val="0"/>
        </w:rPr>
        <w:t>• 裁员人数：约 2.5 万人</w:t>
      </w:r>
    </w:p>
    <w:p>
      <w:pPr>
        <w:spacing w:after="120"/>
      </w:pPr>
      <w:r>
        <w:rPr>
          <w:b w:val="0"/>
        </w:rPr>
        <w:t>• 股市反应：道指当日下跌 4.4%</w:t>
      </w:r>
    </w:p>
    <w:p>
      <w:pPr>
        <w:pStyle w:val="Heading2"/>
      </w:pPr>
      <w:r>
        <w:t>三、传导机制总结</w:t>
      </w:r>
    </w:p>
    <w:p>
      <w:r>
        <w:rPr>
          <w:b/>
          <w:sz w:val="24"/>
        </w:rPr>
        <w:t>房价下跌 → 次级贷违约 → MBS/CDO 贬值 → 金融机构亏损 → 流动性危机 → 雷曼破产 → 全球金融危机</w:t>
      </w:r>
    </w:p>
    <w:p>
      <w:pPr>
        <w:pStyle w:val="Heading3"/>
      </w:pPr>
      <w:r>
        <w:t>关键教训：</w:t>
      </w:r>
    </w:p>
    <w:p>
      <w:pPr>
        <w:spacing w:after="120"/>
      </w:pPr>
      <w:r>
        <w:rPr>
          <w:b w:val="0"/>
        </w:rPr>
        <w:t>• 房价不会永远上涨，资产泡沫终将破裂</w:t>
      </w:r>
    </w:p>
    <w:p>
      <w:pPr>
        <w:spacing w:after="120"/>
      </w:pPr>
      <w:r>
        <w:rPr>
          <w:b w:val="0"/>
        </w:rPr>
        <w:t>• 金融衍生品可能放大而非分散风险</w:t>
      </w:r>
    </w:p>
    <w:p>
      <w:pPr>
        <w:spacing w:after="120"/>
      </w:pPr>
      <w:r>
        <w:rPr>
          <w:b w:val="0"/>
        </w:rPr>
        <w:t>• 高杠杆在顺周期时放大收益，在逆周期时放大损失</w:t>
      </w:r>
    </w:p>
    <w:p>
      <w:pPr>
        <w:spacing w:after="120"/>
      </w:pPr>
      <w:r>
        <w:rPr>
          <w:b w:val="0"/>
        </w:rPr>
        <w:t>• 系统性风险需要监管干预，"太大而不能倒"是真实存在的</w:t>
      </w:r>
    </w:p>
    <w:p>
      <w:pPr>
        <w:pStyle w:val="Heading2"/>
      </w:pPr>
      <w:r>
        <w:t>参考资料</w:t>
      </w:r>
    </w:p>
    <w:p>
      <w:pPr>
        <w:spacing w:after="120"/>
      </w:pPr>
      <w:r>
        <w:rPr>
          <w:b w:val="0"/>
        </w:rPr>
        <w:t>• 美联储经济数据 (FRED): Case-Shiller 房价指数</w:t>
      </w:r>
    </w:p>
    <w:p>
      <w:pPr>
        <w:spacing w:after="120"/>
      </w:pPr>
      <w:r>
        <w:rPr>
          <w:b w:val="0"/>
        </w:rPr>
        <w:t>• 美国财政部：《金融危机调查报告》(2011)</w:t>
      </w:r>
    </w:p>
    <w:p>
      <w:pPr>
        <w:spacing w:after="120"/>
      </w:pPr>
      <w:r>
        <w:rPr>
          <w:b w:val="0"/>
        </w:rPr>
        <w:t>• 《大空头》(The Big Short) - Michael Lewis</w:t>
      </w:r>
    </w:p>
    <w:p>
      <w:pPr>
        <w:spacing w:after="120"/>
      </w:pPr>
      <w:r>
        <w:rPr>
          <w:b w:val="0"/>
        </w:rPr>
        <w:t>• 《监守自盗》(Inside Job) 纪录片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