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7"/>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74898695">
        <w:trPr>
          <w:cantSplit/>
          <w:trHeight w:val="523" w:hRule="atLeast"/>
          <w:jc w:val="center"/>
        </w:trPr>
        <w:tc>
          <w:tcPr>
            <w:tcW w:w="1129" w:type="dxa"/>
            <w:tcBorders>
              <w:top w:val="nil"/>
              <w:left w:val="nil"/>
              <w:bottom w:val="nil"/>
              <w:right w:val="nil"/>
            </w:tcBorders>
            <w:vAlign w:val="bottom"/>
          </w:tcPr>
          <w:p w14:paraId="0A4E92A7">
            <w:pPr>
              <w:widowControl w:val="0"/>
              <w:adjustRightInd w:val="0"/>
              <w:snapToGrid w:val="0"/>
              <w:spacing w:line="360" w:lineRule="auto"/>
              <w:ind w:left="0" w:leftChars="0" w:firstLine="0" w:firstLineChars="0"/>
              <w:jc w:val="both"/>
              <w:rPr>
                <w:rFonts w:ascii="仿宋_GB2312" w:hAnsi="Times New Roman" w:eastAsia="仿宋_GB2312" w:cs="Times New Roman"/>
                <w:color w:val="auto"/>
                <w:kern w:val="2"/>
                <w:sz w:val="28"/>
                <w:szCs w:val="28"/>
                <w:lang w:val="en-US" w:eastAsia="zh-CN" w:bidi="ar-SA"/>
              </w:rPr>
            </w:pPr>
            <w:bookmarkStart w:id="0" w:name="_Toc1270809117"/>
            <w:r>
              <w:rPr>
                <w:rFonts w:hint="eastAsia" w:ascii="仿宋_GB2312" w:hAnsi="Times New Roman" w:eastAsia="仿宋_GB2312" w:cs="Times New Roman"/>
                <w:b/>
                <w:bCs/>
                <w:color w:val="auto"/>
                <w:kern w:val="2"/>
                <w:sz w:val="30"/>
                <w:szCs w:val="28"/>
                <w:lang w:val="en-US" w:eastAsia="zh-CN" w:bidi="ar-SA"/>
              </w:rPr>
              <w:br w:type="page"/>
            </w:r>
            <w:r>
              <w:rPr>
                <w:rFonts w:hint="eastAsia" w:ascii="仿宋_GB2312" w:hAnsi="Times New Roman" w:eastAsia="仿宋_GB2312" w:cs="Times New Roman"/>
                <w:color w:val="auto"/>
                <w:kern w:val="2"/>
                <w:sz w:val="28"/>
                <w:szCs w:val="28"/>
                <w:lang w:val="en-US" w:eastAsia="zh-CN" w:bidi="ar-SA"/>
              </w:rPr>
              <w:t>分类号</w:t>
            </w:r>
          </w:p>
        </w:tc>
        <w:tc>
          <w:tcPr>
            <w:tcW w:w="1332" w:type="dxa"/>
            <w:gridSpan w:val="2"/>
            <w:tcBorders>
              <w:top w:val="nil"/>
              <w:left w:val="nil"/>
              <w:bottom w:val="dashSmallGap" w:color="auto" w:sz="4" w:space="0"/>
              <w:right w:val="nil"/>
            </w:tcBorders>
            <w:vAlign w:val="bottom"/>
          </w:tcPr>
          <w:p w14:paraId="41717F3B">
            <w:pPr>
              <w:widowControl w:val="0"/>
              <w:adjustRightInd w:val="0"/>
              <w:snapToGrid w:val="0"/>
              <w:spacing w:line="360" w:lineRule="auto"/>
              <w:ind w:firstLine="562" w:firstLineChars="200"/>
              <w:jc w:val="both"/>
              <w:rPr>
                <w:rFonts w:ascii="仿宋_GB2312" w:hAnsi="Times New Roman" w:eastAsia="仿宋_GB2312" w:cs="Times New Roman"/>
                <w:b/>
                <w:bCs/>
                <w:color w:val="auto"/>
                <w:kern w:val="2"/>
                <w:sz w:val="28"/>
                <w:szCs w:val="28"/>
                <w:lang w:val="en-US" w:eastAsia="zh-CN" w:bidi="ar-SA"/>
              </w:rPr>
            </w:pPr>
          </w:p>
        </w:tc>
        <w:tc>
          <w:tcPr>
            <w:tcW w:w="4203" w:type="dxa"/>
            <w:gridSpan w:val="3"/>
            <w:tcBorders>
              <w:top w:val="nil"/>
              <w:left w:val="nil"/>
              <w:bottom w:val="nil"/>
              <w:right w:val="nil"/>
            </w:tcBorders>
            <w:vAlign w:val="bottom"/>
          </w:tcPr>
          <w:p w14:paraId="2875223A">
            <w:pPr>
              <w:widowControl w:val="0"/>
              <w:adjustRightInd w:val="0"/>
              <w:snapToGrid w:val="0"/>
              <w:spacing w:line="360" w:lineRule="auto"/>
              <w:ind w:firstLine="560" w:firstLineChars="200"/>
              <w:jc w:val="both"/>
              <w:rPr>
                <w:rFonts w:ascii="仿宋_GB2312" w:hAnsi="Times New Roman" w:eastAsia="仿宋_GB2312" w:cs="Times New Roman"/>
                <w:color w:val="auto"/>
                <w:kern w:val="2"/>
                <w:sz w:val="28"/>
                <w:szCs w:val="28"/>
                <w:lang w:val="en-US" w:eastAsia="zh-CN" w:bidi="ar-SA"/>
              </w:rPr>
            </w:pPr>
          </w:p>
        </w:tc>
        <w:tc>
          <w:tcPr>
            <w:tcW w:w="922" w:type="dxa"/>
            <w:gridSpan w:val="2"/>
            <w:tcBorders>
              <w:top w:val="nil"/>
              <w:left w:val="nil"/>
              <w:bottom w:val="nil"/>
              <w:right w:val="nil"/>
            </w:tcBorders>
            <w:vAlign w:val="bottom"/>
          </w:tcPr>
          <w:p w14:paraId="10A5963D">
            <w:pPr>
              <w:widowControl w:val="0"/>
              <w:adjustRightInd w:val="0"/>
              <w:snapToGrid w:val="0"/>
              <w:spacing w:line="360" w:lineRule="auto"/>
              <w:ind w:left="0" w:leftChars="0" w:firstLine="0" w:firstLineChars="0"/>
              <w:jc w:val="both"/>
              <w:rPr>
                <w:rFonts w:ascii="仿宋_GB2312" w:hAnsi="Times New Roman" w:eastAsia="仿宋_GB2312" w:cs="Times New Roman"/>
                <w:color w:val="auto"/>
                <w:kern w:val="2"/>
                <w:sz w:val="28"/>
                <w:szCs w:val="28"/>
                <w:lang w:val="en-US" w:eastAsia="zh-CN" w:bidi="ar-SA"/>
              </w:rPr>
            </w:pPr>
            <w:r>
              <w:rPr>
                <w:rFonts w:hint="eastAsia" w:ascii="仿宋_GB2312" w:hAnsi="Times New Roman" w:eastAsia="仿宋_GB2312" w:cs="Times New Roman"/>
                <w:color w:val="auto"/>
                <w:kern w:val="2"/>
                <w:sz w:val="28"/>
                <w:szCs w:val="28"/>
                <w:lang w:val="en-US" w:eastAsia="zh-CN" w:bidi="ar-SA"/>
              </w:rPr>
              <w:t>密 级</w:t>
            </w:r>
          </w:p>
        </w:tc>
        <w:tc>
          <w:tcPr>
            <w:tcW w:w="1332" w:type="dxa"/>
            <w:tcBorders>
              <w:top w:val="nil"/>
              <w:left w:val="nil"/>
              <w:bottom w:val="dashSmallGap" w:color="auto" w:sz="4" w:space="0"/>
              <w:right w:val="nil"/>
            </w:tcBorders>
            <w:vAlign w:val="bottom"/>
          </w:tcPr>
          <w:p w14:paraId="13B036D7">
            <w:pPr>
              <w:widowControl w:val="0"/>
              <w:adjustRightInd w:val="0"/>
              <w:snapToGrid w:val="0"/>
              <w:spacing w:line="360" w:lineRule="auto"/>
              <w:ind w:firstLine="560" w:firstLineChars="200"/>
              <w:jc w:val="both"/>
              <w:rPr>
                <w:rFonts w:ascii="仿宋_GB2312" w:hAnsi="Times New Roman" w:eastAsia="仿宋_GB2312" w:cs="Times New Roman"/>
                <w:color w:val="auto"/>
                <w:kern w:val="2"/>
                <w:sz w:val="28"/>
                <w:szCs w:val="28"/>
                <w:lang w:val="en-US" w:eastAsia="zh-CN" w:bidi="ar-SA"/>
              </w:rPr>
            </w:pPr>
          </w:p>
        </w:tc>
      </w:tr>
      <w:tr w14:paraId="7D93A555">
        <w:trPr>
          <w:cantSplit/>
          <w:trHeight w:val="532" w:hRule="atLeast"/>
          <w:jc w:val="center"/>
        </w:trPr>
        <w:tc>
          <w:tcPr>
            <w:tcW w:w="1129" w:type="dxa"/>
            <w:tcBorders>
              <w:top w:val="nil"/>
              <w:left w:val="nil"/>
              <w:bottom w:val="nil"/>
              <w:right w:val="nil"/>
            </w:tcBorders>
            <w:vAlign w:val="bottom"/>
          </w:tcPr>
          <w:p w14:paraId="6B77B0DB">
            <w:pPr>
              <w:widowControl w:val="0"/>
              <w:adjustRightInd w:val="0"/>
              <w:snapToGrid w:val="0"/>
              <w:spacing w:line="360" w:lineRule="auto"/>
              <w:ind w:left="0" w:leftChars="0" w:firstLine="0" w:firstLineChars="0"/>
              <w:jc w:val="both"/>
              <w:rPr>
                <w:rFonts w:ascii="仿宋_GB2312" w:hAnsi="Times New Roman" w:eastAsia="仿宋_GB2312" w:cs="Times New Roman"/>
                <w:color w:val="auto"/>
                <w:kern w:val="2"/>
                <w:sz w:val="28"/>
                <w:szCs w:val="28"/>
                <w:lang w:val="en-US" w:eastAsia="zh-CN" w:bidi="ar-SA"/>
              </w:rPr>
            </w:pPr>
            <w:r>
              <w:rPr>
                <w:rFonts w:hint="eastAsia" w:ascii="仿宋_GB2312" w:hAnsi="Times New Roman" w:eastAsia="仿宋_GB2312" w:cs="Times New Roman"/>
                <w:color w:val="auto"/>
                <w:kern w:val="2"/>
                <w:sz w:val="28"/>
                <w:szCs w:val="28"/>
                <w:lang w:val="en-US" w:eastAsia="zh-CN" w:bidi="ar-SA"/>
              </w:rPr>
              <w:t>U D C</w:t>
            </w:r>
          </w:p>
        </w:tc>
        <w:tc>
          <w:tcPr>
            <w:tcW w:w="1332" w:type="dxa"/>
            <w:gridSpan w:val="2"/>
            <w:tcBorders>
              <w:top w:val="dashSmallGap" w:color="auto" w:sz="4" w:space="0"/>
              <w:left w:val="nil"/>
              <w:bottom w:val="dashSmallGap" w:color="auto" w:sz="4" w:space="0"/>
              <w:right w:val="nil"/>
            </w:tcBorders>
            <w:vAlign w:val="bottom"/>
          </w:tcPr>
          <w:p w14:paraId="16C5580A">
            <w:pPr>
              <w:widowControl w:val="0"/>
              <w:adjustRightInd w:val="0"/>
              <w:snapToGrid w:val="0"/>
              <w:spacing w:line="360" w:lineRule="auto"/>
              <w:ind w:firstLine="560" w:firstLineChars="200"/>
              <w:jc w:val="both"/>
              <w:rPr>
                <w:rFonts w:ascii="仿宋_GB2312" w:hAnsi="Times New Roman" w:eastAsia="仿宋_GB2312" w:cs="Times New Roman"/>
                <w:color w:val="auto"/>
                <w:kern w:val="2"/>
                <w:sz w:val="28"/>
                <w:szCs w:val="28"/>
                <w:lang w:val="en-US" w:eastAsia="zh-CN" w:bidi="ar-SA"/>
              </w:rPr>
            </w:pPr>
          </w:p>
        </w:tc>
        <w:tc>
          <w:tcPr>
            <w:tcW w:w="4203" w:type="dxa"/>
            <w:gridSpan w:val="3"/>
            <w:tcBorders>
              <w:top w:val="nil"/>
              <w:left w:val="nil"/>
              <w:bottom w:val="nil"/>
              <w:right w:val="nil"/>
            </w:tcBorders>
            <w:vAlign w:val="bottom"/>
          </w:tcPr>
          <w:p w14:paraId="1A99B02B">
            <w:pPr>
              <w:widowControl w:val="0"/>
              <w:adjustRightInd w:val="0"/>
              <w:snapToGrid w:val="0"/>
              <w:spacing w:line="360" w:lineRule="auto"/>
              <w:ind w:firstLine="560" w:firstLineChars="200"/>
              <w:jc w:val="both"/>
              <w:rPr>
                <w:rFonts w:ascii="仿宋_GB2312" w:hAnsi="Times New Roman" w:eastAsia="仿宋_GB2312" w:cs="Times New Roman"/>
                <w:color w:val="auto"/>
                <w:kern w:val="2"/>
                <w:sz w:val="28"/>
                <w:szCs w:val="28"/>
                <w:lang w:val="en-US" w:eastAsia="zh-CN" w:bidi="ar-SA"/>
              </w:rPr>
            </w:pPr>
          </w:p>
        </w:tc>
        <w:tc>
          <w:tcPr>
            <w:tcW w:w="922" w:type="dxa"/>
            <w:gridSpan w:val="2"/>
            <w:tcBorders>
              <w:top w:val="nil"/>
              <w:left w:val="nil"/>
              <w:bottom w:val="nil"/>
              <w:right w:val="nil"/>
            </w:tcBorders>
            <w:vAlign w:val="bottom"/>
          </w:tcPr>
          <w:p w14:paraId="21709F76">
            <w:pPr>
              <w:widowControl w:val="0"/>
              <w:adjustRightInd w:val="0"/>
              <w:snapToGrid w:val="0"/>
              <w:spacing w:line="360" w:lineRule="auto"/>
              <w:ind w:left="0" w:leftChars="0" w:firstLine="0" w:firstLineChars="0"/>
              <w:jc w:val="both"/>
              <w:rPr>
                <w:rFonts w:ascii="仿宋_GB2312" w:hAnsi="Times New Roman" w:eastAsia="仿宋_GB2312" w:cs="Times New Roman"/>
                <w:color w:val="auto"/>
                <w:kern w:val="2"/>
                <w:sz w:val="28"/>
                <w:szCs w:val="28"/>
                <w:lang w:val="en-US" w:eastAsia="zh-CN" w:bidi="ar-SA"/>
              </w:rPr>
            </w:pPr>
            <w:r>
              <w:rPr>
                <w:rFonts w:hint="eastAsia" w:ascii="仿宋_GB2312" w:hAnsi="Times New Roman" w:eastAsia="仿宋_GB2312" w:cs="Times New Roman"/>
                <w:color w:val="auto"/>
                <w:kern w:val="2"/>
                <w:sz w:val="28"/>
                <w:szCs w:val="28"/>
                <w:lang w:val="en-US" w:eastAsia="zh-CN" w:bidi="ar-SA"/>
              </w:rPr>
              <w:t>编 号</w:t>
            </w:r>
          </w:p>
        </w:tc>
        <w:tc>
          <w:tcPr>
            <w:tcW w:w="1332" w:type="dxa"/>
            <w:tcBorders>
              <w:top w:val="dashSmallGap" w:color="auto" w:sz="4" w:space="0"/>
              <w:left w:val="nil"/>
              <w:bottom w:val="dashSmallGap" w:color="auto" w:sz="4" w:space="0"/>
              <w:right w:val="nil"/>
            </w:tcBorders>
            <w:vAlign w:val="bottom"/>
          </w:tcPr>
          <w:p w14:paraId="6007634F">
            <w:pPr>
              <w:widowControl w:val="0"/>
              <w:adjustRightInd w:val="0"/>
              <w:snapToGrid w:val="0"/>
              <w:spacing w:line="360" w:lineRule="auto"/>
              <w:ind w:firstLine="560" w:firstLineChars="200"/>
              <w:jc w:val="both"/>
              <w:rPr>
                <w:rFonts w:hint="default" w:ascii="仿宋_GB2312" w:hAnsi="Times New Roman" w:eastAsia="仿宋_GB2312" w:cs="Times New Roman"/>
                <w:color w:val="auto"/>
                <w:kern w:val="2"/>
                <w:sz w:val="28"/>
                <w:szCs w:val="28"/>
                <w:lang w:val="en-US" w:eastAsia="zh-CN" w:bidi="ar-SA"/>
              </w:rPr>
            </w:pPr>
          </w:p>
        </w:tc>
      </w:tr>
      <w:tr w14:paraId="6EAFF35F">
        <w:trPr>
          <w:trHeight w:val="2474" w:hRule="atLeast"/>
          <w:jc w:val="center"/>
        </w:trPr>
        <w:tc>
          <w:tcPr>
            <w:tcW w:w="8918" w:type="dxa"/>
            <w:gridSpan w:val="9"/>
            <w:tcBorders>
              <w:top w:val="nil"/>
              <w:left w:val="nil"/>
              <w:bottom w:val="nil"/>
              <w:right w:val="nil"/>
            </w:tcBorders>
          </w:tcPr>
          <w:p w14:paraId="58E36121">
            <w:pPr>
              <w:widowControl w:val="0"/>
              <w:adjustRightInd w:val="0"/>
              <w:snapToGrid w:val="0"/>
              <w:spacing w:line="360" w:lineRule="auto"/>
              <w:ind w:firstLine="880" w:firstLineChars="200"/>
              <w:jc w:val="both"/>
              <w:rPr>
                <w:rFonts w:ascii="仿宋_GB2312" w:hAnsi="Times New Roman" w:eastAsia="仿宋_GB2312" w:cs="Times New Roman"/>
                <w:color w:val="auto"/>
                <w:kern w:val="2"/>
                <w:sz w:val="44"/>
                <w:szCs w:val="28"/>
                <w:lang w:val="en-US" w:eastAsia="zh-CN" w:bidi="ar-SA"/>
              </w:rPr>
            </w:pPr>
            <w:r>
              <w:rPr>
                <w:rFonts w:hint="eastAsia" w:ascii="仿宋_GB2312" w:hAnsi="Times New Roman" w:eastAsia="宋体" w:cs="Times New Roman"/>
                <w:color w:val="auto"/>
                <w:kern w:val="2"/>
                <w:sz w:val="44"/>
                <w:szCs w:val="28"/>
                <w:lang w:val="en-US" w:eastAsia="zh-CN" w:bidi="ar-SA"/>
              </w:rPr>
              <w:drawing>
                <wp:anchor distT="0" distB="0" distL="114300" distR="114300" simplePos="0" relativeHeight="251659264" behindDoc="0" locked="0" layoutInCell="1" allowOverlap="1">
                  <wp:simplePos x="0" y="0"/>
                  <wp:positionH relativeFrom="column">
                    <wp:posOffset>674370</wp:posOffset>
                  </wp:positionH>
                  <wp:positionV relativeFrom="paragraph">
                    <wp:posOffset>65405</wp:posOffset>
                  </wp:positionV>
                  <wp:extent cx="4199890" cy="1118870"/>
                  <wp:effectExtent l="0" t="0" r="16510" b="2413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8"/>
                          <a:srcRect t="18409" b="14924"/>
                          <a:stretch>
                            <a:fillRect/>
                          </a:stretch>
                        </pic:blipFill>
                        <pic:spPr>
                          <a:xfrm>
                            <a:off x="0" y="0"/>
                            <a:ext cx="4199890" cy="1118870"/>
                          </a:xfrm>
                          <a:prstGeom prst="rect">
                            <a:avLst/>
                          </a:prstGeom>
                        </pic:spPr>
                      </pic:pic>
                    </a:graphicData>
                  </a:graphic>
                </wp:anchor>
              </w:drawing>
            </w:r>
          </w:p>
          <w:p w14:paraId="1A8876F0">
            <w:pPr>
              <w:widowControl w:val="0"/>
              <w:adjustRightInd w:val="0"/>
              <w:snapToGrid w:val="0"/>
              <w:spacing w:line="360" w:lineRule="auto"/>
              <w:ind w:firstLine="880" w:firstLineChars="200"/>
              <w:jc w:val="center"/>
              <w:rPr>
                <w:rFonts w:hint="default" w:ascii="仿宋_GB2312" w:hAnsi="Times New Roman" w:eastAsia="仿宋_GB2312" w:cs="Times New Roman"/>
                <w:color w:val="auto"/>
                <w:kern w:val="2"/>
                <w:sz w:val="44"/>
                <w:szCs w:val="28"/>
                <w:lang w:val="en-US" w:eastAsia="zh-CN" w:bidi="ar-SA"/>
              </w:rPr>
            </w:pPr>
          </w:p>
          <w:p w14:paraId="4F7615DC">
            <w:pPr>
              <w:widowControl w:val="0"/>
              <w:adjustRightInd w:val="0"/>
              <w:snapToGrid w:val="0"/>
              <w:spacing w:line="360" w:lineRule="auto"/>
              <w:ind w:firstLine="880" w:firstLineChars="200"/>
              <w:jc w:val="center"/>
              <w:rPr>
                <w:rFonts w:hint="default" w:ascii="仿宋_GB2312" w:hAnsi="Times New Roman" w:eastAsia="仿宋_GB2312" w:cs="Times New Roman"/>
                <w:color w:val="auto"/>
                <w:kern w:val="2"/>
                <w:sz w:val="44"/>
                <w:szCs w:val="28"/>
                <w:lang w:val="en-US" w:eastAsia="zh-CN" w:bidi="ar-SA"/>
              </w:rPr>
            </w:pPr>
          </w:p>
        </w:tc>
      </w:tr>
      <w:tr w14:paraId="7B95C354">
        <w:trPr>
          <w:trHeight w:val="2536" w:hRule="atLeast"/>
          <w:jc w:val="center"/>
        </w:trPr>
        <w:tc>
          <w:tcPr>
            <w:tcW w:w="8918" w:type="dxa"/>
            <w:gridSpan w:val="9"/>
            <w:tcBorders>
              <w:top w:val="nil"/>
              <w:left w:val="nil"/>
              <w:bottom w:val="nil"/>
              <w:right w:val="nil"/>
            </w:tcBorders>
          </w:tcPr>
          <w:p w14:paraId="4254E20B">
            <w:pPr>
              <w:widowControl w:val="0"/>
              <w:adjustRightInd w:val="0"/>
              <w:snapToGrid w:val="0"/>
              <w:spacing w:before="240" w:line="360" w:lineRule="auto"/>
              <w:ind w:firstLine="721" w:firstLineChars="200"/>
              <w:jc w:val="center"/>
              <w:rPr>
                <w:rFonts w:hint="eastAsia" w:ascii="微软雅黑" w:hAnsi="微软雅黑" w:eastAsia="微软雅黑" w:cs="微软雅黑"/>
                <w:b/>
                <w:color w:val="auto"/>
                <w:kern w:val="2"/>
                <w:sz w:val="36"/>
                <w:szCs w:val="36"/>
                <w:lang w:val="en-US" w:eastAsia="zh-CN" w:bidi="ar-SA"/>
              </w:rPr>
            </w:pPr>
            <w:r>
              <w:rPr>
                <w:rFonts w:hint="eastAsia" w:ascii="微软雅黑" w:hAnsi="微软雅黑" w:eastAsia="微软雅黑" w:cs="微软雅黑"/>
                <w:b/>
                <w:color w:val="auto"/>
                <w:kern w:val="2"/>
                <w:sz w:val="36"/>
                <w:szCs w:val="36"/>
                <w:lang w:val="en-US" w:eastAsia="zh-CN" w:bidi="ar-SA"/>
              </w:rPr>
              <w:t>浙江省宗教界“双通”人才研修班</w:t>
            </w:r>
          </w:p>
          <w:p w14:paraId="1794C3BF">
            <w:pPr>
              <w:widowControl w:val="0"/>
              <w:adjustRightInd w:val="0"/>
              <w:snapToGrid w:val="0"/>
              <w:spacing w:before="240" w:line="360" w:lineRule="auto"/>
              <w:ind w:firstLine="961" w:firstLineChars="200"/>
              <w:jc w:val="center"/>
              <w:rPr>
                <w:rFonts w:hint="default" w:ascii="Times New Roman" w:hAnsi="Times New Roman" w:eastAsia="宋体" w:cs="Times New Roman"/>
                <w:b/>
                <w:color w:val="auto"/>
                <w:kern w:val="2"/>
                <w:sz w:val="44"/>
                <w:szCs w:val="44"/>
                <w:lang w:val="en-US" w:eastAsia="zh-CN" w:bidi="ar-SA"/>
              </w:rPr>
            </w:pPr>
            <w:r>
              <w:rPr>
                <w:rFonts w:hint="eastAsia" w:ascii="微软雅黑" w:hAnsi="微软雅黑" w:eastAsia="微软雅黑" w:cs="微软雅黑"/>
                <w:b/>
                <w:color w:val="auto"/>
                <w:kern w:val="2"/>
                <w:sz w:val="48"/>
                <w:szCs w:val="48"/>
                <w:lang w:val="en-US" w:eastAsia="zh-CN" w:bidi="ar-SA"/>
              </w:rPr>
              <w:t>毕业论文</w:t>
            </w:r>
          </w:p>
        </w:tc>
      </w:tr>
      <w:tr w14:paraId="7771A783">
        <w:trPr>
          <w:trHeight w:val="1968" w:hRule="atLeast"/>
          <w:jc w:val="center"/>
        </w:trPr>
        <w:tc>
          <w:tcPr>
            <w:tcW w:w="8918" w:type="dxa"/>
            <w:gridSpan w:val="9"/>
            <w:tcBorders>
              <w:top w:val="nil"/>
              <w:left w:val="nil"/>
              <w:bottom w:val="nil"/>
              <w:right w:val="nil"/>
            </w:tcBorders>
          </w:tcPr>
          <w:p w14:paraId="0D87813B">
            <w:pPr>
              <w:widowControl w:val="0"/>
              <w:adjustRightInd w:val="0"/>
              <w:snapToGrid w:val="0"/>
              <w:spacing w:before="0" w:after="0"/>
              <w:ind w:firstLine="641" w:firstLineChars="200"/>
              <w:jc w:val="center"/>
              <w:rPr>
                <w:rFonts w:hint="eastAsia" w:ascii="黑体" w:hAnsi="黑体" w:eastAsia="黑体" w:cs="黑体"/>
                <w:b/>
                <w:bCs/>
                <w:color w:val="auto"/>
                <w:kern w:val="2"/>
                <w:sz w:val="32"/>
                <w:szCs w:val="32"/>
                <w:lang w:eastAsia="zh-CN"/>
              </w:rPr>
            </w:pPr>
          </w:p>
          <w:p w14:paraId="5A86C0A0">
            <w:pPr>
              <w:widowControl w:val="0"/>
              <w:adjustRightInd w:val="0"/>
              <w:snapToGrid w:val="0"/>
              <w:spacing w:before="0" w:after="0"/>
              <w:ind w:firstLine="641" w:firstLineChars="200"/>
              <w:jc w:val="center"/>
              <w:rPr>
                <w:rFonts w:hint="eastAsia" w:ascii="Times New Roman" w:hAnsi="Times New Roman" w:eastAsia="宋体" w:cs="Times New Roman"/>
                <w:color w:val="auto"/>
                <w:kern w:val="2"/>
                <w:sz w:val="44"/>
                <w:szCs w:val="24"/>
                <w:lang w:eastAsia="zh-CN"/>
              </w:rPr>
            </w:pPr>
            <w:r>
              <w:rPr>
                <w:rFonts w:hint="eastAsia" w:ascii="黑体" w:hAnsi="黑体" w:eastAsia="黑体" w:cs="黑体"/>
                <w:b/>
                <w:bCs/>
                <w:color w:val="auto"/>
                <w:kern w:val="2"/>
                <w:sz w:val="32"/>
                <w:szCs w:val="32"/>
                <w:lang w:eastAsia="zh-CN"/>
              </w:rPr>
              <w:t>杜光庭文化实践中的文学书写、科仪整合与思想阐释及其当代回响</w:t>
            </w:r>
          </w:p>
        </w:tc>
      </w:tr>
      <w:tr w14:paraId="791BFC4E">
        <w:trPr>
          <w:trHeight w:val="377" w:hRule="atLeast"/>
          <w:jc w:val="center"/>
        </w:trPr>
        <w:tc>
          <w:tcPr>
            <w:tcW w:w="8918" w:type="dxa"/>
            <w:gridSpan w:val="9"/>
            <w:tcBorders>
              <w:top w:val="nil"/>
              <w:left w:val="nil"/>
              <w:bottom w:val="nil"/>
              <w:right w:val="nil"/>
            </w:tcBorders>
          </w:tcPr>
          <w:p w14:paraId="00FD08FA">
            <w:pPr>
              <w:keepNext w:val="0"/>
              <w:keepLines w:val="0"/>
              <w:widowControl/>
              <w:suppressLineNumbers w:val="0"/>
              <w:pBdr>
                <w:top w:val="none" w:color="auto" w:sz="0" w:space="0"/>
                <w:left w:val="none" w:color="auto" w:sz="0" w:space="0"/>
                <w:bottom w:val="none" w:color="auto" w:sz="0" w:space="0"/>
                <w:right w:val="none" w:color="auto" w:sz="0" w:space="0"/>
              </w:pBdr>
              <w:adjustRightInd w:val="0"/>
              <w:snapToGrid w:val="0"/>
              <w:spacing w:before="0" w:beforeAutospacing="0" w:after="0" w:afterAutospacing="0" w:line="260" w:lineRule="atLeast"/>
              <w:ind w:left="0" w:right="0" w:firstLine="480" w:firstLineChars="200"/>
              <w:jc w:val="both"/>
              <w:rPr>
                <w:rFonts w:ascii="Times New Roman" w:hAnsi="Times New Roman" w:eastAsia="宋体" w:cs="Times New Roman"/>
                <w:color w:val="auto"/>
                <w:kern w:val="0"/>
                <w:sz w:val="24"/>
                <w:szCs w:val="24"/>
                <w:lang w:val="en-US" w:eastAsia="zh-CN" w:bidi="ar-SA"/>
              </w:rPr>
            </w:pPr>
          </w:p>
        </w:tc>
      </w:tr>
      <w:tr w14:paraId="05975F8B">
        <w:trPr>
          <w:cantSplit/>
          <w:trHeight w:val="671" w:hRule="atLeast"/>
          <w:jc w:val="center"/>
        </w:trPr>
        <w:tc>
          <w:tcPr>
            <w:tcW w:w="1210" w:type="dxa"/>
            <w:gridSpan w:val="2"/>
            <w:vMerge w:val="restart"/>
            <w:tcBorders>
              <w:top w:val="nil"/>
              <w:left w:val="nil"/>
              <w:bottom w:val="nil"/>
              <w:right w:val="nil"/>
            </w:tcBorders>
            <w:vAlign w:val="center"/>
          </w:tcPr>
          <w:p w14:paraId="6B0510F7">
            <w:pPr>
              <w:widowControl w:val="0"/>
              <w:adjustRightInd w:val="0"/>
              <w:snapToGrid w:val="0"/>
              <w:spacing w:before="0" w:after="0"/>
              <w:ind w:firstLine="1040" w:firstLineChars="200"/>
              <w:jc w:val="both"/>
              <w:rPr>
                <w:rFonts w:hint="eastAsia" w:ascii="Times New Roman" w:hAnsi="Times New Roman" w:eastAsia="楷体_GB2312" w:cs="Times New Roman"/>
                <w:color w:val="auto"/>
                <w:kern w:val="2"/>
                <w:sz w:val="52"/>
                <w:szCs w:val="24"/>
                <w:lang w:eastAsia="zh-CN"/>
              </w:rPr>
            </w:pPr>
          </w:p>
        </w:tc>
        <w:tc>
          <w:tcPr>
            <w:tcW w:w="3352" w:type="dxa"/>
            <w:gridSpan w:val="2"/>
            <w:tcBorders>
              <w:top w:val="nil"/>
              <w:left w:val="nil"/>
              <w:bottom w:val="nil"/>
              <w:right w:val="nil"/>
            </w:tcBorders>
            <w:vAlign w:val="center"/>
          </w:tcPr>
          <w:p w14:paraId="3562A6D9">
            <w:pPr>
              <w:widowControl w:val="0"/>
              <w:adjustRightInd w:val="0"/>
              <w:snapToGrid w:val="0"/>
              <w:spacing w:line="360" w:lineRule="auto"/>
              <w:ind w:firstLine="280" w:firstLineChars="1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作   者   姓    名：</w:t>
            </w:r>
          </w:p>
        </w:tc>
        <w:tc>
          <w:tcPr>
            <w:tcW w:w="302" w:type="dxa"/>
            <w:tcBorders>
              <w:top w:val="nil"/>
              <w:left w:val="nil"/>
              <w:bottom w:val="nil"/>
              <w:right w:val="nil"/>
            </w:tcBorders>
            <w:vAlign w:val="center"/>
          </w:tcPr>
          <w:p w14:paraId="3C7AF642">
            <w:pPr>
              <w:widowControl w:val="0"/>
              <w:adjustRightInd w:val="0"/>
              <w:snapToGrid w:val="0"/>
              <w:spacing w:line="360" w:lineRule="auto"/>
              <w:ind w:firstLine="1962" w:firstLineChars="7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w:t>
            </w:r>
          </w:p>
        </w:tc>
        <w:tc>
          <w:tcPr>
            <w:tcW w:w="2575" w:type="dxa"/>
            <w:gridSpan w:val="2"/>
            <w:tcBorders>
              <w:top w:val="nil"/>
              <w:left w:val="nil"/>
              <w:bottom w:val="nil"/>
              <w:right w:val="nil"/>
            </w:tcBorders>
            <w:vAlign w:val="center"/>
          </w:tcPr>
          <w:p w14:paraId="08001FC8">
            <w:pPr>
              <w:widowControl w:val="0"/>
              <w:adjustRightInd w:val="0"/>
              <w:snapToGrid w:val="0"/>
              <w:spacing w:line="360" w:lineRule="auto"/>
              <w:ind w:firstLine="0" w:firstLineChars="0"/>
              <w:jc w:val="center"/>
              <w:rPr>
                <w:rFonts w:hint="default" w:ascii="Times New Roman" w:hAnsi="Times New Roman" w:eastAsia="宋体" w:cs="Times New Roman"/>
                <w:b/>
                <w:bCs/>
                <w:color w:val="auto"/>
                <w:spacing w:val="20"/>
                <w:kern w:val="2"/>
                <w:sz w:val="28"/>
                <w:szCs w:val="28"/>
                <w:lang w:val="en-US" w:eastAsia="zh-CN" w:bidi="ar-SA"/>
              </w:rPr>
            </w:pPr>
            <w:r>
              <w:rPr>
                <w:rFonts w:hint="eastAsia" w:ascii="Times New Roman" w:hAnsi="Times New Roman" w:eastAsia="宋体" w:cs="Times New Roman"/>
                <w:b/>
                <w:bCs/>
                <w:color w:val="auto"/>
                <w:spacing w:val="20"/>
                <w:kern w:val="2"/>
                <w:sz w:val="28"/>
                <w:szCs w:val="28"/>
                <w:lang w:val="en-US" w:eastAsia="zh-CN" w:bidi="ar-SA"/>
              </w:rPr>
              <w:t>单玄易</w:t>
            </w:r>
          </w:p>
        </w:tc>
        <w:tc>
          <w:tcPr>
            <w:tcW w:w="1479" w:type="dxa"/>
            <w:gridSpan w:val="2"/>
            <w:vMerge w:val="restart"/>
            <w:tcBorders>
              <w:top w:val="nil"/>
              <w:left w:val="nil"/>
              <w:bottom w:val="nil"/>
              <w:right w:val="nil"/>
            </w:tcBorders>
            <w:vAlign w:val="center"/>
          </w:tcPr>
          <w:p w14:paraId="5C4EA1DA">
            <w:pPr>
              <w:widowControl w:val="0"/>
              <w:adjustRightInd w:val="0"/>
              <w:snapToGrid w:val="0"/>
              <w:spacing w:before="0" w:after="0"/>
              <w:ind w:firstLine="1040" w:firstLineChars="200"/>
              <w:jc w:val="both"/>
              <w:rPr>
                <w:rFonts w:hint="eastAsia" w:ascii="Times New Roman" w:hAnsi="Times New Roman" w:eastAsia="楷体_GB2312" w:cs="Times New Roman"/>
                <w:color w:val="auto"/>
                <w:kern w:val="2"/>
                <w:sz w:val="52"/>
                <w:szCs w:val="24"/>
                <w:lang w:eastAsia="zh-CN"/>
              </w:rPr>
            </w:pPr>
          </w:p>
          <w:p w14:paraId="17566FBF">
            <w:pPr>
              <w:widowControl w:val="0"/>
              <w:adjustRightInd w:val="0"/>
              <w:snapToGrid w:val="0"/>
              <w:spacing w:before="0" w:after="0"/>
              <w:ind w:firstLine="1040" w:firstLineChars="200"/>
              <w:jc w:val="both"/>
              <w:rPr>
                <w:rFonts w:hint="eastAsia" w:ascii="Times New Roman" w:hAnsi="Times New Roman" w:eastAsia="楷体_GB2312" w:cs="Times New Roman"/>
                <w:color w:val="auto"/>
                <w:kern w:val="2"/>
                <w:sz w:val="52"/>
                <w:szCs w:val="24"/>
                <w:lang w:eastAsia="zh-CN"/>
              </w:rPr>
            </w:pPr>
          </w:p>
          <w:p w14:paraId="703F93C1">
            <w:pPr>
              <w:widowControl w:val="0"/>
              <w:adjustRightInd w:val="0"/>
              <w:snapToGrid w:val="0"/>
              <w:spacing w:before="0" w:after="0"/>
              <w:ind w:firstLine="1040" w:firstLineChars="200"/>
              <w:jc w:val="both"/>
              <w:rPr>
                <w:rFonts w:hint="eastAsia" w:ascii="Times New Roman" w:hAnsi="Times New Roman" w:eastAsia="楷体_GB2312" w:cs="Times New Roman"/>
                <w:color w:val="auto"/>
                <w:kern w:val="2"/>
                <w:sz w:val="52"/>
                <w:szCs w:val="24"/>
                <w:lang w:eastAsia="zh-CN"/>
              </w:rPr>
            </w:pPr>
          </w:p>
        </w:tc>
      </w:tr>
      <w:tr w14:paraId="45DDA39F">
        <w:trPr>
          <w:cantSplit/>
          <w:trHeight w:val="728" w:hRule="atLeast"/>
          <w:jc w:val="center"/>
        </w:trPr>
        <w:tc>
          <w:tcPr>
            <w:tcW w:w="1210" w:type="dxa"/>
            <w:gridSpan w:val="2"/>
            <w:vMerge w:val="continue"/>
            <w:tcBorders>
              <w:top w:val="nil"/>
              <w:left w:val="nil"/>
              <w:bottom w:val="nil"/>
              <w:right w:val="nil"/>
            </w:tcBorders>
            <w:vAlign w:val="center"/>
          </w:tcPr>
          <w:p w14:paraId="25B17C79">
            <w:pPr>
              <w:widowControl/>
              <w:adjustRightInd w:val="0"/>
              <w:snapToGrid w:val="0"/>
              <w:spacing w:before="0" w:after="0"/>
              <w:ind w:firstLine="1040" w:firstLineChars="200"/>
              <w:jc w:val="left"/>
              <w:rPr>
                <w:rFonts w:ascii="Times New Roman" w:hAnsi="Times New Roman" w:eastAsia="楷体_GB2312" w:cs="Times New Roman"/>
                <w:color w:val="auto"/>
                <w:kern w:val="2"/>
                <w:sz w:val="52"/>
                <w:szCs w:val="24"/>
                <w:lang w:eastAsia="zh-CN"/>
              </w:rPr>
            </w:pPr>
          </w:p>
        </w:tc>
        <w:tc>
          <w:tcPr>
            <w:tcW w:w="3352" w:type="dxa"/>
            <w:gridSpan w:val="2"/>
            <w:tcBorders>
              <w:top w:val="nil"/>
              <w:left w:val="nil"/>
              <w:bottom w:val="nil"/>
              <w:right w:val="nil"/>
            </w:tcBorders>
            <w:vAlign w:val="center"/>
          </w:tcPr>
          <w:p w14:paraId="5E805771">
            <w:pPr>
              <w:widowControl w:val="0"/>
              <w:adjustRightInd w:val="0"/>
              <w:snapToGrid w:val="0"/>
              <w:spacing w:line="360" w:lineRule="auto"/>
              <w:ind w:firstLine="280" w:firstLineChars="1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 xml:space="preserve">学            </w:t>
            </w:r>
            <w:r>
              <w:rPr>
                <w:rFonts w:ascii="Times New Roman" w:hAnsi="Times New Roman" w:eastAsia="宋体" w:cs="Times New Roman"/>
                <w:b/>
                <w:bCs/>
                <w:color w:val="auto"/>
                <w:kern w:val="2"/>
                <w:sz w:val="28"/>
                <w:szCs w:val="28"/>
                <w:lang w:val="en-US" w:eastAsia="zh-CN" w:bidi="ar-SA"/>
              </w:rPr>
              <w:t xml:space="preserve"> </w:t>
            </w:r>
            <w:r>
              <w:rPr>
                <w:rFonts w:hint="eastAsia" w:ascii="Times New Roman" w:hAnsi="Times New Roman" w:eastAsia="宋体" w:cs="Times New Roman"/>
                <w:b/>
                <w:bCs/>
                <w:color w:val="auto"/>
                <w:kern w:val="2"/>
                <w:sz w:val="28"/>
                <w:szCs w:val="28"/>
                <w:lang w:val="en-US" w:eastAsia="zh-CN" w:bidi="ar-SA"/>
              </w:rPr>
              <w:t xml:space="preserve"> 号：</w:t>
            </w:r>
          </w:p>
        </w:tc>
        <w:tc>
          <w:tcPr>
            <w:tcW w:w="302" w:type="dxa"/>
            <w:tcBorders>
              <w:top w:val="nil"/>
              <w:left w:val="nil"/>
              <w:bottom w:val="nil"/>
              <w:right w:val="nil"/>
            </w:tcBorders>
            <w:vAlign w:val="center"/>
          </w:tcPr>
          <w:p w14:paraId="5F32502F">
            <w:pPr>
              <w:widowControl w:val="0"/>
              <w:adjustRightInd w:val="0"/>
              <w:snapToGrid w:val="0"/>
              <w:spacing w:line="360" w:lineRule="auto"/>
              <w:ind w:firstLine="1962" w:firstLineChars="7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w:t>
            </w:r>
          </w:p>
        </w:tc>
        <w:tc>
          <w:tcPr>
            <w:tcW w:w="2575" w:type="dxa"/>
            <w:gridSpan w:val="2"/>
            <w:tcBorders>
              <w:top w:val="nil"/>
              <w:left w:val="nil"/>
              <w:bottom w:val="nil"/>
              <w:right w:val="nil"/>
            </w:tcBorders>
            <w:vAlign w:val="center"/>
          </w:tcPr>
          <w:p w14:paraId="670A1B2D">
            <w:pPr>
              <w:widowControl w:val="0"/>
              <w:adjustRightInd w:val="0"/>
              <w:snapToGrid w:val="0"/>
              <w:spacing w:line="36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XXX</w:t>
            </w:r>
          </w:p>
        </w:tc>
        <w:tc>
          <w:tcPr>
            <w:tcW w:w="1479" w:type="dxa"/>
            <w:gridSpan w:val="2"/>
            <w:vMerge w:val="continue"/>
            <w:tcBorders>
              <w:top w:val="nil"/>
              <w:left w:val="nil"/>
              <w:bottom w:val="nil"/>
              <w:right w:val="nil"/>
            </w:tcBorders>
            <w:vAlign w:val="center"/>
          </w:tcPr>
          <w:p w14:paraId="6E955D27">
            <w:pPr>
              <w:widowControl/>
              <w:adjustRightInd w:val="0"/>
              <w:snapToGrid w:val="0"/>
              <w:spacing w:before="0" w:after="0"/>
              <w:ind w:firstLine="1040" w:firstLineChars="200"/>
              <w:jc w:val="distribute"/>
              <w:rPr>
                <w:rFonts w:ascii="Times New Roman" w:hAnsi="Times New Roman" w:eastAsia="楷体_GB2312" w:cs="Times New Roman"/>
                <w:color w:val="auto"/>
                <w:kern w:val="2"/>
                <w:sz w:val="52"/>
                <w:szCs w:val="24"/>
                <w:lang w:eastAsia="zh-CN"/>
              </w:rPr>
            </w:pPr>
          </w:p>
        </w:tc>
      </w:tr>
      <w:tr w14:paraId="7DC27DF8">
        <w:trPr>
          <w:cantSplit/>
          <w:trHeight w:val="664" w:hRule="atLeast"/>
          <w:jc w:val="center"/>
        </w:trPr>
        <w:tc>
          <w:tcPr>
            <w:tcW w:w="1210" w:type="dxa"/>
            <w:gridSpan w:val="2"/>
            <w:vMerge w:val="continue"/>
            <w:tcBorders>
              <w:top w:val="nil"/>
              <w:left w:val="nil"/>
              <w:bottom w:val="nil"/>
              <w:right w:val="nil"/>
            </w:tcBorders>
            <w:vAlign w:val="center"/>
          </w:tcPr>
          <w:p w14:paraId="3237AF02">
            <w:pPr>
              <w:widowControl/>
              <w:adjustRightInd w:val="0"/>
              <w:snapToGrid w:val="0"/>
              <w:spacing w:before="0" w:after="0"/>
              <w:ind w:firstLine="1040" w:firstLineChars="200"/>
              <w:jc w:val="left"/>
              <w:rPr>
                <w:rFonts w:ascii="Times New Roman" w:hAnsi="Times New Roman" w:eastAsia="楷体_GB2312" w:cs="Times New Roman"/>
                <w:color w:val="auto"/>
                <w:kern w:val="2"/>
                <w:sz w:val="52"/>
                <w:szCs w:val="24"/>
                <w:lang w:eastAsia="zh-CN"/>
              </w:rPr>
            </w:pPr>
          </w:p>
        </w:tc>
        <w:tc>
          <w:tcPr>
            <w:tcW w:w="3352" w:type="dxa"/>
            <w:gridSpan w:val="2"/>
            <w:tcBorders>
              <w:top w:val="nil"/>
              <w:left w:val="nil"/>
              <w:bottom w:val="nil"/>
              <w:right w:val="nil"/>
            </w:tcBorders>
            <w:vAlign w:val="center"/>
          </w:tcPr>
          <w:p w14:paraId="5A6A8627">
            <w:pPr>
              <w:widowControl w:val="0"/>
              <w:adjustRightInd w:val="0"/>
              <w:snapToGrid w:val="0"/>
              <w:spacing w:line="360" w:lineRule="auto"/>
              <w:ind w:firstLine="280" w:firstLineChars="1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指   导   教    师：</w:t>
            </w:r>
          </w:p>
        </w:tc>
        <w:tc>
          <w:tcPr>
            <w:tcW w:w="302" w:type="dxa"/>
            <w:tcBorders>
              <w:top w:val="nil"/>
              <w:left w:val="nil"/>
              <w:bottom w:val="nil"/>
              <w:right w:val="nil"/>
            </w:tcBorders>
            <w:vAlign w:val="center"/>
          </w:tcPr>
          <w:p w14:paraId="662E4F39">
            <w:pPr>
              <w:widowControl w:val="0"/>
              <w:adjustRightInd w:val="0"/>
              <w:snapToGrid w:val="0"/>
              <w:spacing w:line="360" w:lineRule="auto"/>
              <w:ind w:firstLine="1962" w:firstLineChars="7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w:t>
            </w:r>
          </w:p>
        </w:tc>
        <w:tc>
          <w:tcPr>
            <w:tcW w:w="2575" w:type="dxa"/>
            <w:gridSpan w:val="2"/>
            <w:tcBorders>
              <w:top w:val="nil"/>
              <w:left w:val="nil"/>
              <w:bottom w:val="nil"/>
              <w:right w:val="nil"/>
            </w:tcBorders>
            <w:vAlign w:val="center"/>
          </w:tcPr>
          <w:p w14:paraId="7CED4B03">
            <w:pPr>
              <w:widowControl w:val="0"/>
              <w:adjustRightInd w:val="0"/>
              <w:snapToGrid w:val="0"/>
              <w:spacing w:line="36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default" w:ascii="Times New Roman" w:hAnsi="Times New Roman" w:eastAsia="宋体" w:cs="Times New Roman"/>
                <w:b/>
                <w:bCs/>
                <w:color w:val="auto"/>
                <w:kern w:val="2"/>
                <w:sz w:val="28"/>
                <w:szCs w:val="28"/>
                <w:lang w:val="en-US" w:eastAsia="zh-CN" w:bidi="ar-SA"/>
              </w:rPr>
              <w:t>王</w:t>
            </w:r>
            <w:r>
              <w:rPr>
                <w:rFonts w:hint="eastAsia" w:ascii="Times New Roman" w:hAnsi="Times New Roman" w:eastAsia="宋体" w:cs="Times New Roman"/>
                <w:b/>
                <w:bCs/>
                <w:kern w:val="2"/>
                <w:sz w:val="28"/>
                <w:szCs w:val="28"/>
                <w:lang w:val="en-US" w:eastAsia="zh-CN" w:bidi="ar-SA"/>
              </w:rPr>
              <w:t>绪琴</w:t>
            </w:r>
          </w:p>
        </w:tc>
        <w:tc>
          <w:tcPr>
            <w:tcW w:w="1479" w:type="dxa"/>
            <w:gridSpan w:val="2"/>
            <w:vMerge w:val="continue"/>
            <w:tcBorders>
              <w:top w:val="nil"/>
              <w:left w:val="nil"/>
              <w:bottom w:val="nil"/>
              <w:right w:val="nil"/>
            </w:tcBorders>
            <w:vAlign w:val="center"/>
          </w:tcPr>
          <w:p w14:paraId="3CEF02BF">
            <w:pPr>
              <w:widowControl/>
              <w:adjustRightInd w:val="0"/>
              <w:snapToGrid w:val="0"/>
              <w:spacing w:before="0" w:after="0"/>
              <w:ind w:firstLine="1040" w:firstLineChars="200"/>
              <w:jc w:val="distribute"/>
              <w:rPr>
                <w:rFonts w:ascii="Times New Roman" w:hAnsi="Times New Roman" w:eastAsia="楷体_GB2312" w:cs="Times New Roman"/>
                <w:color w:val="auto"/>
                <w:kern w:val="2"/>
                <w:sz w:val="52"/>
                <w:szCs w:val="24"/>
                <w:lang w:eastAsia="zh-CN"/>
              </w:rPr>
            </w:pPr>
          </w:p>
        </w:tc>
      </w:tr>
      <w:tr w14:paraId="1869B0AF">
        <w:trPr>
          <w:cantSplit/>
          <w:trHeight w:val="718" w:hRule="atLeast"/>
          <w:jc w:val="center"/>
        </w:trPr>
        <w:tc>
          <w:tcPr>
            <w:tcW w:w="1210" w:type="dxa"/>
            <w:gridSpan w:val="2"/>
            <w:vMerge w:val="continue"/>
            <w:tcBorders>
              <w:top w:val="nil"/>
              <w:left w:val="nil"/>
              <w:bottom w:val="nil"/>
              <w:right w:val="nil"/>
            </w:tcBorders>
            <w:vAlign w:val="center"/>
          </w:tcPr>
          <w:p w14:paraId="38A371EB">
            <w:pPr>
              <w:widowControl/>
              <w:adjustRightInd w:val="0"/>
              <w:snapToGrid w:val="0"/>
              <w:spacing w:before="0" w:after="0"/>
              <w:ind w:firstLine="1040" w:firstLineChars="200"/>
              <w:jc w:val="left"/>
              <w:rPr>
                <w:rFonts w:ascii="Times New Roman" w:hAnsi="Times New Roman" w:eastAsia="楷体_GB2312" w:cs="Times New Roman"/>
                <w:color w:val="auto"/>
                <w:kern w:val="2"/>
                <w:sz w:val="52"/>
                <w:szCs w:val="24"/>
                <w:lang w:eastAsia="zh-CN"/>
              </w:rPr>
            </w:pPr>
          </w:p>
        </w:tc>
        <w:tc>
          <w:tcPr>
            <w:tcW w:w="3352" w:type="dxa"/>
            <w:gridSpan w:val="2"/>
            <w:tcBorders>
              <w:top w:val="nil"/>
              <w:left w:val="nil"/>
              <w:bottom w:val="nil"/>
              <w:right w:val="nil"/>
            </w:tcBorders>
            <w:vAlign w:val="center"/>
          </w:tcPr>
          <w:p w14:paraId="5A600C46">
            <w:pPr>
              <w:widowControl w:val="0"/>
              <w:adjustRightInd w:val="0"/>
              <w:snapToGrid w:val="0"/>
              <w:spacing w:line="360" w:lineRule="auto"/>
              <w:ind w:firstLine="280" w:firstLineChars="1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 xml:space="preserve">研   究   方  </w:t>
            </w:r>
            <w:r>
              <w:rPr>
                <w:rFonts w:ascii="Times New Roman" w:hAnsi="Times New Roman" w:eastAsia="宋体" w:cs="Times New Roman"/>
                <w:b/>
                <w:bCs/>
                <w:color w:val="auto"/>
                <w:kern w:val="2"/>
                <w:sz w:val="28"/>
                <w:szCs w:val="28"/>
                <w:lang w:val="en-US" w:eastAsia="zh-CN" w:bidi="ar-SA"/>
              </w:rPr>
              <w:t xml:space="preserve"> </w:t>
            </w:r>
            <w:r>
              <w:rPr>
                <w:rFonts w:hint="eastAsia" w:ascii="Times New Roman" w:hAnsi="Times New Roman" w:eastAsia="宋体" w:cs="Times New Roman"/>
                <w:b/>
                <w:bCs/>
                <w:color w:val="auto"/>
                <w:kern w:val="2"/>
                <w:sz w:val="28"/>
                <w:szCs w:val="28"/>
                <w:lang w:val="en-US" w:eastAsia="zh-CN" w:bidi="ar-SA"/>
              </w:rPr>
              <w:t xml:space="preserve"> 向：</w:t>
            </w:r>
          </w:p>
        </w:tc>
        <w:tc>
          <w:tcPr>
            <w:tcW w:w="302" w:type="dxa"/>
            <w:tcBorders>
              <w:top w:val="nil"/>
              <w:left w:val="nil"/>
              <w:bottom w:val="nil"/>
              <w:right w:val="nil"/>
            </w:tcBorders>
            <w:vAlign w:val="center"/>
          </w:tcPr>
          <w:p w14:paraId="5C953CAC">
            <w:pPr>
              <w:widowControl w:val="0"/>
              <w:adjustRightInd w:val="0"/>
              <w:snapToGrid w:val="0"/>
              <w:spacing w:line="360" w:lineRule="auto"/>
              <w:ind w:firstLine="1962" w:firstLineChars="700"/>
              <w:jc w:val="both"/>
              <w:rPr>
                <w:rFonts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w:t>
            </w:r>
          </w:p>
        </w:tc>
        <w:tc>
          <w:tcPr>
            <w:tcW w:w="2575" w:type="dxa"/>
            <w:gridSpan w:val="2"/>
            <w:tcBorders>
              <w:top w:val="nil"/>
              <w:left w:val="nil"/>
              <w:bottom w:val="nil"/>
              <w:right w:val="nil"/>
            </w:tcBorders>
            <w:vAlign w:val="center"/>
          </w:tcPr>
          <w:p w14:paraId="40882163">
            <w:pPr>
              <w:widowControl w:val="0"/>
              <w:adjustRightInd w:val="0"/>
              <w:snapToGrid w:val="0"/>
              <w:spacing w:line="360" w:lineRule="auto"/>
              <w:ind w:firstLine="0" w:firstLineChars="0"/>
              <w:jc w:val="center"/>
              <w:rPr>
                <w:rFonts w:hint="default" w:ascii="Times New Roman" w:hAnsi="Times New Roman" w:eastAsia="宋体" w:cs="Times New Roman"/>
                <w:b/>
                <w:bCs/>
                <w:color w:val="auto"/>
                <w:kern w:val="2"/>
                <w:sz w:val="28"/>
                <w:szCs w:val="28"/>
                <w:lang w:val="en-US" w:eastAsia="zh-CN" w:bidi="ar-SA"/>
              </w:rPr>
            </w:pPr>
            <w:r>
              <w:rPr>
                <w:rFonts w:hint="eastAsia" w:ascii="Times New Roman" w:hAnsi="Times New Roman" w:eastAsia="宋体" w:cs="Times New Roman"/>
                <w:b/>
                <w:bCs/>
                <w:color w:val="auto"/>
                <w:kern w:val="2"/>
                <w:sz w:val="28"/>
                <w:szCs w:val="28"/>
                <w:lang w:val="en-US" w:eastAsia="zh-CN" w:bidi="ar-SA"/>
              </w:rPr>
              <w:t>XXX</w:t>
            </w:r>
          </w:p>
        </w:tc>
        <w:tc>
          <w:tcPr>
            <w:tcW w:w="1479" w:type="dxa"/>
            <w:gridSpan w:val="2"/>
            <w:vMerge w:val="continue"/>
            <w:tcBorders>
              <w:top w:val="nil"/>
              <w:left w:val="nil"/>
              <w:bottom w:val="nil"/>
              <w:right w:val="nil"/>
            </w:tcBorders>
            <w:vAlign w:val="center"/>
          </w:tcPr>
          <w:p w14:paraId="7D2E98B6">
            <w:pPr>
              <w:widowControl/>
              <w:adjustRightInd w:val="0"/>
              <w:snapToGrid w:val="0"/>
              <w:spacing w:before="0" w:after="0"/>
              <w:ind w:firstLine="1040" w:firstLineChars="200"/>
              <w:jc w:val="distribute"/>
              <w:rPr>
                <w:rFonts w:ascii="Times New Roman" w:hAnsi="Times New Roman" w:eastAsia="楷体_GB2312" w:cs="Times New Roman"/>
                <w:color w:val="auto"/>
                <w:kern w:val="2"/>
                <w:sz w:val="52"/>
                <w:szCs w:val="24"/>
                <w:lang w:eastAsia="zh-CN"/>
              </w:rPr>
            </w:pPr>
          </w:p>
        </w:tc>
      </w:tr>
      <w:tr w14:paraId="31325312">
        <w:trPr>
          <w:trHeight w:val="1718" w:hRule="atLeast"/>
          <w:jc w:val="center"/>
        </w:trPr>
        <w:tc>
          <w:tcPr>
            <w:tcW w:w="8918" w:type="dxa"/>
            <w:gridSpan w:val="9"/>
            <w:tcBorders>
              <w:top w:val="nil"/>
              <w:left w:val="nil"/>
              <w:bottom w:val="nil"/>
              <w:right w:val="nil"/>
            </w:tcBorders>
          </w:tcPr>
          <w:p w14:paraId="35DD201D">
            <w:pPr>
              <w:widowControl w:val="0"/>
              <w:adjustRightInd w:val="0"/>
              <w:snapToGrid w:val="0"/>
              <w:spacing w:line="360" w:lineRule="auto"/>
              <w:ind w:firstLine="640" w:firstLineChars="200"/>
              <w:jc w:val="both"/>
              <w:rPr>
                <w:rFonts w:ascii="黑体" w:hAnsi="Times New Roman" w:eastAsia="黑体" w:cs="Times New Roman"/>
                <w:color w:val="auto"/>
                <w:kern w:val="2"/>
                <w:sz w:val="32"/>
                <w:szCs w:val="32"/>
                <w:lang w:val="en-US" w:eastAsia="zh-CN" w:bidi="ar-SA"/>
              </w:rPr>
            </w:pPr>
          </w:p>
          <w:p w14:paraId="581332C7">
            <w:pPr>
              <w:widowControl w:val="0"/>
              <w:adjustRightInd w:val="0"/>
              <w:snapToGrid w:val="0"/>
              <w:spacing w:line="360" w:lineRule="auto"/>
              <w:ind w:firstLine="640" w:firstLineChars="200"/>
              <w:jc w:val="both"/>
              <w:rPr>
                <w:rFonts w:ascii="黑体" w:hAnsi="Times New Roman" w:eastAsia="黑体" w:cs="Times New Roman"/>
                <w:color w:val="auto"/>
                <w:kern w:val="2"/>
                <w:sz w:val="32"/>
                <w:szCs w:val="32"/>
                <w:lang w:val="en-US" w:eastAsia="zh-CN" w:bidi="ar-SA"/>
              </w:rPr>
            </w:pPr>
          </w:p>
          <w:p w14:paraId="6BE6D317">
            <w:pPr>
              <w:widowControl w:val="0"/>
              <w:adjustRightInd w:val="0"/>
              <w:snapToGrid w:val="0"/>
              <w:spacing w:line="360" w:lineRule="auto"/>
              <w:ind w:firstLine="560" w:firstLineChars="200"/>
              <w:jc w:val="center"/>
              <w:rPr>
                <w:rFonts w:hint="default" w:ascii="黑体" w:hAnsi="Times New Roman" w:eastAsia="黑体" w:cs="Times New Roman"/>
                <w:color w:val="auto"/>
                <w:kern w:val="2"/>
                <w:sz w:val="32"/>
                <w:szCs w:val="32"/>
                <w:lang w:val="en-US" w:eastAsia="zh-CN" w:bidi="ar-SA"/>
              </w:rPr>
            </w:pPr>
            <w:r>
              <w:rPr>
                <w:rFonts w:hint="eastAsia" w:ascii="黑体" w:hAnsi="Times New Roman" w:eastAsia="黑体" w:cs="Times New Roman"/>
                <w:color w:val="auto"/>
                <w:kern w:val="2"/>
                <w:sz w:val="28"/>
                <w:szCs w:val="28"/>
                <w:lang w:val="en-US" w:eastAsia="zh-CN" w:bidi="ar-SA"/>
              </w:rPr>
              <w:t>2026 年 XX</w:t>
            </w:r>
            <w:r>
              <w:rPr>
                <w:rFonts w:ascii="黑体" w:hAnsi="Times New Roman" w:eastAsia="黑体" w:cs="Times New Roman"/>
                <w:color w:val="auto"/>
                <w:kern w:val="2"/>
                <w:sz w:val="28"/>
                <w:szCs w:val="28"/>
                <w:lang w:val="en-US" w:eastAsia="zh-CN" w:bidi="ar-SA"/>
              </w:rPr>
              <w:t xml:space="preserve"> </w:t>
            </w:r>
            <w:r>
              <w:rPr>
                <w:rFonts w:hint="eastAsia" w:ascii="黑体" w:hAnsi="Times New Roman" w:eastAsia="黑体" w:cs="Times New Roman"/>
                <w:color w:val="auto"/>
                <w:kern w:val="2"/>
                <w:sz w:val="28"/>
                <w:szCs w:val="28"/>
                <w:lang w:val="en-US" w:eastAsia="zh-CN" w:bidi="ar-SA"/>
              </w:rPr>
              <w:t>月 XX 日</w:t>
            </w:r>
          </w:p>
        </w:tc>
      </w:tr>
    </w:tbl>
    <w:p w14:paraId="7F7053EC">
      <w:pPr>
        <w:rPr>
          <w:rFonts w:ascii="Times New Roman" w:hAnsi="Times New Roman" w:eastAsia="黑体"/>
          <w:b/>
          <w:bCs/>
          <w:color w:val="auto"/>
          <w:sz w:val="32"/>
          <w:szCs w:val="32"/>
        </w:rPr>
      </w:pPr>
      <w:r>
        <w:rPr>
          <w:rFonts w:ascii="Times New Roman" w:hAnsi="Times New Roman" w:eastAsia="黑体"/>
          <w:b/>
          <w:bCs/>
          <w:color w:val="auto"/>
          <w:sz w:val="32"/>
          <w:szCs w:val="32"/>
        </w:rPr>
        <w:br w:type="page"/>
      </w:r>
    </w:p>
    <w:p w14:paraId="6AC9A34B">
      <w:pPr>
        <w:ind w:left="0" w:leftChars="0" w:firstLine="0" w:firstLineChars="0"/>
        <w:jc w:val="center"/>
        <w:rPr>
          <w:rFonts w:ascii="Times New Roman" w:hAnsi="Times New Roman" w:eastAsia="黑体"/>
          <w:b/>
          <w:bCs/>
          <w:color w:val="auto"/>
          <w:sz w:val="32"/>
          <w:szCs w:val="32"/>
        </w:rPr>
      </w:pPr>
      <w:r>
        <w:rPr>
          <w:rFonts w:ascii="Times New Roman" w:hAnsi="Times New Roman" w:eastAsia="黑体"/>
          <w:b/>
          <w:bCs/>
          <w:color w:val="auto"/>
          <w:sz w:val="32"/>
          <w:szCs w:val="32"/>
        </w:rPr>
        <w:br w:type="page"/>
      </w:r>
    </w:p>
    <w:p w14:paraId="2E83C806">
      <w:pPr>
        <w:ind w:left="0" w:leftChars="0" w:firstLine="0" w:firstLineChars="0"/>
        <w:jc w:val="center"/>
        <w:rPr>
          <w:rFonts w:ascii="Times New Roman" w:hAnsi="Times New Roman" w:eastAsia="黑体"/>
          <w:b/>
          <w:bCs/>
          <w:color w:val="auto"/>
          <w:sz w:val="32"/>
          <w:szCs w:val="32"/>
        </w:rPr>
      </w:pPr>
    </w:p>
    <w:p w14:paraId="4931B28E">
      <w:pPr>
        <w:ind w:left="0" w:leftChars="0" w:firstLine="0" w:firstLineChars="0"/>
        <w:jc w:val="center"/>
        <w:rPr>
          <w:rFonts w:hint="default" w:ascii="Times New Roman" w:hAnsi="Times New Roman" w:cs="Times New Roman"/>
          <w:bCs/>
          <w:color w:val="auto"/>
          <w:sz w:val="32"/>
          <w:szCs w:val="32"/>
        </w:rPr>
      </w:pPr>
      <w:r>
        <w:rPr>
          <w:rFonts w:hint="default" w:ascii="Times New Roman" w:hAnsi="Times New Roman" w:cs="Times New Roman"/>
          <w:bCs/>
          <w:color w:val="auto"/>
          <w:sz w:val="32"/>
          <w:szCs w:val="32"/>
        </w:rPr>
        <w:t>Title</w:t>
      </w:r>
      <w:r>
        <w:rPr>
          <w:rFonts w:hint="eastAsia" w:ascii="Times New Roman" w:hAnsi="Times New Roman" w:cs="Times New Roman"/>
          <w:bCs/>
          <w:color w:val="auto"/>
          <w:sz w:val="32"/>
          <w:szCs w:val="32"/>
          <w:lang w:val="en-US" w:eastAsia="zh-CN"/>
        </w:rPr>
        <w:t>:</w:t>
      </w:r>
      <w:r>
        <w:rPr>
          <w:rFonts w:hint="default" w:ascii="Times New Roman" w:hAnsi="Times New Roman" w:cs="Times New Roman"/>
          <w:bCs/>
          <w:color w:val="auto"/>
          <w:sz w:val="32"/>
          <w:szCs w:val="32"/>
        </w:rPr>
        <w:t xml:space="preserve"> Click here to enter the paper title</w:t>
      </w:r>
    </w:p>
    <w:p w14:paraId="4B120985">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color w:val="auto"/>
          <w:sz w:val="32"/>
          <w:szCs w:val="32"/>
        </w:rPr>
      </w:pPr>
    </w:p>
    <w:p w14:paraId="19E51B01">
      <w:pPr>
        <w:keepNext w:val="0"/>
        <w:keepLines w:val="0"/>
        <w:pageBreakBefore w:val="0"/>
        <w:kinsoku/>
        <w:wordWrap/>
        <w:overflowPunct/>
        <w:topLinePunct w:val="0"/>
        <w:autoSpaceDE/>
        <w:autoSpaceDN/>
        <w:bidi w:val="0"/>
        <w:adjustRightInd w:val="0"/>
        <w:snapToGrid w:val="0"/>
        <w:jc w:val="center"/>
        <w:textAlignment w:val="auto"/>
        <w:rPr>
          <w:bCs/>
          <w:color w:val="auto"/>
          <w:sz w:val="32"/>
          <w:szCs w:val="32"/>
        </w:rPr>
      </w:pPr>
    </w:p>
    <w:p w14:paraId="0ECD1223">
      <w:pPr>
        <w:keepNext w:val="0"/>
        <w:keepLines w:val="0"/>
        <w:pageBreakBefore w:val="0"/>
        <w:kinsoku/>
        <w:wordWrap/>
        <w:overflowPunct/>
        <w:topLinePunct w:val="0"/>
        <w:autoSpaceDE/>
        <w:autoSpaceDN/>
        <w:bidi w:val="0"/>
        <w:adjustRightInd w:val="0"/>
        <w:snapToGrid w:val="0"/>
        <w:spacing w:line="720" w:lineRule="auto"/>
        <w:ind w:firstLine="1333" w:firstLineChars="444"/>
        <w:jc w:val="both"/>
        <w:textAlignment w:val="auto"/>
        <w:rPr>
          <w:rFonts w:hint="default" w:ascii="Times New Roman" w:hAnsi="Times New Roman" w:eastAsia="楷体_GB2312"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Author</w:t>
      </w:r>
      <w:r>
        <w:rPr>
          <w:rFonts w:hint="default" w:ascii="Times New Roman" w:hAnsi="Times New Roman" w:eastAsia="楷体_GB2312" w:cs="Times New Roman"/>
          <w:b/>
          <w:bCs/>
          <w:color w:val="auto"/>
          <w:sz w:val="30"/>
          <w:szCs w:val="30"/>
        </w:rPr>
        <w:t xml:space="preserve">： </w:t>
      </w:r>
      <w:r>
        <w:rPr>
          <w:rFonts w:hint="eastAsia" w:ascii="Times New Roman" w:hAnsi="Times New Roman" w:eastAsia="楷体_GB2312" w:cs="Times New Roman"/>
          <w:b/>
          <w:bCs/>
          <w:color w:val="auto"/>
          <w:sz w:val="30"/>
          <w:szCs w:val="30"/>
          <w:lang w:val="en-US" w:eastAsia="zh-CN"/>
        </w:rPr>
        <w:t xml:space="preserve">                    </w:t>
      </w:r>
    </w:p>
    <w:p w14:paraId="6CAD72BA">
      <w:pPr>
        <w:keepNext w:val="0"/>
        <w:keepLines w:val="0"/>
        <w:pageBreakBefore w:val="0"/>
        <w:kinsoku/>
        <w:wordWrap/>
        <w:overflowPunct/>
        <w:topLinePunct w:val="0"/>
        <w:autoSpaceDE/>
        <w:autoSpaceDN/>
        <w:bidi w:val="0"/>
        <w:adjustRightInd w:val="0"/>
        <w:snapToGrid w:val="0"/>
        <w:spacing w:line="720" w:lineRule="auto"/>
        <w:ind w:firstLine="1333" w:firstLineChars="444"/>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lang w:val="en-US"/>
        </w:rPr>
        <w:t>R</w:t>
      </w:r>
      <w:r>
        <w:rPr>
          <w:rFonts w:hint="default" w:ascii="Times New Roman" w:hAnsi="Times New Roman" w:cs="Times New Roman"/>
          <w:b/>
          <w:bCs/>
          <w:color w:val="auto"/>
          <w:sz w:val="30"/>
          <w:szCs w:val="30"/>
        </w:rPr>
        <w:t>eligion：</w:t>
      </w:r>
      <w:r>
        <w:rPr>
          <w:rFonts w:hint="eastAsia" w:ascii="Times New Roman" w:hAnsi="Times New Roman" w:cs="Times New Roman"/>
          <w:b/>
          <w:bCs/>
          <w:color w:val="auto"/>
          <w:sz w:val="30"/>
          <w:szCs w:val="30"/>
          <w:lang w:val="en-US" w:eastAsia="zh-CN"/>
        </w:rPr>
        <w:t xml:space="preserve">                   </w:t>
      </w:r>
    </w:p>
    <w:p w14:paraId="00CB04AE">
      <w:pPr>
        <w:keepNext w:val="0"/>
        <w:keepLines w:val="0"/>
        <w:pageBreakBefore w:val="0"/>
        <w:kinsoku/>
        <w:wordWrap/>
        <w:overflowPunct/>
        <w:topLinePunct w:val="0"/>
        <w:autoSpaceDE/>
        <w:autoSpaceDN/>
        <w:bidi w:val="0"/>
        <w:adjustRightInd w:val="0"/>
        <w:snapToGrid w:val="0"/>
        <w:spacing w:line="720" w:lineRule="auto"/>
        <w:ind w:firstLine="1333" w:firstLineChars="444"/>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Supervisor：</w:t>
      </w:r>
      <w:r>
        <w:rPr>
          <w:rFonts w:hint="eastAsia" w:ascii="Times New Roman" w:hAnsi="Times New Roman" w:cs="Times New Roman"/>
          <w:b/>
          <w:bCs/>
          <w:color w:val="auto"/>
          <w:sz w:val="30"/>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color w:val="auto"/>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color w:val="auto"/>
          <w:sz w:val="28"/>
          <w:szCs w:val="28"/>
        </w:rPr>
      </w:pPr>
    </w:p>
    <w:p w14:paraId="11E3F82C">
      <w:pPr>
        <w:pStyle w:val="16"/>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color w:val="auto"/>
          <w:kern w:val="2"/>
          <w:sz w:val="30"/>
          <w:szCs w:val="30"/>
          <w:lang w:val="en-US" w:eastAsia="zh-CN" w:bidi="ar-SA"/>
        </w:rPr>
      </w:pPr>
      <w:bookmarkStart w:id="1" w:name="_Toc8003_WPSOffice_Level2"/>
      <w:bookmarkStart w:id="2" w:name="_Toc30845_WPSOffice_Level2"/>
      <w:bookmarkStart w:id="3" w:name="_Toc32057_WPSOffice_Level3"/>
      <w:bookmarkStart w:id="4" w:name="_Toc26325_WPSOffice_Level2"/>
      <w:bookmarkStart w:id="5" w:name="_Toc7437_WPSOffice_Level3"/>
      <w:bookmarkStart w:id="6" w:name="_Toc8166_WPSOffice_Level3"/>
      <w:bookmarkStart w:id="7" w:name="_Toc2389_WPSOffice_Level3"/>
      <w:bookmarkStart w:id="8" w:name="_Toc27155_WPSOffice_Level3"/>
      <w:r>
        <w:rPr>
          <w:rFonts w:hint="eastAsia" w:ascii="Times New Roman" w:hAnsi="Times New Roman" w:eastAsia="宋体" w:cs="Times New Roman"/>
          <w:b/>
          <w:bCs/>
          <w:color w:val="auto"/>
          <w:kern w:val="2"/>
          <w:sz w:val="30"/>
          <w:szCs w:val="30"/>
          <w:lang w:val="en-US" w:eastAsia="zh-CN" w:bidi="ar-SA"/>
        </w:rPr>
        <w:t>June</w:t>
      </w:r>
      <w:r>
        <w:rPr>
          <w:rFonts w:hint="default" w:ascii="Times New Roman" w:hAnsi="Times New Roman" w:eastAsia="宋体" w:cs="Times New Roman"/>
          <w:b/>
          <w:bCs/>
          <w:color w:val="auto"/>
          <w:kern w:val="2"/>
          <w:sz w:val="30"/>
          <w:szCs w:val="30"/>
          <w:lang w:val="en-US" w:eastAsia="zh-CN" w:bidi="ar-SA"/>
        </w:rPr>
        <w:t>.</w:t>
      </w:r>
      <w:r>
        <w:rPr>
          <w:rFonts w:hint="eastAsia" w:ascii="Times New Roman" w:hAnsi="Times New Roman" w:eastAsia="宋体" w:cs="Times New Roman"/>
          <w:b/>
          <w:bCs/>
          <w:color w:val="auto"/>
          <w:kern w:val="2"/>
          <w:sz w:val="30"/>
          <w:szCs w:val="30"/>
          <w:lang w:val="en-US" w:eastAsia="zh-CN" w:bidi="ar-SA"/>
        </w:rPr>
        <w:t xml:space="preserve"> </w:t>
      </w:r>
      <w:r>
        <w:rPr>
          <w:rFonts w:hint="default" w:ascii="Times New Roman" w:hAnsi="Times New Roman" w:eastAsia="宋体" w:cs="Times New Roman"/>
          <w:b/>
          <w:bCs/>
          <w:color w:val="auto"/>
          <w:kern w:val="2"/>
          <w:sz w:val="30"/>
          <w:szCs w:val="30"/>
          <w:lang w:val="en-US" w:eastAsia="zh-CN" w:bidi="ar-SA"/>
        </w:rPr>
        <w:t>20</w:t>
      </w:r>
      <w:bookmarkEnd w:id="1"/>
      <w:bookmarkEnd w:id="2"/>
      <w:bookmarkEnd w:id="3"/>
      <w:bookmarkEnd w:id="4"/>
      <w:bookmarkEnd w:id="5"/>
      <w:bookmarkEnd w:id="6"/>
      <w:bookmarkEnd w:id="7"/>
      <w:bookmarkEnd w:id="8"/>
      <w:r>
        <w:rPr>
          <w:rFonts w:hint="eastAsia" w:ascii="Times New Roman" w:hAnsi="Times New Roman" w:cs="Times New Roman"/>
          <w:b/>
          <w:bCs/>
          <w:color w:val="auto"/>
          <w:kern w:val="2"/>
          <w:sz w:val="30"/>
          <w:szCs w:val="30"/>
          <w:lang w:val="en-US" w:eastAsia="zh-CN" w:bidi="ar-SA"/>
        </w:rPr>
        <w:t>26</w:t>
      </w:r>
    </w:p>
    <w:p w14:paraId="2638C903">
      <w:pPr>
        <w:rPr>
          <w:rFonts w:ascii="Times New Roman" w:hAnsi="Times New Roman" w:eastAsia="黑体"/>
          <w:b/>
          <w:bCs/>
          <w:color w:val="auto"/>
          <w:sz w:val="32"/>
          <w:szCs w:val="32"/>
        </w:rPr>
      </w:pPr>
    </w:p>
    <w:p w14:paraId="3B799B44">
      <w:pPr>
        <w:rPr>
          <w:rFonts w:ascii="Times New Roman" w:hAnsi="Times New Roman" w:eastAsia="黑体"/>
          <w:b/>
          <w:bCs/>
          <w:color w:val="auto"/>
          <w:sz w:val="32"/>
          <w:szCs w:val="32"/>
        </w:rPr>
      </w:pPr>
      <w:r>
        <w:rPr>
          <w:rFonts w:ascii="Times New Roman" w:hAnsi="Times New Roman" w:eastAsia="黑体"/>
          <w:b/>
          <w:bCs/>
          <w:color w:val="auto"/>
          <w:sz w:val="32"/>
          <w:szCs w:val="32"/>
        </w:rPr>
        <w:br w:type="page"/>
      </w:r>
    </w:p>
    <w:p w14:paraId="63DC2E2D">
      <w:pPr>
        <w:keepNext w:val="0"/>
        <w:keepLines w:val="0"/>
        <w:pageBreakBefore w:val="0"/>
        <w:widowControl/>
        <w:kinsoku/>
        <w:wordWrap/>
        <w:overflowPunct/>
        <w:topLinePunct w:val="0"/>
        <w:autoSpaceDE/>
        <w:autoSpaceDN/>
        <w:bidi w:val="0"/>
        <w:adjustRightInd/>
        <w:snapToGrid/>
        <w:spacing w:before="361" w:beforeLines="100" w:after="361" w:afterLines="100" w:line="360" w:lineRule="auto"/>
        <w:ind w:firstLine="420"/>
        <w:jc w:val="center"/>
        <w:textAlignment w:val="auto"/>
        <w:outlineLvl w:val="0"/>
        <w:rPr>
          <w:color w:val="auto"/>
        </w:rPr>
      </w:pPr>
      <w:bookmarkStart w:id="9" w:name="_Toc2090518460"/>
      <w:r>
        <w:rPr>
          <w:rFonts w:ascii="Times New Roman" w:hAnsi="Times New Roman" w:eastAsia="黑体"/>
          <w:b/>
          <w:bCs/>
          <w:color w:val="auto"/>
          <w:sz w:val="32"/>
          <w:szCs w:val="32"/>
        </w:rPr>
        <w:t>摘  要</w:t>
      </w:r>
      <w:bookmarkEnd w:id="0"/>
      <w:bookmarkEnd w:id="9"/>
    </w:p>
    <w:p w14:paraId="0E6CE7A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color w:val="auto"/>
        </w:rPr>
      </w:pPr>
      <w:r>
        <w:rPr>
          <w:rFonts w:ascii="Times New Roman" w:hAnsi="Times New Roman" w:eastAsia="宋体"/>
          <w:color w:val="auto"/>
          <w:sz w:val="24"/>
          <w:szCs w:val="24"/>
        </w:rPr>
        <w:t>杜光庭（850—933）是唐末五代道教的集大成者，其文化实践贯穿文学书写、科仪整合与思想阐释三大维度，构建了兼具系统性与实践性的道教文化体系。本文以"文化实践"为整合视角，打破以往学界对杜光庭各领域分别研究的局限，系统梳理其文化实践的具体内容、核心特质与历史贡献，并探讨其文化成果的当代转化可能。</w:t>
      </w:r>
      <w:r>
        <w:rPr>
          <w:rFonts w:ascii="Times New Roman" w:hAnsi="Times New Roman" w:eastAsia="宋体"/>
          <w:color w:val="auto"/>
          <w:sz w:val="24"/>
          <w:szCs w:val="24"/>
        </w:rPr>
        <w:br w:type="textWrapping"/>
      </w:r>
      <w:r>
        <w:rPr>
          <w:rFonts w:hint="eastAsia" w:ascii="Times New Roman" w:hAnsi="Times New Roman" w:eastAsia="宋体"/>
          <w:color w:val="auto"/>
          <w:sz w:val="24"/>
          <w:szCs w:val="24"/>
          <w:lang w:val="en-US" w:eastAsia="zh-CN"/>
        </w:rPr>
        <w:t xml:space="preserve">        </w:t>
      </w:r>
      <w:r>
        <w:rPr>
          <w:rFonts w:ascii="Times New Roman" w:hAnsi="Times New Roman" w:eastAsia="宋体"/>
          <w:color w:val="auto"/>
          <w:sz w:val="24"/>
          <w:szCs w:val="24"/>
        </w:rPr>
        <w:t>研究发现：在思想阐释层面，杜光庭以《道德真经广圣义》为代表，以重玄思想为旨归，提出"理身理国"的同构理念与"修道即修心"的核心命题，完成了唐代道教义学的总结与三教融合的哲理深化；在文学书写层面，以"神圣与世俗的双向互动"为核心特质，通过传奇小说、仪式文学与地方志怪三种路径，推动道教文化的世俗传播与地方融合；在科仪整合层面，以《道门科范大全集》为核心，完成唐代斋醮仪轨的体系化建构，实现了神权与皇权的双向赋能，确立了道教的公共性地位。</w:t>
      </w:r>
      <w:r>
        <w:rPr>
          <w:rFonts w:ascii="Times New Roman" w:hAnsi="Times New Roman" w:eastAsia="宋体"/>
          <w:color w:val="auto"/>
          <w:sz w:val="24"/>
          <w:szCs w:val="24"/>
        </w:rPr>
        <w:br w:type="textWrapping"/>
      </w:r>
      <w:r>
        <w:rPr>
          <w:rFonts w:hint="eastAsia" w:ascii="Times New Roman" w:hAnsi="Times New Roman" w:eastAsia="宋体"/>
          <w:color w:val="auto"/>
          <w:sz w:val="24"/>
          <w:szCs w:val="24"/>
          <w:lang w:val="en-US" w:eastAsia="zh-CN"/>
        </w:rPr>
        <w:t xml:space="preserve">          </w:t>
      </w:r>
      <w:r>
        <w:rPr>
          <w:rFonts w:ascii="Times New Roman" w:hAnsi="Times New Roman" w:eastAsia="宋体"/>
          <w:color w:val="auto"/>
          <w:sz w:val="24"/>
          <w:szCs w:val="24"/>
        </w:rPr>
        <w:t>三者之间的内在逻辑关联在于：思想阐释为文学书写与科仪整合提供了形而上的义理根基——"修道即修心"的心性论不仅塑造了杜光庭文学作品中"于世俗中见神圣"的精神气质，也为其科仪整合中剔除巫俗糟粕、提升仪式宗教性提供了义理依据；文学书写是思想阐释的通俗化表达与科仪整合的文化延伸——传奇小说将道教思想转化为世俗叙事，仪式文学为科仪实践提供文学化的文本规范，地方志怪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三者以"道"为内核，以"文化整合"为方法，构成了从形而上学理念到文学意象再到仪式实践的完整转化链条，共同实现了对唐代道教的全面整合与规范化。</w:t>
      </w:r>
      <w:r>
        <w:rPr>
          <w:rFonts w:ascii="Times New Roman" w:hAnsi="Times New Roman" w:eastAsia="宋体"/>
          <w:color w:val="auto"/>
          <w:sz w:val="24"/>
          <w:szCs w:val="24"/>
        </w:rPr>
        <w:br w:type="textWrapping"/>
      </w:r>
      <w:r>
        <w:rPr>
          <w:rFonts w:hint="eastAsia" w:ascii="Times New Roman" w:hAnsi="Times New Roman" w:eastAsia="宋体"/>
          <w:color w:val="auto"/>
          <w:sz w:val="24"/>
          <w:szCs w:val="24"/>
          <w:lang w:val="en-US" w:eastAsia="zh-CN"/>
        </w:rPr>
        <w:t xml:space="preserve">         </w:t>
      </w:r>
      <w:r>
        <w:rPr>
          <w:rFonts w:ascii="Times New Roman" w:hAnsi="Times New Roman" w:eastAsia="宋体"/>
          <w:color w:val="auto"/>
          <w:sz w:val="24"/>
          <w:szCs w:val="24"/>
        </w:rPr>
        <w:t>杜光庭的文化实践本质上是对道教文化的系统性整合，其蕴含的"清静自正"心性资源、"多元一体"文化整合智慧与"洞天福地"生态想象，为当代社会面临的精神焦虑、文明冲突与生态危机提供了本土化的思想参照与智慧借鉴。</w:t>
      </w:r>
    </w:p>
    <w:p w14:paraId="14A594E6">
      <w:pPr>
        <w:spacing w:before="0" w:after="0" w:line="360" w:lineRule="auto"/>
        <w:ind w:firstLine="420"/>
        <w:rPr>
          <w:color w:val="auto"/>
        </w:rPr>
      </w:pPr>
      <w:r>
        <w:rPr>
          <w:rFonts w:ascii="Times New Roman" w:hAnsi="Times New Roman" w:eastAsia="宋体"/>
          <w:color w:val="auto"/>
          <w:sz w:val="24"/>
          <w:szCs w:val="24"/>
        </w:rPr>
        <w:t>研究发现：在思想阐释层面，杜光庭以《道德真经广圣义》为代表，以重玄思想为旨归，提出“理身理国”的同构理念与“修道即修心”的核心命题，完成了唐代道教义学的总结与三教融合的哲理深化；在文学书写层面，以“神圣与世俗的双向互动”为核心特质，通过传奇小说、仪式文学与地方志怪三种路径，推动道教文化的世俗传播与地方融合；在科仪整合层面，以《道门科范大全集》为核心，完成唐代斋醮仪轨的体系化建构，实现了神权与皇权的双向赋能，确立了道教的公共性地位。</w:t>
      </w:r>
    </w:p>
    <w:p w14:paraId="5898E610">
      <w:pPr>
        <w:spacing w:before="0" w:after="0" w:line="360" w:lineRule="auto"/>
        <w:ind w:firstLine="420"/>
        <w:rPr>
          <w:color w:val="auto"/>
        </w:rPr>
      </w:pPr>
      <w:r>
        <w:rPr>
          <w:rFonts w:ascii="Times New Roman" w:hAnsi="Times New Roman" w:eastAsia="宋体"/>
          <w:color w:val="auto"/>
          <w:sz w:val="24"/>
          <w:szCs w:val="24"/>
        </w:rPr>
        <w:t>杜光庭的文化实践本质上是对道教文化的系统性整合，其蕴含的“清静自正”心性资源、“多元一体”文化整合智慧与“洞天福地”生态想象，为当代社会面临的精神焦虑、文明冲突与生态危机提供了本土化的思想参照与智慧借鉴。</w:t>
      </w:r>
    </w:p>
    <w:p w14:paraId="3764D0AE">
      <w:pPr>
        <w:keepNext w:val="0"/>
        <w:keepLines w:val="0"/>
        <w:pageBreakBefore w:val="0"/>
        <w:widowControl/>
        <w:kinsoku/>
        <w:wordWrap/>
        <w:overflowPunct/>
        <w:topLinePunct w:val="0"/>
        <w:autoSpaceDE/>
        <w:autoSpaceDN/>
        <w:bidi w:val="0"/>
        <w:adjustRightInd/>
        <w:snapToGrid/>
        <w:spacing w:before="361" w:beforeLines="100" w:line="360" w:lineRule="auto"/>
        <w:ind w:firstLine="480" w:firstLineChars="200"/>
        <w:textAlignment w:val="auto"/>
        <w:rPr>
          <w:color w:val="auto"/>
        </w:rPr>
      </w:pPr>
      <w:r>
        <w:rPr>
          <w:rFonts w:ascii="Times New Roman" w:hAnsi="Times New Roman" w:eastAsia="宋体"/>
          <w:b/>
          <w:color w:val="auto"/>
          <w:sz w:val="24"/>
        </w:rPr>
        <w:t>关键词：</w:t>
      </w:r>
      <w:r>
        <w:rPr>
          <w:rFonts w:ascii="Times New Roman" w:hAnsi="Times New Roman" w:eastAsia="宋体"/>
          <w:b w:val="0"/>
          <w:color w:val="auto"/>
          <w:sz w:val="24"/>
        </w:rPr>
        <w:t>杜光庭；文化实践；三教融合；科仪整合；公共性</w:t>
      </w:r>
    </w:p>
    <w:p w14:paraId="1DFBBC3E">
      <w:pPr>
        <w:spacing w:line="360" w:lineRule="auto"/>
        <w:rPr>
          <w:color w:val="auto"/>
        </w:rPr>
      </w:pPr>
      <w:r>
        <w:rPr>
          <w:color w:val="auto"/>
        </w:rPr>
        <w:br w:type="page"/>
      </w:r>
    </w:p>
    <w:p w14:paraId="308861FD">
      <w:pPr>
        <w:spacing w:before="240" w:after="360" w:line="360" w:lineRule="auto"/>
        <w:jc w:val="center"/>
        <w:outlineLvl w:val="0"/>
        <w:rPr>
          <w:color w:val="auto"/>
        </w:rPr>
      </w:pPr>
      <w:bookmarkStart w:id="10" w:name="_Toc1763960004"/>
      <w:bookmarkStart w:id="11" w:name="_Toc363808653"/>
      <w:r>
        <w:rPr>
          <w:rFonts w:ascii="Times New Roman" w:hAnsi="Times New Roman" w:eastAsia="Times New Roman"/>
          <w:b/>
          <w:bCs/>
          <w:color w:val="auto"/>
          <w:sz w:val="32"/>
          <w:szCs w:val="32"/>
        </w:rPr>
        <w:t>Abstract</w:t>
      </w:r>
      <w:bookmarkEnd w:id="10"/>
      <w:bookmarkEnd w:id="11"/>
    </w:p>
    <w:p w14:paraId="45E21CD4">
      <w:pPr>
        <w:keepNext w:val="0"/>
        <w:keepLines w:val="0"/>
        <w:pageBreakBefore w:val="0"/>
        <w:widowControl/>
        <w:kinsoku/>
        <w:wordWrap/>
        <w:overflowPunct/>
        <w:topLinePunct w:val="0"/>
        <w:autoSpaceDE/>
        <w:autoSpaceDN/>
        <w:bidi w:val="0"/>
        <w:adjustRightInd/>
        <w:snapToGrid/>
        <w:spacing w:line="360" w:lineRule="auto"/>
        <w:ind w:left="240" w:leftChars="100" w:firstLine="480" w:firstLineChars="200"/>
        <w:textAlignment w:val="auto"/>
        <w:rPr>
          <w:color w:val="auto"/>
        </w:rPr>
      </w:pPr>
      <w:r>
        <w:rPr>
          <w:rFonts w:ascii="Times New Roman" w:hAnsi="Times New Roman" w:eastAsia="宋体"/>
          <w:color w:val="auto"/>
          <w:sz w:val="24"/>
          <w:szCs w:val="24"/>
        </w:rPr>
        <w:t>Du Guangting (850-933) stands as the great synthesizer of Daoism during the late Tang and Five Dynasties period. His cultural practice spanned three interrelated dimensions—literary writing, ritual integration, and intellectual interpretation—forming a systematic and practical framework for Daoist culture. Adopting “cultural practice” as an integrative perspective, this dissertation moves beyond the fragmented scholarship that treats each domain in isolation, systematically examining the content, core characteristics, and historical contributions of Du Guangting's cultural practice, while exploring possibilities for its contemporary transformation.</w:t>
      </w:r>
    </w:p>
    <w:p w14:paraId="0125A3F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olor w:val="auto"/>
          <w:sz w:val="24"/>
          <w:szCs w:val="24"/>
          <w:lang w:val="en-US" w:eastAsia="zh-CN"/>
        </w:rPr>
      </w:pPr>
      <w:r>
        <w:rPr>
          <w:rFonts w:ascii="Times New Roman" w:hAnsi="Times New Roman" w:eastAsia="宋体"/>
          <w:color w:val="auto"/>
          <w:sz w:val="24"/>
          <w:szCs w:val="24"/>
        </w:rPr>
        <w:t xml:space="preserve">The study finds that, at the level of intellectual interpretation, Du Guangting synthesized the Tang-era Xuanxuan (Double Mystery) tradition through his Daode zhenjing Guangsheng yi, proposing the isomorphic principle of “cultivating the self and governing the state” and the central proposition that “cultivating the Dao is cultivating the mind,” thereby completing the summation of Tang Daoist philosophy and deepening the philosophical integration of the </w:t>
      </w:r>
      <w:r>
        <w:rPr>
          <w:rFonts w:hint="eastAsia" w:ascii="Times New Roman" w:hAnsi="Times New Roman" w:eastAsia="宋体"/>
          <w:color w:val="auto"/>
          <w:sz w:val="24"/>
          <w:szCs w:val="24"/>
          <w:lang w:val="en-US" w:eastAsia="zh-CN"/>
        </w:rPr>
        <w:t xml:space="preserve">  </w:t>
      </w:r>
    </w:p>
    <w:p w14:paraId="42B7C86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olor w:val="auto"/>
          <w:sz w:val="24"/>
          <w:szCs w:val="24"/>
        </w:rPr>
      </w:pPr>
      <w:r>
        <w:rPr>
          <w:rFonts w:ascii="Times New Roman" w:hAnsi="Times New Roman" w:eastAsia="宋体"/>
          <w:color w:val="auto"/>
          <w:sz w:val="24"/>
          <w:szCs w:val="24"/>
        </w:rPr>
        <w:t>Three Teachings. In literary writing, characterized by “the bidirectional interaction between the sacred and the secular,” he advanced three pathways—vernacular fiction, ritual literature, and local gazetteer writings—to promote the secular dissemination of Daoist culture. In ritual integration, centering on the Daomen kefan daquan ji, he systematized Tang dynastic liturgical rites, achieving mutual empowerment between divine authority and imperial power and establishing Daoism's public significance.</w:t>
      </w:r>
    </w:p>
    <w:p w14:paraId="6D9FA82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olor w:val="auto"/>
          <w:sz w:val="24"/>
          <w:szCs w:val="24"/>
        </w:rPr>
      </w:pPr>
      <w:r>
        <w:rPr>
          <w:rFonts w:ascii="Times New Roman" w:hAnsi="Times New Roman" w:eastAsia="宋体"/>
          <w:color w:val="auto"/>
          <w:sz w:val="24"/>
          <w:szCs w:val="24"/>
        </w:rPr>
        <w:t>This dissertation argues that Du Guangting's cultural practice constituted a systematic integration of Daoist tradition whose insights into self-cultivation, cultural pluralism, and ecological wisdom continue to offer valuable intellectual resources for addressing contemporary challenges of spiritual anxiety, civilizational dialogue, and ecological crisis.</w:t>
      </w:r>
    </w:p>
    <w:p w14:paraId="6D144842">
      <w:pPr>
        <w:spacing w:before="240" w:line="360" w:lineRule="auto"/>
        <w:rPr>
          <w:color w:val="auto"/>
        </w:rPr>
      </w:pPr>
      <w:r>
        <w:rPr>
          <w:rFonts w:ascii="Times New Roman" w:hAnsi="Times New Roman" w:eastAsia="宋体"/>
          <w:b/>
          <w:color w:val="auto"/>
          <w:sz w:val="24"/>
        </w:rPr>
        <w:t xml:space="preserve">Keywords: </w:t>
      </w:r>
      <w:r>
        <w:rPr>
          <w:rFonts w:ascii="Times New Roman" w:hAnsi="Times New Roman" w:eastAsia="宋体"/>
          <w:b w:val="0"/>
          <w:color w:val="auto"/>
          <w:sz w:val="24"/>
        </w:rPr>
        <w:t xml:space="preserve"> Du Guangting; Cultural Practice; Three Teachings Integration; Ritual Integration; Public Nature</w:t>
      </w:r>
    </w:p>
    <w:p w14:paraId="45388814">
      <w:pPr>
        <w:spacing w:after="200" w:line="360" w:lineRule="auto"/>
        <w:rPr>
          <w:color w:val="auto"/>
        </w:rPr>
      </w:pPr>
      <w:r>
        <w:rPr>
          <w:color w:val="auto"/>
        </w:rPr>
        <w:br w:type="page"/>
      </w:r>
    </w:p>
    <w:sdt>
      <w:sdtPr>
        <w:rPr>
          <w:rFonts w:ascii="宋体" w:hAnsi="宋体" w:eastAsia="宋体" w:cstheme="minorBidi"/>
          <w:sz w:val="21"/>
          <w:szCs w:val="22"/>
          <w:lang w:val="en-US" w:eastAsia="en-US" w:bidi="ar-SA"/>
        </w:rPr>
        <w:id w:val="523526921"/>
        <w15:color w:val="DBDBDB"/>
        <w:docPartObj>
          <w:docPartGallery w:val="Table of Contents"/>
          <w:docPartUnique/>
        </w:docPartObj>
      </w:sdtPr>
      <w:sdtEndPr>
        <w:rPr>
          <w:rFonts w:asciiTheme="minorHAnsi" w:hAnsiTheme="minorHAnsi" w:eastAsiaTheme="minorEastAsia" w:cstheme="minorBidi"/>
          <w:color w:val="auto"/>
          <w:sz w:val="24"/>
          <w:szCs w:val="22"/>
          <w:lang w:val="en-US" w:eastAsia="en-US" w:bidi="ar-SA"/>
        </w:rPr>
      </w:sdtEndPr>
      <w:sdtContent>
        <w:p w14:paraId="0705F75A">
          <w:pPr>
            <w:pStyle w:val="3"/>
            <w:bidi w:val="0"/>
            <w:rPr>
              <w:rFonts w:hint="eastAsia" w:ascii="黑体" w:hAnsi="黑体" w:eastAsia="黑体" w:cs="黑体"/>
              <w:b/>
              <w:bCs/>
              <w:sz w:val="32"/>
              <w:szCs w:val="32"/>
            </w:rPr>
          </w:pPr>
          <w:bookmarkStart w:id="12" w:name="_Toc646087962"/>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bookmarkEnd w:id="12"/>
        </w:p>
        <w:p w14:paraId="18B41CD1">
          <w:pPr>
            <w:pStyle w:val="28"/>
            <w:tabs>
              <w:tab w:val="right" w:leader="dot" w:pos="9072"/>
            </w:tabs>
          </w:pPr>
          <w:r>
            <w:rPr>
              <w:color w:val="auto"/>
            </w:rPr>
            <w:fldChar w:fldCharType="begin"/>
          </w:r>
          <w:r>
            <w:rPr>
              <w:color w:val="auto"/>
            </w:rPr>
            <w:instrText xml:space="preserve">TOC \o "1-3" \h \u </w:instrText>
          </w:r>
          <w:r>
            <w:rPr>
              <w:color w:val="auto"/>
            </w:rPr>
            <w:fldChar w:fldCharType="separate"/>
          </w:r>
          <w:r>
            <w:rPr>
              <w:color w:val="auto"/>
            </w:rPr>
            <w:fldChar w:fldCharType="begin"/>
          </w:r>
          <w:r>
            <w:instrText xml:space="preserve"> HYPERLINK \l _Toc2090518460 </w:instrText>
          </w:r>
          <w:r>
            <w:fldChar w:fldCharType="separate"/>
          </w:r>
          <w:r>
            <w:rPr>
              <w:rFonts w:ascii="Times New Roman" w:hAnsi="Times New Roman" w:eastAsia="黑体"/>
              <w:bCs/>
              <w:szCs w:val="32"/>
            </w:rPr>
            <w:t>摘  要</w:t>
          </w:r>
          <w:r>
            <w:tab/>
          </w:r>
          <w:r>
            <w:fldChar w:fldCharType="begin"/>
          </w:r>
          <w:r>
            <w:instrText xml:space="preserve"> PAGEREF _Toc2090518460 \h </w:instrText>
          </w:r>
          <w:r>
            <w:fldChar w:fldCharType="separate"/>
          </w:r>
          <w:r>
            <w:t>4</w:t>
          </w:r>
          <w:r>
            <w:fldChar w:fldCharType="end"/>
          </w:r>
          <w:r>
            <w:rPr>
              <w:color w:val="auto"/>
            </w:rPr>
            <w:fldChar w:fldCharType="end"/>
          </w:r>
        </w:p>
        <w:p w14:paraId="461CF843">
          <w:pPr>
            <w:pStyle w:val="28"/>
            <w:tabs>
              <w:tab w:val="right" w:leader="dot" w:pos="9072"/>
            </w:tabs>
          </w:pPr>
          <w:r>
            <w:rPr>
              <w:color w:val="auto"/>
            </w:rPr>
            <w:fldChar w:fldCharType="begin"/>
          </w:r>
          <w:r>
            <w:instrText xml:space="preserve"> HYPERLINK \l _Toc363808653 </w:instrText>
          </w:r>
          <w:r>
            <w:fldChar w:fldCharType="separate"/>
          </w:r>
          <w:r>
            <w:rPr>
              <w:rFonts w:ascii="Times New Roman" w:hAnsi="Times New Roman" w:eastAsia="Times New Roman"/>
              <w:bCs/>
              <w:szCs w:val="32"/>
            </w:rPr>
            <w:t>Abstract</w:t>
          </w:r>
          <w:r>
            <w:tab/>
          </w:r>
          <w:r>
            <w:fldChar w:fldCharType="begin"/>
          </w:r>
          <w:r>
            <w:instrText xml:space="preserve"> PAGEREF _Toc363808653 \h </w:instrText>
          </w:r>
          <w:r>
            <w:fldChar w:fldCharType="separate"/>
          </w:r>
          <w:r>
            <w:t>6</w:t>
          </w:r>
          <w:r>
            <w:fldChar w:fldCharType="end"/>
          </w:r>
          <w:r>
            <w:rPr>
              <w:color w:val="auto"/>
            </w:rPr>
            <w:fldChar w:fldCharType="end"/>
          </w:r>
        </w:p>
        <w:p w14:paraId="427F6ED4">
          <w:pPr>
            <w:pStyle w:val="28"/>
            <w:tabs>
              <w:tab w:val="right" w:leader="dot" w:pos="9072"/>
            </w:tabs>
          </w:pPr>
          <w:r>
            <w:rPr>
              <w:color w:val="auto"/>
            </w:rPr>
            <w:fldChar w:fldCharType="begin"/>
          </w:r>
          <w:r>
            <w:instrText xml:space="preserve"> HYPERLINK \l _Toc646087962 </w:instrText>
          </w:r>
          <w:r>
            <w:fldChar w:fldCharType="separate"/>
          </w:r>
          <w:r>
            <w:rPr>
              <w:rFonts w:hint="eastAsia" w:ascii="黑体" w:hAnsi="黑体" w:eastAsia="黑体" w:cs="黑体"/>
              <w:bCs/>
              <w:szCs w:val="32"/>
            </w:rPr>
            <w:t>目</w:t>
          </w:r>
          <w:r>
            <w:rPr>
              <w:rFonts w:hint="eastAsia" w:ascii="黑体" w:hAnsi="黑体" w:eastAsia="黑体" w:cs="黑体"/>
              <w:bCs/>
              <w:szCs w:val="32"/>
              <w:lang w:val="en-US" w:eastAsia="zh-CN"/>
            </w:rPr>
            <w:t xml:space="preserve">  </w:t>
          </w:r>
          <w:r>
            <w:rPr>
              <w:rFonts w:hint="eastAsia" w:ascii="黑体" w:hAnsi="黑体" w:eastAsia="黑体" w:cs="黑体"/>
              <w:bCs/>
              <w:szCs w:val="32"/>
            </w:rPr>
            <w:t>录</w:t>
          </w:r>
          <w:r>
            <w:tab/>
          </w:r>
          <w:r>
            <w:fldChar w:fldCharType="begin"/>
          </w:r>
          <w:r>
            <w:instrText xml:space="preserve"> PAGEREF _Toc646087962 \h </w:instrText>
          </w:r>
          <w:r>
            <w:fldChar w:fldCharType="separate"/>
          </w:r>
          <w:r>
            <w:t>7</w:t>
          </w:r>
          <w:r>
            <w:fldChar w:fldCharType="end"/>
          </w:r>
          <w:r>
            <w:rPr>
              <w:color w:val="auto"/>
            </w:rPr>
            <w:fldChar w:fldCharType="end"/>
          </w:r>
        </w:p>
        <w:p w14:paraId="4C2FE045">
          <w:pPr>
            <w:pStyle w:val="28"/>
            <w:tabs>
              <w:tab w:val="right" w:leader="dot" w:pos="9072"/>
            </w:tabs>
          </w:pPr>
          <w:r>
            <w:rPr>
              <w:color w:val="auto"/>
            </w:rPr>
            <w:fldChar w:fldCharType="begin"/>
          </w:r>
          <w:r>
            <w:instrText xml:space="preserve"> HYPERLINK \l _Toc1123058102 </w:instrText>
          </w:r>
          <w:r>
            <w:fldChar w:fldCharType="separate"/>
          </w:r>
          <w:r>
            <w:rPr>
              <w:rFonts w:hint="eastAsia" w:ascii="Times New Roman" w:hAnsi="Times New Roman" w:eastAsia="黑体" w:cs="黑体"/>
              <w:szCs w:val="32"/>
            </w:rPr>
            <w:t>绪</w:t>
          </w:r>
          <w:r>
            <w:rPr>
              <w:rFonts w:hint="eastAsia" w:ascii="Times New Roman" w:hAnsi="Times New Roman" w:eastAsia="黑体" w:cs="黑体"/>
              <w:szCs w:val="32"/>
              <w:lang w:val="en-US" w:eastAsia="zh-CN"/>
            </w:rPr>
            <w:t xml:space="preserve"> </w:t>
          </w:r>
          <w:r>
            <w:rPr>
              <w:rFonts w:hint="eastAsia" w:ascii="Times New Roman" w:hAnsi="Times New Roman" w:eastAsia="黑体" w:cs="黑体"/>
              <w:szCs w:val="32"/>
            </w:rPr>
            <w:t>论</w:t>
          </w:r>
          <w:r>
            <w:tab/>
          </w:r>
          <w:r>
            <w:fldChar w:fldCharType="begin"/>
          </w:r>
          <w:r>
            <w:instrText xml:space="preserve"> PAGEREF _Toc1123058102 \h </w:instrText>
          </w:r>
          <w:r>
            <w:fldChar w:fldCharType="separate"/>
          </w:r>
          <w:r>
            <w:t>11</w:t>
          </w:r>
          <w:r>
            <w:fldChar w:fldCharType="end"/>
          </w:r>
          <w:r>
            <w:rPr>
              <w:color w:val="auto"/>
            </w:rPr>
            <w:fldChar w:fldCharType="end"/>
          </w:r>
        </w:p>
        <w:p w14:paraId="013A83B4">
          <w:pPr>
            <w:pStyle w:val="28"/>
            <w:tabs>
              <w:tab w:val="right" w:leader="dot" w:pos="9072"/>
            </w:tabs>
          </w:pPr>
          <w:r>
            <w:rPr>
              <w:color w:val="auto"/>
            </w:rPr>
            <w:fldChar w:fldCharType="begin"/>
          </w:r>
          <w:r>
            <w:instrText xml:space="preserve"> HYPERLINK \l _Toc1003746831 </w:instrText>
          </w:r>
          <w:r>
            <w:fldChar w:fldCharType="separate"/>
          </w:r>
          <w:r>
            <w:t>一、研究背景及意义</w:t>
          </w:r>
          <w:r>
            <w:tab/>
          </w:r>
          <w:r>
            <w:fldChar w:fldCharType="begin"/>
          </w:r>
          <w:r>
            <w:instrText xml:space="preserve"> PAGEREF _Toc1003746831 \h </w:instrText>
          </w:r>
          <w:r>
            <w:fldChar w:fldCharType="separate"/>
          </w:r>
          <w:r>
            <w:t>11</w:t>
          </w:r>
          <w:r>
            <w:fldChar w:fldCharType="end"/>
          </w:r>
          <w:r>
            <w:rPr>
              <w:color w:val="auto"/>
            </w:rPr>
            <w:fldChar w:fldCharType="end"/>
          </w:r>
        </w:p>
        <w:p w14:paraId="5B9A82FF">
          <w:pPr>
            <w:pStyle w:val="32"/>
            <w:tabs>
              <w:tab w:val="right" w:leader="dot" w:pos="9072"/>
            </w:tabs>
          </w:pPr>
          <w:r>
            <w:rPr>
              <w:color w:val="auto"/>
            </w:rPr>
            <w:fldChar w:fldCharType="begin"/>
          </w:r>
          <w:r>
            <w:instrText xml:space="preserve"> HYPERLINK \l _Toc1488941432 </w:instrText>
          </w:r>
          <w:r>
            <w:fldChar w:fldCharType="separate"/>
          </w:r>
          <w:r>
            <w:t>（一）研究背景</w:t>
          </w:r>
          <w:r>
            <w:tab/>
          </w:r>
          <w:r>
            <w:fldChar w:fldCharType="begin"/>
          </w:r>
          <w:r>
            <w:instrText xml:space="preserve"> PAGEREF _Toc1488941432 \h </w:instrText>
          </w:r>
          <w:r>
            <w:fldChar w:fldCharType="separate"/>
          </w:r>
          <w:r>
            <w:t>11</w:t>
          </w:r>
          <w:r>
            <w:fldChar w:fldCharType="end"/>
          </w:r>
          <w:r>
            <w:rPr>
              <w:color w:val="auto"/>
            </w:rPr>
            <w:fldChar w:fldCharType="end"/>
          </w:r>
        </w:p>
        <w:p w14:paraId="0B1CEF94">
          <w:pPr>
            <w:pStyle w:val="32"/>
            <w:tabs>
              <w:tab w:val="right" w:leader="dot" w:pos="9072"/>
            </w:tabs>
          </w:pPr>
          <w:r>
            <w:rPr>
              <w:color w:val="auto"/>
            </w:rPr>
            <w:fldChar w:fldCharType="begin"/>
          </w:r>
          <w:r>
            <w:instrText xml:space="preserve"> HYPERLINK \l _Toc11709133 </w:instrText>
          </w:r>
          <w:r>
            <w:fldChar w:fldCharType="separate"/>
          </w:r>
          <w:r>
            <w:rPr>
              <w:rFonts w:ascii="黑体" w:hAnsi="黑体" w:eastAsia="黑体"/>
              <w:bCs/>
              <w:szCs w:val="24"/>
            </w:rPr>
            <w:t>（二）研究意义</w:t>
          </w:r>
          <w:r>
            <w:tab/>
          </w:r>
          <w:r>
            <w:fldChar w:fldCharType="begin"/>
          </w:r>
          <w:r>
            <w:instrText xml:space="preserve"> PAGEREF _Toc11709133 \h </w:instrText>
          </w:r>
          <w:r>
            <w:fldChar w:fldCharType="separate"/>
          </w:r>
          <w:r>
            <w:t>12</w:t>
          </w:r>
          <w:r>
            <w:fldChar w:fldCharType="end"/>
          </w:r>
          <w:r>
            <w:rPr>
              <w:color w:val="auto"/>
            </w:rPr>
            <w:fldChar w:fldCharType="end"/>
          </w:r>
        </w:p>
        <w:p w14:paraId="4335B8E7">
          <w:pPr>
            <w:pStyle w:val="28"/>
            <w:tabs>
              <w:tab w:val="right" w:leader="dot" w:pos="9072"/>
            </w:tabs>
          </w:pPr>
          <w:r>
            <w:rPr>
              <w:color w:val="auto"/>
            </w:rPr>
            <w:fldChar w:fldCharType="begin"/>
          </w:r>
          <w:r>
            <w:instrText xml:space="preserve"> HYPERLINK \l _Toc1374386454 </w:instrText>
          </w:r>
          <w:r>
            <w:fldChar w:fldCharType="separate"/>
          </w:r>
          <w:r>
            <w:t>二、文献综述</w:t>
          </w:r>
          <w:r>
            <w:tab/>
          </w:r>
          <w:r>
            <w:fldChar w:fldCharType="begin"/>
          </w:r>
          <w:r>
            <w:instrText xml:space="preserve"> PAGEREF _Toc1374386454 \h </w:instrText>
          </w:r>
          <w:r>
            <w:fldChar w:fldCharType="separate"/>
          </w:r>
          <w:r>
            <w:t>12</w:t>
          </w:r>
          <w:r>
            <w:fldChar w:fldCharType="end"/>
          </w:r>
          <w:r>
            <w:rPr>
              <w:color w:val="auto"/>
            </w:rPr>
            <w:fldChar w:fldCharType="end"/>
          </w:r>
        </w:p>
        <w:p w14:paraId="0744EC95">
          <w:pPr>
            <w:pStyle w:val="32"/>
            <w:tabs>
              <w:tab w:val="right" w:leader="dot" w:pos="9072"/>
            </w:tabs>
          </w:pPr>
          <w:r>
            <w:rPr>
              <w:color w:val="auto"/>
            </w:rPr>
            <w:fldChar w:fldCharType="begin"/>
          </w:r>
          <w:r>
            <w:instrText xml:space="preserve"> HYPERLINK \l _Toc979025246 </w:instrText>
          </w:r>
          <w:r>
            <w:fldChar w:fldCharType="separate"/>
          </w:r>
          <w:r>
            <w:rPr>
              <w:rFonts w:ascii="Times New Roman" w:hAnsi="Times New Roman" w:eastAsia="黑体"/>
              <w:bCs/>
              <w:i w:val="0"/>
              <w:iCs w:val="0"/>
              <w:szCs w:val="24"/>
            </w:rPr>
            <w:t>（一）思想阐释研究</w:t>
          </w:r>
          <w:r>
            <w:tab/>
          </w:r>
          <w:r>
            <w:fldChar w:fldCharType="begin"/>
          </w:r>
          <w:r>
            <w:instrText xml:space="preserve"> PAGEREF _Toc979025246 \h </w:instrText>
          </w:r>
          <w:r>
            <w:fldChar w:fldCharType="separate"/>
          </w:r>
          <w:r>
            <w:t>13</w:t>
          </w:r>
          <w:r>
            <w:fldChar w:fldCharType="end"/>
          </w:r>
          <w:r>
            <w:rPr>
              <w:color w:val="auto"/>
            </w:rPr>
            <w:fldChar w:fldCharType="end"/>
          </w:r>
        </w:p>
        <w:p w14:paraId="0525E00F">
          <w:pPr>
            <w:pStyle w:val="32"/>
            <w:tabs>
              <w:tab w:val="right" w:leader="dot" w:pos="9072"/>
            </w:tabs>
          </w:pPr>
          <w:r>
            <w:rPr>
              <w:color w:val="auto"/>
            </w:rPr>
            <w:fldChar w:fldCharType="begin"/>
          </w:r>
          <w:r>
            <w:instrText xml:space="preserve"> HYPERLINK \l _Toc457606208 </w:instrText>
          </w:r>
          <w:r>
            <w:fldChar w:fldCharType="separate"/>
          </w:r>
          <w:r>
            <w:rPr>
              <w:rFonts w:ascii="Times New Roman" w:hAnsi="Times New Roman" w:eastAsia="黑体"/>
              <w:bCs/>
              <w:i w:val="0"/>
              <w:iCs w:val="0"/>
              <w:szCs w:val="24"/>
            </w:rPr>
            <w:t>（二）文学书写研究</w:t>
          </w:r>
          <w:r>
            <w:tab/>
          </w:r>
          <w:r>
            <w:fldChar w:fldCharType="begin"/>
          </w:r>
          <w:r>
            <w:instrText xml:space="preserve"> PAGEREF _Toc457606208 \h </w:instrText>
          </w:r>
          <w:r>
            <w:fldChar w:fldCharType="separate"/>
          </w:r>
          <w:r>
            <w:t>13</w:t>
          </w:r>
          <w:r>
            <w:fldChar w:fldCharType="end"/>
          </w:r>
          <w:r>
            <w:rPr>
              <w:color w:val="auto"/>
            </w:rPr>
            <w:fldChar w:fldCharType="end"/>
          </w:r>
        </w:p>
        <w:p w14:paraId="2A4ED2EC">
          <w:pPr>
            <w:pStyle w:val="32"/>
            <w:tabs>
              <w:tab w:val="right" w:leader="dot" w:pos="9072"/>
            </w:tabs>
          </w:pPr>
          <w:r>
            <w:rPr>
              <w:color w:val="auto"/>
            </w:rPr>
            <w:fldChar w:fldCharType="begin"/>
          </w:r>
          <w:r>
            <w:instrText xml:space="preserve"> HYPERLINK \l _Toc848597949 </w:instrText>
          </w:r>
          <w:r>
            <w:fldChar w:fldCharType="separate"/>
          </w:r>
          <w:r>
            <w:rPr>
              <w:rFonts w:ascii="Times New Roman" w:hAnsi="Times New Roman" w:eastAsia="黑体"/>
              <w:bCs/>
              <w:i w:val="0"/>
              <w:iCs w:val="0"/>
              <w:szCs w:val="24"/>
            </w:rPr>
            <w:t>（三）科仪整合研究</w:t>
          </w:r>
          <w:r>
            <w:tab/>
          </w:r>
          <w:r>
            <w:fldChar w:fldCharType="begin"/>
          </w:r>
          <w:r>
            <w:instrText xml:space="preserve"> PAGEREF _Toc848597949 \h </w:instrText>
          </w:r>
          <w:r>
            <w:fldChar w:fldCharType="separate"/>
          </w:r>
          <w:r>
            <w:t>14</w:t>
          </w:r>
          <w:r>
            <w:fldChar w:fldCharType="end"/>
          </w:r>
          <w:r>
            <w:rPr>
              <w:color w:val="auto"/>
            </w:rPr>
            <w:fldChar w:fldCharType="end"/>
          </w:r>
        </w:p>
        <w:p w14:paraId="1BF1F385">
          <w:pPr>
            <w:pStyle w:val="32"/>
            <w:tabs>
              <w:tab w:val="right" w:leader="dot" w:pos="9072"/>
            </w:tabs>
          </w:pPr>
          <w:r>
            <w:rPr>
              <w:color w:val="auto"/>
            </w:rPr>
            <w:fldChar w:fldCharType="begin"/>
          </w:r>
          <w:r>
            <w:instrText xml:space="preserve"> HYPERLINK \l _Toc946829116 </w:instrText>
          </w:r>
          <w:r>
            <w:fldChar w:fldCharType="separate"/>
          </w:r>
          <w:r>
            <w:rPr>
              <w:rFonts w:ascii="Times New Roman" w:hAnsi="Times New Roman" w:eastAsia="黑体"/>
              <w:bCs/>
              <w:i w:val="0"/>
              <w:iCs w:val="0"/>
              <w:szCs w:val="24"/>
            </w:rPr>
            <w:t>（四）当代价值研究</w:t>
          </w:r>
          <w:r>
            <w:tab/>
          </w:r>
          <w:r>
            <w:fldChar w:fldCharType="begin"/>
          </w:r>
          <w:r>
            <w:instrText xml:space="preserve"> PAGEREF _Toc946829116 \h </w:instrText>
          </w:r>
          <w:r>
            <w:fldChar w:fldCharType="separate"/>
          </w:r>
          <w:r>
            <w:t>14</w:t>
          </w:r>
          <w:r>
            <w:fldChar w:fldCharType="end"/>
          </w:r>
          <w:r>
            <w:rPr>
              <w:color w:val="auto"/>
            </w:rPr>
            <w:fldChar w:fldCharType="end"/>
          </w:r>
        </w:p>
        <w:p w14:paraId="0D184751">
          <w:pPr>
            <w:pStyle w:val="32"/>
            <w:tabs>
              <w:tab w:val="right" w:leader="dot" w:pos="9072"/>
            </w:tabs>
          </w:pPr>
          <w:r>
            <w:rPr>
              <w:color w:val="auto"/>
            </w:rPr>
            <w:fldChar w:fldCharType="begin"/>
          </w:r>
          <w:r>
            <w:instrText xml:space="preserve"> HYPERLINK \l _Toc503128342 </w:instrText>
          </w:r>
          <w:r>
            <w:fldChar w:fldCharType="separate"/>
          </w:r>
          <w:r>
            <w:rPr>
              <w:rFonts w:ascii="Times New Roman" w:hAnsi="Times New Roman" w:eastAsia="黑体"/>
              <w:bCs/>
              <w:i w:val="0"/>
              <w:iCs w:val="0"/>
              <w:szCs w:val="24"/>
            </w:rPr>
            <w:t>（五）国外研究现状</w:t>
          </w:r>
          <w:r>
            <w:tab/>
          </w:r>
          <w:r>
            <w:fldChar w:fldCharType="begin"/>
          </w:r>
          <w:r>
            <w:instrText xml:space="preserve"> PAGEREF _Toc503128342 \h </w:instrText>
          </w:r>
          <w:r>
            <w:fldChar w:fldCharType="separate"/>
          </w:r>
          <w:r>
            <w:t>14</w:t>
          </w:r>
          <w:r>
            <w:fldChar w:fldCharType="end"/>
          </w:r>
          <w:r>
            <w:rPr>
              <w:color w:val="auto"/>
            </w:rPr>
            <w:fldChar w:fldCharType="end"/>
          </w:r>
        </w:p>
        <w:p w14:paraId="793F5260">
          <w:pPr>
            <w:pStyle w:val="32"/>
            <w:tabs>
              <w:tab w:val="right" w:leader="dot" w:pos="9072"/>
            </w:tabs>
          </w:pPr>
          <w:r>
            <w:rPr>
              <w:color w:val="auto"/>
            </w:rPr>
            <w:fldChar w:fldCharType="begin"/>
          </w:r>
          <w:r>
            <w:instrText xml:space="preserve"> HYPERLINK \l _Toc1434925755 </w:instrText>
          </w:r>
          <w:r>
            <w:fldChar w:fldCharType="separate"/>
          </w:r>
          <w:r>
            <w:rPr>
              <w:rFonts w:ascii="Times New Roman" w:hAnsi="Times New Roman" w:eastAsia="黑体"/>
              <w:bCs/>
              <w:i w:val="0"/>
              <w:iCs w:val="0"/>
              <w:szCs w:val="24"/>
            </w:rPr>
            <w:t>（六）现有研究的不足与本研究的创新</w:t>
          </w:r>
          <w:r>
            <w:tab/>
          </w:r>
          <w:r>
            <w:fldChar w:fldCharType="begin"/>
          </w:r>
          <w:r>
            <w:instrText xml:space="preserve"> PAGEREF _Toc1434925755 \h </w:instrText>
          </w:r>
          <w:r>
            <w:fldChar w:fldCharType="separate"/>
          </w:r>
          <w:r>
            <w:t>15</w:t>
          </w:r>
          <w:r>
            <w:fldChar w:fldCharType="end"/>
          </w:r>
          <w:r>
            <w:rPr>
              <w:color w:val="auto"/>
            </w:rPr>
            <w:fldChar w:fldCharType="end"/>
          </w:r>
        </w:p>
        <w:p w14:paraId="6E970AD0">
          <w:pPr>
            <w:pStyle w:val="28"/>
            <w:tabs>
              <w:tab w:val="right" w:leader="dot" w:pos="9072"/>
            </w:tabs>
          </w:pPr>
          <w:r>
            <w:rPr>
              <w:color w:val="auto"/>
            </w:rPr>
            <w:fldChar w:fldCharType="begin"/>
          </w:r>
          <w:r>
            <w:instrText xml:space="preserve"> HYPERLINK \l _Toc555808475 </w:instrText>
          </w:r>
          <w:r>
            <w:fldChar w:fldCharType="separate"/>
          </w:r>
          <w:r>
            <w:rPr>
              <w:rFonts w:ascii="Times New Roman" w:hAnsi="Times New Roman" w:eastAsia="黑体"/>
              <w:bCs/>
              <w:szCs w:val="28"/>
            </w:rPr>
            <w:t>三、研究思路与研究方法</w:t>
          </w:r>
          <w:r>
            <w:tab/>
          </w:r>
          <w:r>
            <w:fldChar w:fldCharType="begin"/>
          </w:r>
          <w:r>
            <w:instrText xml:space="preserve"> PAGEREF _Toc555808475 \h </w:instrText>
          </w:r>
          <w:r>
            <w:fldChar w:fldCharType="separate"/>
          </w:r>
          <w:r>
            <w:t>15</w:t>
          </w:r>
          <w:r>
            <w:fldChar w:fldCharType="end"/>
          </w:r>
          <w:r>
            <w:rPr>
              <w:color w:val="auto"/>
            </w:rPr>
            <w:fldChar w:fldCharType="end"/>
          </w:r>
        </w:p>
        <w:p w14:paraId="62F00BCD">
          <w:pPr>
            <w:pStyle w:val="32"/>
            <w:tabs>
              <w:tab w:val="right" w:leader="dot" w:pos="9072"/>
            </w:tabs>
          </w:pPr>
          <w:r>
            <w:rPr>
              <w:color w:val="auto"/>
            </w:rPr>
            <w:fldChar w:fldCharType="begin"/>
          </w:r>
          <w:r>
            <w:instrText xml:space="preserve"> HYPERLINK \l _Toc2066658522 </w:instrText>
          </w:r>
          <w:r>
            <w:fldChar w:fldCharType="separate"/>
          </w:r>
          <w:r>
            <w:rPr>
              <w:rFonts w:ascii="Times New Roman" w:hAnsi="Times New Roman" w:eastAsia="黑体"/>
              <w:bCs/>
              <w:i w:val="0"/>
              <w:iCs w:val="0"/>
              <w:szCs w:val="24"/>
            </w:rPr>
            <w:t>（一）研究思路</w:t>
          </w:r>
          <w:r>
            <w:tab/>
          </w:r>
          <w:r>
            <w:fldChar w:fldCharType="begin"/>
          </w:r>
          <w:r>
            <w:instrText xml:space="preserve"> PAGEREF _Toc2066658522 \h </w:instrText>
          </w:r>
          <w:r>
            <w:fldChar w:fldCharType="separate"/>
          </w:r>
          <w:r>
            <w:t>15</w:t>
          </w:r>
          <w:r>
            <w:fldChar w:fldCharType="end"/>
          </w:r>
          <w:r>
            <w:rPr>
              <w:color w:val="auto"/>
            </w:rPr>
            <w:fldChar w:fldCharType="end"/>
          </w:r>
        </w:p>
        <w:p w14:paraId="3036D766">
          <w:pPr>
            <w:pStyle w:val="32"/>
            <w:tabs>
              <w:tab w:val="right" w:leader="dot" w:pos="9072"/>
            </w:tabs>
          </w:pPr>
          <w:r>
            <w:rPr>
              <w:color w:val="auto"/>
            </w:rPr>
            <w:fldChar w:fldCharType="begin"/>
          </w:r>
          <w:r>
            <w:instrText xml:space="preserve"> HYPERLINK \l _Toc929272676 </w:instrText>
          </w:r>
          <w:r>
            <w:fldChar w:fldCharType="separate"/>
          </w:r>
          <w:r>
            <w:rPr>
              <w:rFonts w:ascii="黑体" w:hAnsi="黑体" w:eastAsia="黑体"/>
              <w:bCs/>
              <w:szCs w:val="24"/>
            </w:rPr>
            <w:t>（二）研究方法</w:t>
          </w:r>
          <w:r>
            <w:tab/>
          </w:r>
          <w:r>
            <w:fldChar w:fldCharType="begin"/>
          </w:r>
          <w:r>
            <w:instrText xml:space="preserve"> PAGEREF _Toc929272676 \h </w:instrText>
          </w:r>
          <w:r>
            <w:fldChar w:fldCharType="separate"/>
          </w:r>
          <w:r>
            <w:t>16</w:t>
          </w:r>
          <w:r>
            <w:fldChar w:fldCharType="end"/>
          </w:r>
          <w:r>
            <w:rPr>
              <w:color w:val="auto"/>
            </w:rPr>
            <w:fldChar w:fldCharType="end"/>
          </w:r>
        </w:p>
        <w:p w14:paraId="5D81581C">
          <w:pPr>
            <w:pStyle w:val="28"/>
            <w:tabs>
              <w:tab w:val="right" w:leader="dot" w:pos="9072"/>
            </w:tabs>
          </w:pPr>
          <w:r>
            <w:rPr>
              <w:color w:val="auto"/>
            </w:rPr>
            <w:fldChar w:fldCharType="begin"/>
          </w:r>
          <w:r>
            <w:instrText xml:space="preserve"> HYPERLINK \l _Toc1784784548 </w:instrText>
          </w:r>
          <w:r>
            <w:fldChar w:fldCharType="separate"/>
          </w:r>
          <w:r>
            <w:rPr>
              <w:rFonts w:ascii="Times New Roman" w:hAnsi="Times New Roman" w:eastAsia="黑体"/>
              <w:bCs/>
              <w:szCs w:val="28"/>
            </w:rPr>
            <w:t>四、研究难点与创新点</w:t>
          </w:r>
          <w:r>
            <w:tab/>
          </w:r>
          <w:r>
            <w:fldChar w:fldCharType="begin"/>
          </w:r>
          <w:r>
            <w:instrText xml:space="preserve"> PAGEREF _Toc1784784548 \h </w:instrText>
          </w:r>
          <w:r>
            <w:fldChar w:fldCharType="separate"/>
          </w:r>
          <w:r>
            <w:t>17</w:t>
          </w:r>
          <w:r>
            <w:fldChar w:fldCharType="end"/>
          </w:r>
          <w:r>
            <w:rPr>
              <w:color w:val="auto"/>
            </w:rPr>
            <w:fldChar w:fldCharType="end"/>
          </w:r>
        </w:p>
        <w:p w14:paraId="7E6E0207">
          <w:pPr>
            <w:pStyle w:val="28"/>
            <w:tabs>
              <w:tab w:val="right" w:leader="dot" w:pos="9072"/>
            </w:tabs>
          </w:pPr>
          <w:r>
            <w:rPr>
              <w:color w:val="auto"/>
            </w:rPr>
            <w:fldChar w:fldCharType="begin"/>
          </w:r>
          <w:r>
            <w:instrText xml:space="preserve"> HYPERLINK \l _Toc822316940 </w:instrText>
          </w:r>
          <w:r>
            <w:fldChar w:fldCharType="separate"/>
          </w:r>
          <w:r>
            <w:rPr>
              <w:rFonts w:ascii="Times New Roman" w:hAnsi="Times New Roman" w:eastAsia="黑体"/>
            </w:rPr>
            <w:t>第一章  杜光庭的思想阐释与</w:t>
          </w:r>
          <w:r>
            <w:rPr>
              <w:rFonts w:hint="eastAsia" w:ascii="Times New Roman" w:hAnsi="Times New Roman" w:eastAsia="黑体"/>
              <w:lang w:eastAsia="zh-CN"/>
            </w:rPr>
            <w:t>“</w:t>
          </w:r>
          <w:r>
            <w:rPr>
              <w:rFonts w:ascii="Times New Roman" w:hAnsi="Times New Roman" w:eastAsia="黑体"/>
            </w:rPr>
            <w:t>三教融合</w:t>
          </w:r>
          <w:r>
            <w:rPr>
              <w:rFonts w:hint="eastAsia" w:ascii="Times New Roman" w:hAnsi="Times New Roman" w:eastAsia="黑体"/>
              <w:lang w:eastAsia="zh-CN"/>
            </w:rPr>
            <w:t>”</w:t>
          </w:r>
          <w:r>
            <w:rPr>
              <w:rFonts w:ascii="Times New Roman" w:hAnsi="Times New Roman" w:eastAsia="黑体"/>
            </w:rPr>
            <w:t>的哲理深化</w:t>
          </w:r>
          <w:r>
            <w:tab/>
          </w:r>
          <w:r>
            <w:fldChar w:fldCharType="begin"/>
          </w:r>
          <w:r>
            <w:instrText xml:space="preserve"> PAGEREF _Toc822316940 \h </w:instrText>
          </w:r>
          <w:r>
            <w:fldChar w:fldCharType="separate"/>
          </w:r>
          <w:r>
            <w:t>18</w:t>
          </w:r>
          <w:r>
            <w:fldChar w:fldCharType="end"/>
          </w:r>
          <w:r>
            <w:rPr>
              <w:color w:val="auto"/>
            </w:rPr>
            <w:fldChar w:fldCharType="end"/>
          </w:r>
        </w:p>
        <w:p w14:paraId="44FD1C69">
          <w:pPr>
            <w:pStyle w:val="32"/>
            <w:tabs>
              <w:tab w:val="right" w:leader="dot" w:pos="9072"/>
            </w:tabs>
          </w:pPr>
          <w:r>
            <w:rPr>
              <w:color w:val="auto"/>
            </w:rPr>
            <w:fldChar w:fldCharType="begin"/>
          </w:r>
          <w:r>
            <w:instrText xml:space="preserve"> HYPERLINK \l _Toc1623542135 </w:instrText>
          </w:r>
          <w:r>
            <w:fldChar w:fldCharType="separate"/>
          </w:r>
          <w:r>
            <w:rPr>
              <w:rFonts w:hint="eastAsia" w:ascii="黑体" w:hAnsi="黑体" w:eastAsia="黑体" w:cs="黑体"/>
              <w:bCs/>
              <w:szCs w:val="30"/>
            </w:rPr>
            <w:t>第一节  《道德真经广圣义》的</w:t>
          </w:r>
          <w:r>
            <w:rPr>
              <w:rFonts w:hint="eastAsia" w:ascii="黑体" w:hAnsi="黑体" w:eastAsia="黑体" w:cs="黑体"/>
              <w:bCs/>
              <w:szCs w:val="30"/>
              <w:lang w:eastAsia="zh-CN"/>
            </w:rPr>
            <w:t>“</w:t>
          </w:r>
          <w:r>
            <w:rPr>
              <w:rFonts w:hint="eastAsia" w:ascii="黑体" w:hAnsi="黑体" w:eastAsia="黑体" w:cs="黑体"/>
              <w:bCs/>
              <w:szCs w:val="30"/>
            </w:rPr>
            <w:t>重玄</w:t>
          </w:r>
          <w:r>
            <w:rPr>
              <w:rFonts w:hint="eastAsia" w:ascii="黑体" w:hAnsi="黑体" w:eastAsia="黑体" w:cs="黑体"/>
              <w:bCs/>
              <w:szCs w:val="30"/>
              <w:lang w:eastAsia="zh-CN"/>
            </w:rPr>
            <w:t>”</w:t>
          </w:r>
          <w:r>
            <w:rPr>
              <w:rFonts w:hint="eastAsia" w:ascii="黑体" w:hAnsi="黑体" w:eastAsia="黑体" w:cs="黑体"/>
              <w:bCs/>
              <w:szCs w:val="30"/>
            </w:rPr>
            <w:t>旨归与唐末道教义学之集成</w:t>
          </w:r>
          <w:r>
            <w:tab/>
          </w:r>
          <w:r>
            <w:fldChar w:fldCharType="begin"/>
          </w:r>
          <w:r>
            <w:instrText xml:space="preserve"> PAGEREF _Toc1623542135 \h </w:instrText>
          </w:r>
          <w:r>
            <w:fldChar w:fldCharType="separate"/>
          </w:r>
          <w:r>
            <w:t>18</w:t>
          </w:r>
          <w:r>
            <w:fldChar w:fldCharType="end"/>
          </w:r>
          <w:r>
            <w:rPr>
              <w:color w:val="auto"/>
            </w:rPr>
            <w:fldChar w:fldCharType="end"/>
          </w:r>
        </w:p>
        <w:p w14:paraId="476F7266">
          <w:pPr>
            <w:pStyle w:val="25"/>
            <w:tabs>
              <w:tab w:val="right" w:leader="dot" w:pos="9072"/>
            </w:tabs>
          </w:pPr>
          <w:r>
            <w:rPr>
              <w:color w:val="auto"/>
            </w:rPr>
            <w:fldChar w:fldCharType="begin"/>
          </w:r>
          <w:r>
            <w:instrText xml:space="preserve"> HYPERLINK \l _Toc945444163 </w:instrText>
          </w:r>
          <w:r>
            <w:fldChar w:fldCharType="separate"/>
          </w:r>
          <w:r>
            <w:rPr>
              <w:rFonts w:ascii="Times New Roman" w:hAnsi="Times New Roman" w:eastAsia="黑体"/>
              <w:bCs/>
              <w:szCs w:val="28"/>
            </w:rPr>
            <w:t>一、唐代重玄义学的发展与杜光庭的诠释动因</w:t>
          </w:r>
          <w:r>
            <w:tab/>
          </w:r>
          <w:r>
            <w:fldChar w:fldCharType="begin"/>
          </w:r>
          <w:r>
            <w:instrText xml:space="preserve"> PAGEREF _Toc945444163 \h </w:instrText>
          </w:r>
          <w:r>
            <w:fldChar w:fldCharType="separate"/>
          </w:r>
          <w:r>
            <w:t>18</w:t>
          </w:r>
          <w:r>
            <w:fldChar w:fldCharType="end"/>
          </w:r>
          <w:r>
            <w:rPr>
              <w:color w:val="auto"/>
            </w:rPr>
            <w:fldChar w:fldCharType="end"/>
          </w:r>
        </w:p>
        <w:p w14:paraId="7FC7DAC9">
          <w:pPr>
            <w:pStyle w:val="25"/>
            <w:tabs>
              <w:tab w:val="right" w:leader="dot" w:pos="9072"/>
            </w:tabs>
          </w:pPr>
          <w:r>
            <w:rPr>
              <w:color w:val="auto"/>
            </w:rPr>
            <w:fldChar w:fldCharType="begin"/>
          </w:r>
          <w:r>
            <w:instrText xml:space="preserve"> HYPERLINK \l _Toc848543388 </w:instrText>
          </w:r>
          <w:r>
            <w:fldChar w:fldCharType="separate"/>
          </w:r>
          <w:r>
            <w:rPr>
              <w:rFonts w:ascii="Times New Roman" w:hAnsi="Times New Roman" w:eastAsia="黑体"/>
              <w:bCs/>
              <w:szCs w:val="28"/>
            </w:rPr>
            <w:t>二、《广圣义》的重玄旨归</w:t>
          </w:r>
          <w:r>
            <w:tab/>
          </w:r>
          <w:r>
            <w:fldChar w:fldCharType="begin"/>
          </w:r>
          <w:r>
            <w:instrText xml:space="preserve"> PAGEREF _Toc848543388 \h </w:instrText>
          </w:r>
          <w:r>
            <w:fldChar w:fldCharType="separate"/>
          </w:r>
          <w:r>
            <w:t>19</w:t>
          </w:r>
          <w:r>
            <w:fldChar w:fldCharType="end"/>
          </w:r>
          <w:r>
            <w:rPr>
              <w:color w:val="auto"/>
            </w:rPr>
            <w:fldChar w:fldCharType="end"/>
          </w:r>
        </w:p>
        <w:p w14:paraId="78F84925">
          <w:pPr>
            <w:pStyle w:val="28"/>
            <w:tabs>
              <w:tab w:val="right" w:leader="dot" w:pos="9072"/>
            </w:tabs>
          </w:pPr>
          <w:r>
            <w:rPr>
              <w:color w:val="auto"/>
            </w:rPr>
            <w:fldChar w:fldCharType="begin"/>
          </w:r>
          <w:r>
            <w:instrText xml:space="preserve"> HYPERLINK \l _Toc29822389 </w:instrText>
          </w:r>
          <w:r>
            <w:fldChar w:fldCharType="separate"/>
          </w:r>
          <w:r>
            <w:rPr>
              <w:rFonts w:hint="eastAsia" w:ascii="楷体" w:hAnsi="楷体" w:eastAsia="楷体" w:cs="楷体"/>
              <w:szCs w:val="24"/>
            </w:rPr>
            <w:t>夫道之无也，资有以彰其功，无此有则道功不彰矣。物之有也，资道以察其质，无此道则物不生矣，物非道则不能生成。</w:t>
          </w:r>
          <w:r>
            <w:tab/>
          </w:r>
          <w:r>
            <w:fldChar w:fldCharType="begin"/>
          </w:r>
          <w:r>
            <w:instrText xml:space="preserve"> PAGEREF _Toc29822389 \h </w:instrText>
          </w:r>
          <w:r>
            <w:fldChar w:fldCharType="separate"/>
          </w:r>
          <w:r>
            <w:t>20</w:t>
          </w:r>
          <w:r>
            <w:fldChar w:fldCharType="end"/>
          </w:r>
          <w:r>
            <w:rPr>
              <w:color w:val="auto"/>
            </w:rPr>
            <w:fldChar w:fldCharType="end"/>
          </w:r>
        </w:p>
        <w:p w14:paraId="2C3961F0">
          <w:pPr>
            <w:pStyle w:val="25"/>
            <w:tabs>
              <w:tab w:val="right" w:leader="dot" w:pos="9072"/>
            </w:tabs>
          </w:pPr>
          <w:r>
            <w:rPr>
              <w:color w:val="auto"/>
            </w:rPr>
            <w:fldChar w:fldCharType="begin"/>
          </w:r>
          <w:r>
            <w:instrText xml:space="preserve"> HYPERLINK \l _Toc861202172 </w:instrText>
          </w:r>
          <w:r>
            <w:fldChar w:fldCharType="separate"/>
          </w:r>
          <w:r>
            <w:rPr>
              <w:rFonts w:ascii="Times New Roman" w:hAnsi="Times New Roman" w:eastAsia="黑体"/>
              <w:bCs/>
              <w:szCs w:val="28"/>
            </w:rPr>
            <w:t>三、唐代道教义学的集成</w:t>
          </w:r>
          <w:r>
            <w:tab/>
          </w:r>
          <w:r>
            <w:fldChar w:fldCharType="begin"/>
          </w:r>
          <w:r>
            <w:instrText xml:space="preserve"> PAGEREF _Toc861202172 \h </w:instrText>
          </w:r>
          <w:r>
            <w:fldChar w:fldCharType="separate"/>
          </w:r>
          <w:r>
            <w:t>21</w:t>
          </w:r>
          <w:r>
            <w:fldChar w:fldCharType="end"/>
          </w:r>
          <w:r>
            <w:rPr>
              <w:color w:val="auto"/>
            </w:rPr>
            <w:fldChar w:fldCharType="end"/>
          </w:r>
        </w:p>
        <w:p w14:paraId="0BBB1555">
          <w:pPr>
            <w:pStyle w:val="32"/>
            <w:tabs>
              <w:tab w:val="right" w:leader="dot" w:pos="9072"/>
            </w:tabs>
          </w:pPr>
          <w:r>
            <w:rPr>
              <w:color w:val="auto"/>
            </w:rPr>
            <w:fldChar w:fldCharType="begin"/>
          </w:r>
          <w:r>
            <w:instrText xml:space="preserve"> HYPERLINK \l _Toc185124024 </w:instrText>
          </w:r>
          <w:r>
            <w:fldChar w:fldCharType="separate"/>
          </w:r>
          <w:r>
            <w:rPr>
              <w:rFonts w:ascii="Times New Roman" w:hAnsi="Times New Roman" w:eastAsia="黑体"/>
              <w:bCs/>
              <w:szCs w:val="30"/>
            </w:rPr>
            <w:t>第二节 “理身理国”的同构性</w:t>
          </w:r>
          <w:r>
            <w:tab/>
          </w:r>
          <w:r>
            <w:fldChar w:fldCharType="begin"/>
          </w:r>
          <w:r>
            <w:instrText xml:space="preserve"> PAGEREF _Toc185124024 \h </w:instrText>
          </w:r>
          <w:r>
            <w:fldChar w:fldCharType="separate"/>
          </w:r>
          <w:r>
            <w:t>24</w:t>
          </w:r>
          <w:r>
            <w:fldChar w:fldCharType="end"/>
          </w:r>
          <w:r>
            <w:rPr>
              <w:color w:val="auto"/>
            </w:rPr>
            <w:fldChar w:fldCharType="end"/>
          </w:r>
        </w:p>
        <w:p w14:paraId="66CE0C4E">
          <w:pPr>
            <w:pStyle w:val="25"/>
            <w:tabs>
              <w:tab w:val="right" w:leader="dot" w:pos="9072"/>
            </w:tabs>
          </w:pPr>
          <w:r>
            <w:rPr>
              <w:color w:val="auto"/>
            </w:rPr>
            <w:fldChar w:fldCharType="begin"/>
          </w:r>
          <w:r>
            <w:instrText xml:space="preserve"> HYPERLINK \l _Toc1823150512 </w:instrText>
          </w:r>
          <w:r>
            <w:fldChar w:fldCharType="separate"/>
          </w:r>
          <w:r>
            <w:rPr>
              <w:rFonts w:ascii="Times New Roman" w:hAnsi="Times New Roman" w:eastAsia="黑体"/>
              <w:bCs/>
              <w:szCs w:val="28"/>
            </w:rPr>
            <w:t>一、“理身理国”道为本体，体用不二的同构基础</w:t>
          </w:r>
          <w:r>
            <w:tab/>
          </w:r>
          <w:r>
            <w:fldChar w:fldCharType="begin"/>
          </w:r>
          <w:r>
            <w:instrText xml:space="preserve"> PAGEREF _Toc1823150512 \h </w:instrText>
          </w:r>
          <w:r>
            <w:fldChar w:fldCharType="separate"/>
          </w:r>
          <w:r>
            <w:t>25</w:t>
          </w:r>
          <w:r>
            <w:fldChar w:fldCharType="end"/>
          </w:r>
          <w:r>
            <w:rPr>
              <w:color w:val="auto"/>
            </w:rPr>
            <w:fldChar w:fldCharType="end"/>
          </w:r>
        </w:p>
        <w:p w14:paraId="5092C714">
          <w:pPr>
            <w:pStyle w:val="25"/>
            <w:tabs>
              <w:tab w:val="right" w:leader="dot" w:pos="9072"/>
            </w:tabs>
          </w:pPr>
          <w:r>
            <w:rPr>
              <w:color w:val="auto"/>
            </w:rPr>
            <w:fldChar w:fldCharType="begin"/>
          </w:r>
          <w:r>
            <w:instrText xml:space="preserve"> HYPERLINK \l _Toc1393979788 </w:instrText>
          </w:r>
          <w:r>
            <w:fldChar w:fldCharType="separate"/>
          </w:r>
          <w:r>
            <w:rPr>
              <w:rFonts w:ascii="Times New Roman" w:hAnsi="Times New Roman" w:eastAsia="黑体"/>
              <w:bCs/>
              <w:szCs w:val="28"/>
            </w:rPr>
            <w:t>二、“理身理国”清静无为，返璞归真的核心原则</w:t>
          </w:r>
          <w:r>
            <w:tab/>
          </w:r>
          <w:r>
            <w:fldChar w:fldCharType="begin"/>
          </w:r>
          <w:r>
            <w:instrText xml:space="preserve"> PAGEREF _Toc1393979788 \h </w:instrText>
          </w:r>
          <w:r>
            <w:fldChar w:fldCharType="separate"/>
          </w:r>
          <w:r>
            <w:t>26</w:t>
          </w:r>
          <w:r>
            <w:fldChar w:fldCharType="end"/>
          </w:r>
          <w:r>
            <w:rPr>
              <w:color w:val="auto"/>
            </w:rPr>
            <w:fldChar w:fldCharType="end"/>
          </w:r>
        </w:p>
        <w:p w14:paraId="10955A99">
          <w:pPr>
            <w:pStyle w:val="25"/>
            <w:tabs>
              <w:tab w:val="right" w:leader="dot" w:pos="9072"/>
            </w:tabs>
          </w:pPr>
          <w:r>
            <w:rPr>
              <w:color w:val="auto"/>
            </w:rPr>
            <w:fldChar w:fldCharType="begin"/>
          </w:r>
          <w:r>
            <w:instrText xml:space="preserve"> HYPERLINK \l _Toc1719191793 </w:instrText>
          </w:r>
          <w:r>
            <w:fldChar w:fldCharType="separate"/>
          </w:r>
          <w:r>
            <w:rPr>
              <w:rFonts w:ascii="Times New Roman" w:hAnsi="Times New Roman" w:eastAsia="黑体"/>
              <w:bCs/>
              <w:szCs w:val="28"/>
            </w:rPr>
            <w:t>三、“理身理国”以道统摄，儒释为用的三教融合</w:t>
          </w:r>
          <w:r>
            <w:tab/>
          </w:r>
          <w:r>
            <w:fldChar w:fldCharType="begin"/>
          </w:r>
          <w:r>
            <w:instrText xml:space="preserve"> PAGEREF _Toc1719191793 \h </w:instrText>
          </w:r>
          <w:r>
            <w:fldChar w:fldCharType="separate"/>
          </w:r>
          <w:r>
            <w:t>28</w:t>
          </w:r>
          <w:r>
            <w:fldChar w:fldCharType="end"/>
          </w:r>
          <w:r>
            <w:rPr>
              <w:color w:val="auto"/>
            </w:rPr>
            <w:fldChar w:fldCharType="end"/>
          </w:r>
        </w:p>
        <w:p w14:paraId="0D3BAF47">
          <w:pPr>
            <w:pStyle w:val="32"/>
            <w:tabs>
              <w:tab w:val="right" w:leader="dot" w:pos="9072"/>
            </w:tabs>
          </w:pPr>
          <w:r>
            <w:rPr>
              <w:color w:val="auto"/>
            </w:rPr>
            <w:fldChar w:fldCharType="begin"/>
          </w:r>
          <w:r>
            <w:instrText xml:space="preserve"> HYPERLINK \l _Toc63994566 </w:instrText>
          </w:r>
          <w:r>
            <w:fldChar w:fldCharType="separate"/>
          </w:r>
          <w:r>
            <w:rPr>
              <w:rFonts w:ascii="Times New Roman" w:hAnsi="Times New Roman" w:eastAsia="黑体"/>
              <w:bCs/>
              <w:szCs w:val="30"/>
            </w:rPr>
            <w:t>第三节 “心性论”的转向</w:t>
          </w:r>
          <w:r>
            <w:tab/>
          </w:r>
          <w:r>
            <w:fldChar w:fldCharType="begin"/>
          </w:r>
          <w:r>
            <w:instrText xml:space="preserve"> PAGEREF _Toc63994566 \h </w:instrText>
          </w:r>
          <w:r>
            <w:fldChar w:fldCharType="separate"/>
          </w:r>
          <w:r>
            <w:t>29</w:t>
          </w:r>
          <w:r>
            <w:fldChar w:fldCharType="end"/>
          </w:r>
          <w:r>
            <w:rPr>
              <w:color w:val="auto"/>
            </w:rPr>
            <w:fldChar w:fldCharType="end"/>
          </w:r>
        </w:p>
        <w:p w14:paraId="6E0AEDA4">
          <w:pPr>
            <w:pStyle w:val="25"/>
            <w:tabs>
              <w:tab w:val="right" w:leader="dot" w:pos="9072"/>
            </w:tabs>
          </w:pPr>
          <w:r>
            <w:rPr>
              <w:color w:val="auto"/>
            </w:rPr>
            <w:fldChar w:fldCharType="begin"/>
          </w:r>
          <w:r>
            <w:instrText xml:space="preserve"> HYPERLINK \l _Toc1814847262 </w:instrText>
          </w:r>
          <w:r>
            <w:fldChar w:fldCharType="separate"/>
          </w:r>
          <w:r>
            <w:rPr>
              <w:rFonts w:ascii="Times New Roman" w:hAnsi="Times New Roman" w:eastAsia="黑体"/>
              <w:bCs/>
              <w:szCs w:val="28"/>
            </w:rPr>
            <w:t>一、道教心性论转向的时代背景与思想渊源</w:t>
          </w:r>
          <w:r>
            <w:tab/>
          </w:r>
          <w:r>
            <w:fldChar w:fldCharType="begin"/>
          </w:r>
          <w:r>
            <w:instrText xml:space="preserve"> PAGEREF _Toc1814847262 \h </w:instrText>
          </w:r>
          <w:r>
            <w:fldChar w:fldCharType="separate"/>
          </w:r>
          <w:r>
            <w:t>30</w:t>
          </w:r>
          <w:r>
            <w:fldChar w:fldCharType="end"/>
          </w:r>
          <w:r>
            <w:rPr>
              <w:color w:val="auto"/>
            </w:rPr>
            <w:fldChar w:fldCharType="end"/>
          </w:r>
        </w:p>
        <w:p w14:paraId="207D65C8">
          <w:pPr>
            <w:pStyle w:val="25"/>
            <w:tabs>
              <w:tab w:val="right" w:leader="dot" w:pos="9072"/>
            </w:tabs>
          </w:pPr>
          <w:r>
            <w:rPr>
              <w:color w:val="auto"/>
            </w:rPr>
            <w:fldChar w:fldCharType="begin"/>
          </w:r>
          <w:r>
            <w:instrText xml:space="preserve"> HYPERLINK \l _Toc1427694093 </w:instrText>
          </w:r>
          <w:r>
            <w:fldChar w:fldCharType="separate"/>
          </w:r>
          <w:r>
            <w:rPr>
              <w:rFonts w:ascii="Times New Roman" w:hAnsi="Times New Roman" w:eastAsia="黑体"/>
              <w:bCs/>
              <w:szCs w:val="28"/>
            </w:rPr>
            <w:t>二、“修道即修心”的核心内涵</w:t>
          </w:r>
          <w:r>
            <w:tab/>
          </w:r>
          <w:r>
            <w:fldChar w:fldCharType="begin"/>
          </w:r>
          <w:r>
            <w:instrText xml:space="preserve"> PAGEREF _Toc1427694093 \h </w:instrText>
          </w:r>
          <w:r>
            <w:fldChar w:fldCharType="separate"/>
          </w:r>
          <w:r>
            <w:t>31</w:t>
          </w:r>
          <w:r>
            <w:fldChar w:fldCharType="end"/>
          </w:r>
          <w:r>
            <w:rPr>
              <w:color w:val="auto"/>
            </w:rPr>
            <w:fldChar w:fldCharType="end"/>
          </w:r>
        </w:p>
        <w:p w14:paraId="2A5EBDAD">
          <w:pPr>
            <w:pStyle w:val="25"/>
            <w:tabs>
              <w:tab w:val="right" w:leader="dot" w:pos="9072"/>
            </w:tabs>
          </w:pPr>
          <w:r>
            <w:rPr>
              <w:color w:val="auto"/>
            </w:rPr>
            <w:fldChar w:fldCharType="begin"/>
          </w:r>
          <w:r>
            <w:instrText xml:space="preserve"> HYPERLINK \l _Toc1419833120 </w:instrText>
          </w:r>
          <w:r>
            <w:fldChar w:fldCharType="separate"/>
          </w:r>
          <w:r>
            <w:rPr>
              <w:rFonts w:ascii="Times New Roman" w:hAnsi="Times New Roman" w:eastAsia="黑体"/>
              <w:bCs/>
              <w:szCs w:val="28"/>
            </w:rPr>
            <w:t>三、心性论转向的历史影响</w:t>
          </w:r>
          <w:r>
            <w:tab/>
          </w:r>
          <w:r>
            <w:fldChar w:fldCharType="begin"/>
          </w:r>
          <w:r>
            <w:instrText xml:space="preserve"> PAGEREF _Toc1419833120 \h </w:instrText>
          </w:r>
          <w:r>
            <w:fldChar w:fldCharType="separate"/>
          </w:r>
          <w:r>
            <w:t>33</w:t>
          </w:r>
          <w:r>
            <w:fldChar w:fldCharType="end"/>
          </w:r>
          <w:r>
            <w:rPr>
              <w:color w:val="auto"/>
            </w:rPr>
            <w:fldChar w:fldCharType="end"/>
          </w:r>
        </w:p>
        <w:p w14:paraId="554E4468">
          <w:pPr>
            <w:pStyle w:val="28"/>
            <w:tabs>
              <w:tab w:val="right" w:leader="dot" w:pos="9072"/>
            </w:tabs>
          </w:pPr>
          <w:r>
            <w:rPr>
              <w:color w:val="auto"/>
            </w:rPr>
            <w:fldChar w:fldCharType="begin"/>
          </w:r>
          <w:r>
            <w:instrText xml:space="preserve"> HYPERLINK \l _Toc296962376 </w:instrText>
          </w:r>
          <w:r>
            <w:fldChar w:fldCharType="separate"/>
          </w:r>
          <w:r>
            <w:rPr>
              <w:rFonts w:ascii="Times New Roman" w:hAnsi="Times New Roman" w:eastAsia="黑体"/>
            </w:rPr>
            <w:t>第二章  杜光庭的文学书写与道教文化的世俗传播</w:t>
          </w:r>
          <w:r>
            <w:tab/>
          </w:r>
          <w:r>
            <w:fldChar w:fldCharType="begin"/>
          </w:r>
          <w:r>
            <w:instrText xml:space="preserve"> PAGEREF _Toc296962376 \h </w:instrText>
          </w:r>
          <w:r>
            <w:fldChar w:fldCharType="separate"/>
          </w:r>
          <w:r>
            <w:t>36</w:t>
          </w:r>
          <w:r>
            <w:fldChar w:fldCharType="end"/>
          </w:r>
          <w:r>
            <w:rPr>
              <w:color w:val="auto"/>
            </w:rPr>
            <w:fldChar w:fldCharType="end"/>
          </w:r>
        </w:p>
        <w:p w14:paraId="3262529D">
          <w:pPr>
            <w:pStyle w:val="32"/>
            <w:tabs>
              <w:tab w:val="right" w:leader="dot" w:pos="9072"/>
            </w:tabs>
          </w:pPr>
          <w:r>
            <w:rPr>
              <w:color w:val="auto"/>
            </w:rPr>
            <w:fldChar w:fldCharType="begin"/>
          </w:r>
          <w:r>
            <w:instrText xml:space="preserve"> HYPERLINK \l _Toc294657804 </w:instrText>
          </w:r>
          <w:r>
            <w:fldChar w:fldCharType="separate"/>
          </w:r>
          <w:r>
            <w:rPr>
              <w:rFonts w:ascii="Times New Roman" w:hAnsi="Times New Roman" w:eastAsia="黑体"/>
              <w:bCs/>
              <w:szCs w:val="30"/>
            </w:rPr>
            <w:t>第一节  《虬髯客传》中的道教意象与乱世伦理</w:t>
          </w:r>
          <w:r>
            <w:tab/>
          </w:r>
          <w:r>
            <w:fldChar w:fldCharType="begin"/>
          </w:r>
          <w:r>
            <w:instrText xml:space="preserve"> PAGEREF _Toc294657804 \h </w:instrText>
          </w:r>
          <w:r>
            <w:fldChar w:fldCharType="separate"/>
          </w:r>
          <w:r>
            <w:t>36</w:t>
          </w:r>
          <w:r>
            <w:fldChar w:fldCharType="end"/>
          </w:r>
          <w:r>
            <w:rPr>
              <w:color w:val="auto"/>
            </w:rPr>
            <w:fldChar w:fldCharType="end"/>
          </w:r>
        </w:p>
        <w:p w14:paraId="4C209992">
          <w:pPr>
            <w:pStyle w:val="25"/>
            <w:tabs>
              <w:tab w:val="right" w:leader="dot" w:pos="9072"/>
            </w:tabs>
          </w:pPr>
          <w:r>
            <w:rPr>
              <w:color w:val="auto"/>
            </w:rPr>
            <w:fldChar w:fldCharType="begin"/>
          </w:r>
          <w:r>
            <w:instrText xml:space="preserve"> HYPERLINK \l _Toc216421846 </w:instrText>
          </w:r>
          <w:r>
            <w:fldChar w:fldCharType="separate"/>
          </w:r>
          <w:r>
            <w:rPr>
              <w:rFonts w:ascii="Times New Roman" w:hAnsi="Times New Roman" w:eastAsia="黑体"/>
              <w:bCs/>
              <w:szCs w:val="28"/>
            </w:rPr>
            <w:t>一、《虬髯客传》的创作背景与文本定位</w:t>
          </w:r>
          <w:r>
            <w:tab/>
          </w:r>
          <w:r>
            <w:fldChar w:fldCharType="begin"/>
          </w:r>
          <w:r>
            <w:instrText xml:space="preserve"> PAGEREF _Toc216421846 \h </w:instrText>
          </w:r>
          <w:r>
            <w:fldChar w:fldCharType="separate"/>
          </w:r>
          <w:r>
            <w:t>37</w:t>
          </w:r>
          <w:r>
            <w:fldChar w:fldCharType="end"/>
          </w:r>
          <w:r>
            <w:rPr>
              <w:color w:val="auto"/>
            </w:rPr>
            <w:fldChar w:fldCharType="end"/>
          </w:r>
        </w:p>
        <w:p w14:paraId="0D30F926">
          <w:pPr>
            <w:pStyle w:val="25"/>
            <w:tabs>
              <w:tab w:val="right" w:leader="dot" w:pos="9072"/>
            </w:tabs>
          </w:pPr>
          <w:r>
            <w:rPr>
              <w:color w:val="auto"/>
            </w:rPr>
            <w:fldChar w:fldCharType="begin"/>
          </w:r>
          <w:r>
            <w:instrText xml:space="preserve"> HYPERLINK \l _Toc1712151351 </w:instrText>
          </w:r>
          <w:r>
            <w:fldChar w:fldCharType="separate"/>
          </w:r>
          <w:r>
            <w:rPr>
              <w:rFonts w:ascii="Times New Roman" w:hAnsi="Times New Roman" w:eastAsia="黑体"/>
              <w:bCs/>
              <w:szCs w:val="28"/>
            </w:rPr>
            <w:t>二、道教意象的世俗化呈现</w:t>
          </w:r>
          <w:r>
            <w:tab/>
          </w:r>
          <w:r>
            <w:fldChar w:fldCharType="begin"/>
          </w:r>
          <w:r>
            <w:instrText xml:space="preserve"> PAGEREF _Toc1712151351 \h </w:instrText>
          </w:r>
          <w:r>
            <w:fldChar w:fldCharType="separate"/>
          </w:r>
          <w:r>
            <w:t>37</w:t>
          </w:r>
          <w:r>
            <w:fldChar w:fldCharType="end"/>
          </w:r>
          <w:r>
            <w:rPr>
              <w:color w:val="auto"/>
            </w:rPr>
            <w:fldChar w:fldCharType="end"/>
          </w:r>
        </w:p>
        <w:p w14:paraId="1A45B1AC">
          <w:pPr>
            <w:pStyle w:val="25"/>
            <w:tabs>
              <w:tab w:val="right" w:leader="dot" w:pos="9072"/>
            </w:tabs>
          </w:pPr>
          <w:r>
            <w:rPr>
              <w:color w:val="auto"/>
            </w:rPr>
            <w:fldChar w:fldCharType="begin"/>
          </w:r>
          <w:r>
            <w:instrText xml:space="preserve"> HYPERLINK \l _Toc1994370104 </w:instrText>
          </w:r>
          <w:r>
            <w:fldChar w:fldCharType="separate"/>
          </w:r>
          <w:r>
            <w:rPr>
              <w:rFonts w:ascii="Times New Roman" w:hAnsi="Times New Roman" w:eastAsia="黑体"/>
              <w:bCs/>
              <w:szCs w:val="28"/>
            </w:rPr>
            <w:t>三、乱世伦理的道教建构与世俗认同</w:t>
          </w:r>
          <w:r>
            <w:tab/>
          </w:r>
          <w:r>
            <w:fldChar w:fldCharType="begin"/>
          </w:r>
          <w:r>
            <w:instrText xml:space="preserve"> PAGEREF _Toc1994370104 \h </w:instrText>
          </w:r>
          <w:r>
            <w:fldChar w:fldCharType="separate"/>
          </w:r>
          <w:r>
            <w:t>40</w:t>
          </w:r>
          <w:r>
            <w:fldChar w:fldCharType="end"/>
          </w:r>
          <w:r>
            <w:rPr>
              <w:color w:val="auto"/>
            </w:rPr>
            <w:fldChar w:fldCharType="end"/>
          </w:r>
        </w:p>
        <w:p w14:paraId="388EBD20">
          <w:pPr>
            <w:pStyle w:val="32"/>
            <w:tabs>
              <w:tab w:val="right" w:leader="dot" w:pos="9072"/>
            </w:tabs>
          </w:pPr>
          <w:r>
            <w:rPr>
              <w:color w:val="auto"/>
            </w:rPr>
            <w:fldChar w:fldCharType="begin"/>
          </w:r>
          <w:r>
            <w:instrText xml:space="preserve"> HYPERLINK \l _Toc1453575552 </w:instrText>
          </w:r>
          <w:r>
            <w:fldChar w:fldCharType="separate"/>
          </w:r>
          <w:r>
            <w:rPr>
              <w:rFonts w:ascii="Times New Roman" w:hAnsi="Times New Roman" w:eastAsia="黑体"/>
              <w:bCs/>
              <w:szCs w:val="30"/>
            </w:rPr>
            <w:t>第二节  青词、步虚词的文体定式与神圣意境的生成</w:t>
          </w:r>
          <w:r>
            <w:tab/>
          </w:r>
          <w:r>
            <w:fldChar w:fldCharType="begin"/>
          </w:r>
          <w:r>
            <w:instrText xml:space="preserve"> PAGEREF _Toc1453575552 \h </w:instrText>
          </w:r>
          <w:r>
            <w:fldChar w:fldCharType="separate"/>
          </w:r>
          <w:r>
            <w:t>41</w:t>
          </w:r>
          <w:r>
            <w:fldChar w:fldCharType="end"/>
          </w:r>
          <w:r>
            <w:rPr>
              <w:color w:val="auto"/>
            </w:rPr>
            <w:fldChar w:fldCharType="end"/>
          </w:r>
        </w:p>
        <w:p w14:paraId="5D5387A4">
          <w:pPr>
            <w:pStyle w:val="25"/>
            <w:tabs>
              <w:tab w:val="right" w:leader="dot" w:pos="9072"/>
            </w:tabs>
          </w:pPr>
          <w:r>
            <w:rPr>
              <w:color w:val="auto"/>
            </w:rPr>
            <w:fldChar w:fldCharType="begin"/>
          </w:r>
          <w:r>
            <w:instrText xml:space="preserve"> HYPERLINK \l _Toc470334192 </w:instrText>
          </w:r>
          <w:r>
            <w:fldChar w:fldCharType="separate"/>
          </w:r>
          <w:r>
            <w:rPr>
              <w:rFonts w:ascii="Times New Roman" w:hAnsi="Times New Roman" w:eastAsia="黑体"/>
              <w:bCs/>
              <w:szCs w:val="28"/>
            </w:rPr>
            <w:t>一、仪式文学典范化的时代动因与宗教需求</w:t>
          </w:r>
          <w:r>
            <w:tab/>
          </w:r>
          <w:r>
            <w:fldChar w:fldCharType="begin"/>
          </w:r>
          <w:r>
            <w:instrText xml:space="preserve"> PAGEREF _Toc470334192 \h </w:instrText>
          </w:r>
          <w:r>
            <w:fldChar w:fldCharType="separate"/>
          </w:r>
          <w:r>
            <w:t>41</w:t>
          </w:r>
          <w:r>
            <w:fldChar w:fldCharType="end"/>
          </w:r>
          <w:r>
            <w:rPr>
              <w:color w:val="auto"/>
            </w:rPr>
            <w:fldChar w:fldCharType="end"/>
          </w:r>
        </w:p>
        <w:p w14:paraId="4A1ED677">
          <w:pPr>
            <w:pStyle w:val="25"/>
            <w:tabs>
              <w:tab w:val="right" w:leader="dot" w:pos="9072"/>
            </w:tabs>
          </w:pPr>
          <w:r>
            <w:rPr>
              <w:color w:val="auto"/>
            </w:rPr>
            <w:fldChar w:fldCharType="begin"/>
          </w:r>
          <w:r>
            <w:instrText xml:space="preserve"> HYPERLINK \l _Toc19460337 </w:instrText>
          </w:r>
          <w:r>
            <w:fldChar w:fldCharType="separate"/>
          </w:r>
          <w:r>
            <w:rPr>
              <w:rFonts w:ascii="Times New Roman" w:hAnsi="Times New Roman" w:eastAsia="黑体"/>
              <w:bCs/>
              <w:szCs w:val="28"/>
            </w:rPr>
            <w:t>二、青词文体定式的建构与神俗沟通的语言规范</w:t>
          </w:r>
          <w:r>
            <w:tab/>
          </w:r>
          <w:r>
            <w:fldChar w:fldCharType="begin"/>
          </w:r>
          <w:r>
            <w:instrText xml:space="preserve"> PAGEREF _Toc19460337 \h </w:instrText>
          </w:r>
          <w:r>
            <w:fldChar w:fldCharType="separate"/>
          </w:r>
          <w:r>
            <w:t>42</w:t>
          </w:r>
          <w:r>
            <w:fldChar w:fldCharType="end"/>
          </w:r>
          <w:r>
            <w:rPr>
              <w:color w:val="auto"/>
            </w:rPr>
            <w:fldChar w:fldCharType="end"/>
          </w:r>
        </w:p>
        <w:p w14:paraId="1C507021">
          <w:pPr>
            <w:pStyle w:val="25"/>
            <w:tabs>
              <w:tab w:val="right" w:leader="dot" w:pos="9072"/>
            </w:tabs>
          </w:pPr>
          <w:r>
            <w:rPr>
              <w:color w:val="auto"/>
            </w:rPr>
            <w:fldChar w:fldCharType="begin"/>
          </w:r>
          <w:r>
            <w:instrText xml:space="preserve"> HYPERLINK \l _Toc652369615 </w:instrText>
          </w:r>
          <w:r>
            <w:fldChar w:fldCharType="separate"/>
          </w:r>
          <w:r>
            <w:rPr>
              <w:rFonts w:ascii="Times New Roman" w:hAnsi="Times New Roman" w:eastAsia="黑体"/>
              <w:bCs/>
              <w:szCs w:val="28"/>
            </w:rPr>
            <w:t>三、步虚词格律规范与神圣意境的营造</w:t>
          </w:r>
          <w:r>
            <w:tab/>
          </w:r>
          <w:r>
            <w:fldChar w:fldCharType="begin"/>
          </w:r>
          <w:r>
            <w:instrText xml:space="preserve"> PAGEREF _Toc652369615 \h </w:instrText>
          </w:r>
          <w:r>
            <w:fldChar w:fldCharType="separate"/>
          </w:r>
          <w:r>
            <w:t>44</w:t>
          </w:r>
          <w:r>
            <w:fldChar w:fldCharType="end"/>
          </w:r>
          <w:r>
            <w:rPr>
              <w:color w:val="auto"/>
            </w:rPr>
            <w:fldChar w:fldCharType="end"/>
          </w:r>
        </w:p>
        <w:p w14:paraId="017ECE2E">
          <w:pPr>
            <w:pStyle w:val="25"/>
            <w:tabs>
              <w:tab w:val="right" w:leader="dot" w:pos="9072"/>
            </w:tabs>
          </w:pPr>
          <w:r>
            <w:rPr>
              <w:color w:val="auto"/>
            </w:rPr>
            <w:fldChar w:fldCharType="begin"/>
          </w:r>
          <w:r>
            <w:instrText xml:space="preserve"> HYPERLINK \l _Toc1472101370 </w:instrText>
          </w:r>
          <w:r>
            <w:fldChar w:fldCharType="separate"/>
          </w:r>
          <w:r>
            <w:rPr>
              <w:rFonts w:ascii="Times New Roman" w:hAnsi="Times New Roman" w:eastAsia="黑体"/>
              <w:bCs/>
              <w:szCs w:val="28"/>
            </w:rPr>
            <w:t>四、仪式文学典范化的道教文化传播意义</w:t>
          </w:r>
          <w:r>
            <w:tab/>
          </w:r>
          <w:r>
            <w:fldChar w:fldCharType="begin"/>
          </w:r>
          <w:r>
            <w:instrText xml:space="preserve"> PAGEREF _Toc1472101370 \h </w:instrText>
          </w:r>
          <w:r>
            <w:fldChar w:fldCharType="separate"/>
          </w:r>
          <w:r>
            <w:t>45</w:t>
          </w:r>
          <w:r>
            <w:fldChar w:fldCharType="end"/>
          </w:r>
          <w:r>
            <w:rPr>
              <w:color w:val="auto"/>
            </w:rPr>
            <w:fldChar w:fldCharType="end"/>
          </w:r>
        </w:p>
        <w:p w14:paraId="72D02BCF">
          <w:pPr>
            <w:pStyle w:val="32"/>
            <w:tabs>
              <w:tab w:val="right" w:leader="dot" w:pos="9072"/>
            </w:tabs>
          </w:pPr>
          <w:r>
            <w:rPr>
              <w:color w:val="auto"/>
            </w:rPr>
            <w:fldChar w:fldCharType="begin"/>
          </w:r>
          <w:r>
            <w:instrText xml:space="preserve"> HYPERLINK \l _Toc448628503 </w:instrText>
          </w:r>
          <w:r>
            <w:fldChar w:fldCharType="separate"/>
          </w:r>
          <w:r>
            <w:rPr>
              <w:rFonts w:ascii="Times New Roman" w:hAnsi="Times New Roman" w:eastAsia="黑体"/>
              <w:bCs/>
              <w:szCs w:val="30"/>
            </w:rPr>
            <w:t>第三节  《录异记》与巴蜀道教圣地文化景观的建构</w:t>
          </w:r>
          <w:r>
            <w:tab/>
          </w:r>
          <w:r>
            <w:fldChar w:fldCharType="begin"/>
          </w:r>
          <w:r>
            <w:instrText xml:space="preserve"> PAGEREF _Toc448628503 \h </w:instrText>
          </w:r>
          <w:r>
            <w:fldChar w:fldCharType="separate"/>
          </w:r>
          <w:r>
            <w:t>46</w:t>
          </w:r>
          <w:r>
            <w:fldChar w:fldCharType="end"/>
          </w:r>
          <w:r>
            <w:rPr>
              <w:color w:val="auto"/>
            </w:rPr>
            <w:fldChar w:fldCharType="end"/>
          </w:r>
        </w:p>
        <w:p w14:paraId="698B87FB">
          <w:pPr>
            <w:pStyle w:val="25"/>
            <w:tabs>
              <w:tab w:val="right" w:leader="dot" w:pos="9072"/>
            </w:tabs>
          </w:pPr>
          <w:r>
            <w:rPr>
              <w:color w:val="auto"/>
            </w:rPr>
            <w:fldChar w:fldCharType="begin"/>
          </w:r>
          <w:r>
            <w:instrText xml:space="preserve"> HYPERLINK \l _Toc284165304 </w:instrText>
          </w:r>
          <w:r>
            <w:fldChar w:fldCharType="separate"/>
          </w:r>
          <w:r>
            <w:rPr>
              <w:rFonts w:ascii="Times New Roman" w:hAnsi="Times New Roman" w:eastAsia="黑体"/>
              <w:bCs/>
              <w:szCs w:val="28"/>
            </w:rPr>
            <w:t>一、巴蜀地方知识圣化书写的时代背景与地域动因</w:t>
          </w:r>
          <w:r>
            <w:tab/>
          </w:r>
          <w:r>
            <w:fldChar w:fldCharType="begin"/>
          </w:r>
          <w:r>
            <w:instrText xml:space="preserve"> PAGEREF _Toc284165304 \h </w:instrText>
          </w:r>
          <w:r>
            <w:fldChar w:fldCharType="separate"/>
          </w:r>
          <w:r>
            <w:t>46</w:t>
          </w:r>
          <w:r>
            <w:fldChar w:fldCharType="end"/>
          </w:r>
          <w:r>
            <w:rPr>
              <w:color w:val="auto"/>
            </w:rPr>
            <w:fldChar w:fldCharType="end"/>
          </w:r>
        </w:p>
        <w:p w14:paraId="0CE27535">
          <w:pPr>
            <w:pStyle w:val="25"/>
            <w:tabs>
              <w:tab w:val="right" w:leader="dot" w:pos="9072"/>
            </w:tabs>
          </w:pPr>
          <w:r>
            <w:rPr>
              <w:color w:val="auto"/>
            </w:rPr>
            <w:fldChar w:fldCharType="begin"/>
          </w:r>
          <w:r>
            <w:instrText xml:space="preserve"> HYPERLINK \l _Toc2110117047 </w:instrText>
          </w:r>
          <w:r>
            <w:fldChar w:fldCharType="separate"/>
          </w:r>
          <w:r>
            <w:rPr>
              <w:rFonts w:ascii="Times New Roman" w:hAnsi="Times New Roman" w:eastAsia="黑体"/>
              <w:bCs/>
              <w:szCs w:val="28"/>
            </w:rPr>
            <w:t>二、巴蜀地方异闻的道教赋义与信仰融合</w:t>
          </w:r>
          <w:r>
            <w:tab/>
          </w:r>
          <w:r>
            <w:fldChar w:fldCharType="begin"/>
          </w:r>
          <w:r>
            <w:instrText xml:space="preserve"> PAGEREF _Toc2110117047 \h </w:instrText>
          </w:r>
          <w:r>
            <w:fldChar w:fldCharType="separate"/>
          </w:r>
          <w:r>
            <w:t>47</w:t>
          </w:r>
          <w:r>
            <w:fldChar w:fldCharType="end"/>
          </w:r>
          <w:r>
            <w:rPr>
              <w:color w:val="auto"/>
            </w:rPr>
            <w:fldChar w:fldCharType="end"/>
          </w:r>
        </w:p>
        <w:p w14:paraId="6772874C">
          <w:pPr>
            <w:pStyle w:val="25"/>
            <w:tabs>
              <w:tab w:val="right" w:leader="dot" w:pos="9072"/>
            </w:tabs>
          </w:pPr>
          <w:r>
            <w:rPr>
              <w:color w:val="auto"/>
            </w:rPr>
            <w:fldChar w:fldCharType="begin"/>
          </w:r>
          <w:r>
            <w:instrText xml:space="preserve"> HYPERLINK \l _Toc1192262371 </w:instrText>
          </w:r>
          <w:r>
            <w:fldChar w:fldCharType="separate"/>
          </w:r>
          <w:r>
            <w:rPr>
              <w:rFonts w:ascii="Times New Roman" w:hAnsi="Times New Roman" w:eastAsia="黑体"/>
              <w:bCs/>
              <w:szCs w:val="28"/>
            </w:rPr>
            <w:t>三、巴蜀山水风物的神圣化与道教圣地的建构</w:t>
          </w:r>
          <w:r>
            <w:tab/>
          </w:r>
          <w:r>
            <w:fldChar w:fldCharType="begin"/>
          </w:r>
          <w:r>
            <w:instrText xml:space="preserve"> PAGEREF _Toc1192262371 \h </w:instrText>
          </w:r>
          <w:r>
            <w:fldChar w:fldCharType="separate"/>
          </w:r>
          <w:r>
            <w:t>49</w:t>
          </w:r>
          <w:r>
            <w:fldChar w:fldCharType="end"/>
          </w:r>
          <w:r>
            <w:rPr>
              <w:color w:val="auto"/>
            </w:rPr>
            <w:fldChar w:fldCharType="end"/>
          </w:r>
        </w:p>
        <w:p w14:paraId="4F6DDD1C">
          <w:pPr>
            <w:pStyle w:val="25"/>
            <w:tabs>
              <w:tab w:val="right" w:leader="dot" w:pos="9072"/>
            </w:tabs>
          </w:pPr>
          <w:r>
            <w:rPr>
              <w:color w:val="auto"/>
            </w:rPr>
            <w:fldChar w:fldCharType="begin"/>
          </w:r>
          <w:r>
            <w:instrText xml:space="preserve"> HYPERLINK \l _Toc183759240 </w:instrText>
          </w:r>
          <w:r>
            <w:fldChar w:fldCharType="separate"/>
          </w:r>
          <w:r>
            <w:rPr>
              <w:rFonts w:ascii="Times New Roman" w:hAnsi="Times New Roman" w:eastAsia="黑体"/>
              <w:bCs/>
              <w:szCs w:val="28"/>
            </w:rPr>
            <w:t>四、巴蜀道教圣地文化景观的塑造与地方文化融合</w:t>
          </w:r>
          <w:r>
            <w:tab/>
          </w:r>
          <w:r>
            <w:fldChar w:fldCharType="begin"/>
          </w:r>
          <w:r>
            <w:instrText xml:space="preserve"> PAGEREF _Toc183759240 \h </w:instrText>
          </w:r>
          <w:r>
            <w:fldChar w:fldCharType="separate"/>
          </w:r>
          <w:r>
            <w:t>50</w:t>
          </w:r>
          <w:r>
            <w:fldChar w:fldCharType="end"/>
          </w:r>
          <w:r>
            <w:rPr>
              <w:color w:val="auto"/>
            </w:rPr>
            <w:fldChar w:fldCharType="end"/>
          </w:r>
        </w:p>
        <w:p w14:paraId="4BE4C668">
          <w:pPr>
            <w:pStyle w:val="28"/>
            <w:tabs>
              <w:tab w:val="right" w:leader="dot" w:pos="9072"/>
            </w:tabs>
          </w:pPr>
          <w:r>
            <w:rPr>
              <w:color w:val="auto"/>
            </w:rPr>
            <w:fldChar w:fldCharType="begin"/>
          </w:r>
          <w:r>
            <w:instrText xml:space="preserve"> HYPERLINK \l _Toc360062294 </w:instrText>
          </w:r>
          <w:r>
            <w:fldChar w:fldCharType="separate"/>
          </w:r>
          <w:r>
            <w:rPr>
              <w:rFonts w:ascii="Times New Roman" w:hAnsi="Times New Roman" w:eastAsia="黑体"/>
            </w:rPr>
            <w:t>第三章  杜光庭的科仪整合及其公共性建构</w:t>
          </w:r>
          <w:r>
            <w:tab/>
          </w:r>
          <w:r>
            <w:fldChar w:fldCharType="begin"/>
          </w:r>
          <w:r>
            <w:instrText xml:space="preserve"> PAGEREF _Toc360062294 \h </w:instrText>
          </w:r>
          <w:r>
            <w:fldChar w:fldCharType="separate"/>
          </w:r>
          <w:r>
            <w:t>53</w:t>
          </w:r>
          <w:r>
            <w:fldChar w:fldCharType="end"/>
          </w:r>
          <w:r>
            <w:rPr>
              <w:color w:val="auto"/>
            </w:rPr>
            <w:fldChar w:fldCharType="end"/>
          </w:r>
        </w:p>
        <w:p w14:paraId="3A063BCE">
          <w:pPr>
            <w:pStyle w:val="32"/>
            <w:tabs>
              <w:tab w:val="right" w:leader="dot" w:pos="9072"/>
            </w:tabs>
          </w:pPr>
          <w:r>
            <w:rPr>
              <w:color w:val="auto"/>
            </w:rPr>
            <w:fldChar w:fldCharType="begin"/>
          </w:r>
          <w:r>
            <w:instrText xml:space="preserve"> HYPERLINK \l _Toc2105541659 </w:instrText>
          </w:r>
          <w:r>
            <w:fldChar w:fldCharType="separate"/>
          </w:r>
          <w:r>
            <w:rPr>
              <w:rFonts w:ascii="Times New Roman" w:hAnsi="Times New Roman" w:eastAsia="黑体"/>
              <w:bCs/>
              <w:szCs w:val="30"/>
            </w:rPr>
            <w:t>第一节  《道门科范大全集》的编纂</w:t>
          </w:r>
          <w:r>
            <w:tab/>
          </w:r>
          <w:r>
            <w:fldChar w:fldCharType="begin"/>
          </w:r>
          <w:r>
            <w:instrText xml:space="preserve"> PAGEREF _Toc2105541659 \h </w:instrText>
          </w:r>
          <w:r>
            <w:fldChar w:fldCharType="separate"/>
          </w:r>
          <w:r>
            <w:t>54</w:t>
          </w:r>
          <w:r>
            <w:fldChar w:fldCharType="end"/>
          </w:r>
          <w:r>
            <w:rPr>
              <w:color w:val="auto"/>
            </w:rPr>
            <w:fldChar w:fldCharType="end"/>
          </w:r>
        </w:p>
        <w:p w14:paraId="4E58B9FF">
          <w:pPr>
            <w:pStyle w:val="25"/>
            <w:tabs>
              <w:tab w:val="right" w:leader="dot" w:pos="9072"/>
            </w:tabs>
          </w:pPr>
          <w:r>
            <w:rPr>
              <w:color w:val="auto"/>
            </w:rPr>
            <w:fldChar w:fldCharType="begin"/>
          </w:r>
          <w:r>
            <w:instrText xml:space="preserve"> HYPERLINK \l _Toc1603127547 </w:instrText>
          </w:r>
          <w:r>
            <w:fldChar w:fldCharType="separate"/>
          </w:r>
          <w:r>
            <w:rPr>
              <w:rFonts w:ascii="Times New Roman" w:hAnsi="Times New Roman" w:eastAsia="黑体"/>
              <w:bCs/>
              <w:szCs w:val="28"/>
            </w:rPr>
            <w:t>一、编纂的时代背景</w:t>
          </w:r>
          <w:r>
            <w:tab/>
          </w:r>
          <w:r>
            <w:fldChar w:fldCharType="begin"/>
          </w:r>
          <w:r>
            <w:instrText xml:space="preserve"> PAGEREF _Toc1603127547 \h </w:instrText>
          </w:r>
          <w:r>
            <w:fldChar w:fldCharType="separate"/>
          </w:r>
          <w:r>
            <w:t>54</w:t>
          </w:r>
          <w:r>
            <w:fldChar w:fldCharType="end"/>
          </w:r>
          <w:r>
            <w:rPr>
              <w:color w:val="auto"/>
            </w:rPr>
            <w:fldChar w:fldCharType="end"/>
          </w:r>
        </w:p>
        <w:p w14:paraId="3E4E3FD0">
          <w:pPr>
            <w:pStyle w:val="25"/>
            <w:tabs>
              <w:tab w:val="right" w:leader="dot" w:pos="9072"/>
            </w:tabs>
          </w:pPr>
          <w:r>
            <w:rPr>
              <w:color w:val="auto"/>
            </w:rPr>
            <w:fldChar w:fldCharType="begin"/>
          </w:r>
          <w:r>
            <w:instrText xml:space="preserve"> HYPERLINK \l _Toc1434847167 </w:instrText>
          </w:r>
          <w:r>
            <w:fldChar w:fldCharType="separate"/>
          </w:r>
          <w:r>
            <w:rPr>
              <w:rFonts w:ascii="Times New Roman" w:hAnsi="Times New Roman" w:eastAsia="黑体"/>
              <w:bCs/>
              <w:szCs w:val="28"/>
            </w:rPr>
            <w:t>二、《道门科范大全集》编纂体例与内容新变考论</w:t>
          </w:r>
          <w:r>
            <w:tab/>
          </w:r>
          <w:r>
            <w:fldChar w:fldCharType="begin"/>
          </w:r>
          <w:r>
            <w:instrText xml:space="preserve"> PAGEREF _Toc1434847167 \h </w:instrText>
          </w:r>
          <w:r>
            <w:fldChar w:fldCharType="separate"/>
          </w:r>
          <w:r>
            <w:t>57</w:t>
          </w:r>
          <w:r>
            <w:fldChar w:fldCharType="end"/>
          </w:r>
          <w:r>
            <w:rPr>
              <w:color w:val="auto"/>
            </w:rPr>
            <w:fldChar w:fldCharType="end"/>
          </w:r>
        </w:p>
        <w:p w14:paraId="2DBC21DD">
          <w:pPr>
            <w:pStyle w:val="32"/>
            <w:tabs>
              <w:tab w:val="right" w:leader="dot" w:pos="9072"/>
            </w:tabs>
          </w:pPr>
          <w:r>
            <w:rPr>
              <w:color w:val="auto"/>
            </w:rPr>
            <w:fldChar w:fldCharType="begin"/>
          </w:r>
          <w:r>
            <w:instrText xml:space="preserve"> HYPERLINK \l _Toc1382463606 </w:instrText>
          </w:r>
          <w:r>
            <w:fldChar w:fldCharType="separate"/>
          </w:r>
          <w:r>
            <w:rPr>
              <w:rFonts w:ascii="Times New Roman" w:hAnsi="Times New Roman" w:eastAsia="黑体"/>
              <w:bCs/>
              <w:szCs w:val="30"/>
            </w:rPr>
            <w:t>第二节  国家斋醮中的神权论证与权力展演</w:t>
          </w:r>
          <w:r>
            <w:tab/>
          </w:r>
          <w:r>
            <w:fldChar w:fldCharType="begin"/>
          </w:r>
          <w:r>
            <w:instrText xml:space="preserve"> PAGEREF _Toc1382463606 \h </w:instrText>
          </w:r>
          <w:r>
            <w:fldChar w:fldCharType="separate"/>
          </w:r>
          <w:r>
            <w:t>60</w:t>
          </w:r>
          <w:r>
            <w:fldChar w:fldCharType="end"/>
          </w:r>
          <w:r>
            <w:rPr>
              <w:color w:val="auto"/>
            </w:rPr>
            <w:fldChar w:fldCharType="end"/>
          </w:r>
        </w:p>
        <w:p w14:paraId="23C7A0D0">
          <w:pPr>
            <w:pStyle w:val="25"/>
            <w:tabs>
              <w:tab w:val="right" w:leader="dot" w:pos="9072"/>
            </w:tabs>
          </w:pPr>
          <w:r>
            <w:rPr>
              <w:color w:val="auto"/>
            </w:rPr>
            <w:fldChar w:fldCharType="begin"/>
          </w:r>
          <w:r>
            <w:instrText xml:space="preserve"> HYPERLINK \l _Toc1440249149 </w:instrText>
          </w:r>
          <w:r>
            <w:fldChar w:fldCharType="separate"/>
          </w:r>
          <w:r>
            <w:rPr>
              <w:rFonts w:ascii="Times New Roman" w:hAnsi="Times New Roman" w:eastAsia="黑体"/>
              <w:bCs/>
              <w:szCs w:val="28"/>
            </w:rPr>
            <w:t>一、唐末五代的政治语境与国家对神权合法性的需求</w:t>
          </w:r>
          <w:r>
            <w:tab/>
          </w:r>
          <w:r>
            <w:fldChar w:fldCharType="begin"/>
          </w:r>
          <w:r>
            <w:instrText xml:space="preserve"> PAGEREF _Toc1440249149 \h </w:instrText>
          </w:r>
          <w:r>
            <w:fldChar w:fldCharType="separate"/>
          </w:r>
          <w:r>
            <w:t>60</w:t>
          </w:r>
          <w:r>
            <w:fldChar w:fldCharType="end"/>
          </w:r>
          <w:r>
            <w:rPr>
              <w:color w:val="auto"/>
            </w:rPr>
            <w:fldChar w:fldCharType="end"/>
          </w:r>
        </w:p>
        <w:p w14:paraId="4CDC315A">
          <w:pPr>
            <w:pStyle w:val="25"/>
            <w:tabs>
              <w:tab w:val="right" w:leader="dot" w:pos="9072"/>
            </w:tabs>
          </w:pPr>
          <w:r>
            <w:rPr>
              <w:color w:val="auto"/>
            </w:rPr>
            <w:fldChar w:fldCharType="begin"/>
          </w:r>
          <w:r>
            <w:instrText xml:space="preserve"> HYPERLINK \l _Toc1979261906 </w:instrText>
          </w:r>
          <w:r>
            <w:fldChar w:fldCharType="separate"/>
          </w:r>
          <w:r>
            <w:rPr>
              <w:rFonts w:ascii="Times New Roman" w:hAnsi="Times New Roman" w:eastAsia="黑体"/>
              <w:bCs/>
              <w:szCs w:val="28"/>
            </w:rPr>
            <w:t>二、为王权提供“天命”与治理的宗教支撑</w:t>
          </w:r>
          <w:r>
            <w:tab/>
          </w:r>
          <w:r>
            <w:fldChar w:fldCharType="begin"/>
          </w:r>
          <w:r>
            <w:instrText xml:space="preserve"> PAGEREF _Toc1979261906 \h </w:instrText>
          </w:r>
          <w:r>
            <w:fldChar w:fldCharType="separate"/>
          </w:r>
          <w:r>
            <w:t>61</w:t>
          </w:r>
          <w:r>
            <w:fldChar w:fldCharType="end"/>
          </w:r>
          <w:r>
            <w:rPr>
              <w:color w:val="auto"/>
            </w:rPr>
            <w:fldChar w:fldCharType="end"/>
          </w:r>
        </w:p>
        <w:p w14:paraId="425C5FB0">
          <w:pPr>
            <w:pStyle w:val="25"/>
            <w:tabs>
              <w:tab w:val="right" w:leader="dot" w:pos="9072"/>
            </w:tabs>
          </w:pPr>
          <w:r>
            <w:rPr>
              <w:color w:val="auto"/>
            </w:rPr>
            <w:fldChar w:fldCharType="begin"/>
          </w:r>
          <w:r>
            <w:instrText xml:space="preserve"> HYPERLINK \l _Toc933162112 </w:instrText>
          </w:r>
          <w:r>
            <w:fldChar w:fldCharType="separate"/>
          </w:r>
          <w:r>
            <w:rPr>
              <w:rFonts w:ascii="Times New Roman" w:hAnsi="Times New Roman" w:eastAsia="黑体"/>
              <w:bCs/>
              <w:szCs w:val="28"/>
            </w:rPr>
            <w:t>三、神权与王权的互动及公共仪式的建构</w:t>
          </w:r>
          <w:r>
            <w:tab/>
          </w:r>
          <w:r>
            <w:fldChar w:fldCharType="begin"/>
          </w:r>
          <w:r>
            <w:instrText xml:space="preserve"> PAGEREF _Toc933162112 \h </w:instrText>
          </w:r>
          <w:r>
            <w:fldChar w:fldCharType="separate"/>
          </w:r>
          <w:r>
            <w:t>62</w:t>
          </w:r>
          <w:r>
            <w:fldChar w:fldCharType="end"/>
          </w:r>
          <w:r>
            <w:rPr>
              <w:color w:val="auto"/>
            </w:rPr>
            <w:fldChar w:fldCharType="end"/>
          </w:r>
        </w:p>
        <w:p w14:paraId="64C42C1C">
          <w:pPr>
            <w:pStyle w:val="32"/>
            <w:tabs>
              <w:tab w:val="right" w:leader="dot" w:pos="9072"/>
            </w:tabs>
          </w:pPr>
          <w:r>
            <w:rPr>
              <w:color w:val="auto"/>
            </w:rPr>
            <w:fldChar w:fldCharType="begin"/>
          </w:r>
          <w:r>
            <w:instrText xml:space="preserve"> HYPERLINK \l _Toc582542343 </w:instrText>
          </w:r>
          <w:r>
            <w:fldChar w:fldCharType="separate"/>
          </w:r>
          <w:r>
            <w:rPr>
              <w:rFonts w:ascii="Times New Roman" w:hAnsi="Times New Roman" w:eastAsia="黑体"/>
              <w:bCs/>
              <w:szCs w:val="30"/>
            </w:rPr>
            <w:t>第三节  科仪统一对道教组织化与社会教化的推动作用</w:t>
          </w:r>
          <w:r>
            <w:tab/>
          </w:r>
          <w:r>
            <w:fldChar w:fldCharType="begin"/>
          </w:r>
          <w:r>
            <w:instrText xml:space="preserve"> PAGEREF _Toc582542343 \h </w:instrText>
          </w:r>
          <w:r>
            <w:fldChar w:fldCharType="separate"/>
          </w:r>
          <w:r>
            <w:t>64</w:t>
          </w:r>
          <w:r>
            <w:fldChar w:fldCharType="end"/>
          </w:r>
          <w:r>
            <w:rPr>
              <w:color w:val="auto"/>
            </w:rPr>
            <w:fldChar w:fldCharType="end"/>
          </w:r>
        </w:p>
        <w:p w14:paraId="53D32460">
          <w:pPr>
            <w:pStyle w:val="25"/>
            <w:tabs>
              <w:tab w:val="right" w:leader="dot" w:pos="9072"/>
            </w:tabs>
          </w:pPr>
          <w:r>
            <w:rPr>
              <w:color w:val="auto"/>
            </w:rPr>
            <w:fldChar w:fldCharType="begin"/>
          </w:r>
          <w:r>
            <w:instrText xml:space="preserve"> HYPERLINK \l _Toc411212128 </w:instrText>
          </w:r>
          <w:r>
            <w:fldChar w:fldCharType="separate"/>
          </w:r>
          <w:r>
            <w:rPr>
              <w:rFonts w:ascii="Times New Roman" w:hAnsi="Times New Roman" w:eastAsia="黑体"/>
              <w:bCs/>
              <w:szCs w:val="28"/>
            </w:rPr>
            <w:t>一、科仪规范化与道教组织统一性的建构</w:t>
          </w:r>
          <w:r>
            <w:tab/>
          </w:r>
          <w:r>
            <w:fldChar w:fldCharType="begin"/>
          </w:r>
          <w:r>
            <w:instrText xml:space="preserve"> PAGEREF _Toc411212128 \h </w:instrText>
          </w:r>
          <w:r>
            <w:fldChar w:fldCharType="separate"/>
          </w:r>
          <w:r>
            <w:t>64</w:t>
          </w:r>
          <w:r>
            <w:fldChar w:fldCharType="end"/>
          </w:r>
          <w:r>
            <w:rPr>
              <w:color w:val="auto"/>
            </w:rPr>
            <w:fldChar w:fldCharType="end"/>
          </w:r>
        </w:p>
        <w:p w14:paraId="05983969">
          <w:pPr>
            <w:pStyle w:val="25"/>
            <w:tabs>
              <w:tab w:val="right" w:leader="dot" w:pos="9072"/>
            </w:tabs>
          </w:pPr>
          <w:r>
            <w:rPr>
              <w:color w:val="auto"/>
            </w:rPr>
            <w:fldChar w:fldCharType="begin"/>
          </w:r>
          <w:r>
            <w:instrText xml:space="preserve"> HYPERLINK \l _Toc639859250 </w:instrText>
          </w:r>
          <w:r>
            <w:fldChar w:fldCharType="separate"/>
          </w:r>
          <w:r>
            <w:rPr>
              <w:rFonts w:ascii="Times New Roman" w:hAnsi="Times New Roman" w:eastAsia="黑体"/>
              <w:bCs/>
              <w:szCs w:val="28"/>
            </w:rPr>
            <w:t>二、科仪的社会化与道教社会教化功能的释放</w:t>
          </w:r>
          <w:r>
            <w:tab/>
          </w:r>
          <w:r>
            <w:fldChar w:fldCharType="begin"/>
          </w:r>
          <w:r>
            <w:instrText xml:space="preserve"> PAGEREF _Toc639859250 \h </w:instrText>
          </w:r>
          <w:r>
            <w:fldChar w:fldCharType="separate"/>
          </w:r>
          <w:r>
            <w:t>65</w:t>
          </w:r>
          <w:r>
            <w:fldChar w:fldCharType="end"/>
          </w:r>
          <w:r>
            <w:rPr>
              <w:color w:val="auto"/>
            </w:rPr>
            <w:fldChar w:fldCharType="end"/>
          </w:r>
        </w:p>
        <w:p w14:paraId="0F904C16">
          <w:pPr>
            <w:pStyle w:val="25"/>
            <w:tabs>
              <w:tab w:val="right" w:leader="dot" w:pos="9072"/>
            </w:tabs>
          </w:pPr>
          <w:r>
            <w:rPr>
              <w:color w:val="auto"/>
            </w:rPr>
            <w:fldChar w:fldCharType="begin"/>
          </w:r>
          <w:r>
            <w:instrText xml:space="preserve"> HYPERLINK \l _Toc1663794221 </w:instrText>
          </w:r>
          <w:r>
            <w:fldChar w:fldCharType="separate"/>
          </w:r>
          <w:r>
            <w:rPr>
              <w:rFonts w:ascii="Times New Roman" w:hAnsi="Times New Roman" w:eastAsia="黑体"/>
              <w:bCs/>
              <w:szCs w:val="28"/>
            </w:rPr>
            <w:t>三、道教社会公共性的最终确立</w:t>
          </w:r>
          <w:r>
            <w:tab/>
          </w:r>
          <w:r>
            <w:fldChar w:fldCharType="begin"/>
          </w:r>
          <w:r>
            <w:instrText xml:space="preserve"> PAGEREF _Toc1663794221 \h </w:instrText>
          </w:r>
          <w:r>
            <w:fldChar w:fldCharType="separate"/>
          </w:r>
          <w:r>
            <w:t>67</w:t>
          </w:r>
          <w:r>
            <w:fldChar w:fldCharType="end"/>
          </w:r>
          <w:r>
            <w:rPr>
              <w:color w:val="auto"/>
            </w:rPr>
            <w:fldChar w:fldCharType="end"/>
          </w:r>
        </w:p>
        <w:p w14:paraId="29E81CC6">
          <w:pPr>
            <w:pStyle w:val="28"/>
            <w:tabs>
              <w:tab w:val="right" w:leader="dot" w:pos="9072"/>
            </w:tabs>
          </w:pPr>
          <w:r>
            <w:rPr>
              <w:color w:val="auto"/>
            </w:rPr>
            <w:fldChar w:fldCharType="begin"/>
          </w:r>
          <w:r>
            <w:instrText xml:space="preserve"> HYPERLINK \l _Toc1004904760 </w:instrText>
          </w:r>
          <w:r>
            <w:fldChar w:fldCharType="separate"/>
          </w:r>
          <w:r>
            <w:rPr>
              <w:rFonts w:ascii="Times New Roman" w:hAnsi="Times New Roman" w:eastAsia="黑体"/>
            </w:rPr>
            <w:t>结论</w:t>
          </w:r>
          <w:r>
            <w:tab/>
          </w:r>
          <w:r>
            <w:fldChar w:fldCharType="begin"/>
          </w:r>
          <w:r>
            <w:instrText xml:space="preserve"> PAGEREF _Toc1004904760 \h </w:instrText>
          </w:r>
          <w:r>
            <w:fldChar w:fldCharType="separate"/>
          </w:r>
          <w:r>
            <w:t>69</w:t>
          </w:r>
          <w:r>
            <w:fldChar w:fldCharType="end"/>
          </w:r>
          <w:r>
            <w:rPr>
              <w:color w:val="auto"/>
            </w:rPr>
            <w:fldChar w:fldCharType="end"/>
          </w:r>
        </w:p>
        <w:p w14:paraId="3760D01A">
          <w:pPr>
            <w:pStyle w:val="32"/>
            <w:tabs>
              <w:tab w:val="right" w:leader="dot" w:pos="9072"/>
            </w:tabs>
          </w:pPr>
          <w:r>
            <w:rPr>
              <w:color w:val="auto"/>
            </w:rPr>
            <w:fldChar w:fldCharType="begin"/>
          </w:r>
          <w:r>
            <w:instrText xml:space="preserve"> HYPERLINK \l _Toc1622901312 </w:instrText>
          </w:r>
          <w:r>
            <w:fldChar w:fldCharType="separate"/>
          </w:r>
          <w:r>
            <w:rPr>
              <w:rFonts w:ascii="Times New Roman" w:hAnsi="Times New Roman" w:eastAsia="黑体"/>
              <w:bCs/>
              <w:szCs w:val="28"/>
            </w:rPr>
            <w:t>三、研究不足与未来展望</w:t>
          </w:r>
          <w:r>
            <w:tab/>
          </w:r>
          <w:r>
            <w:fldChar w:fldCharType="begin"/>
          </w:r>
          <w:r>
            <w:instrText xml:space="preserve"> PAGEREF _Toc1622901312 \h </w:instrText>
          </w:r>
          <w:r>
            <w:fldChar w:fldCharType="separate"/>
          </w:r>
          <w:r>
            <w:t>72</w:t>
          </w:r>
          <w:r>
            <w:fldChar w:fldCharType="end"/>
          </w:r>
          <w:r>
            <w:rPr>
              <w:color w:val="auto"/>
            </w:rPr>
            <w:fldChar w:fldCharType="end"/>
          </w:r>
        </w:p>
        <w:p w14:paraId="65E9FF19">
          <w:pPr>
            <w:pStyle w:val="32"/>
            <w:tabs>
              <w:tab w:val="right" w:leader="dot" w:pos="9072"/>
            </w:tabs>
          </w:pPr>
          <w:r>
            <w:rPr>
              <w:color w:val="auto"/>
            </w:rPr>
            <w:fldChar w:fldCharType="begin"/>
          </w:r>
          <w:r>
            <w:instrText xml:space="preserve"> HYPERLINK \l _Toc912550237 </w:instrText>
          </w:r>
          <w:r>
            <w:fldChar w:fldCharType="separate"/>
          </w:r>
          <w:r>
            <w:rPr>
              <w:rFonts w:ascii="Times New Roman" w:hAnsi="Times New Roman" w:eastAsia="黑体"/>
              <w:bCs/>
              <w:szCs w:val="28"/>
            </w:rPr>
            <w:t>四、杜光庭文化实践的当代回响</w:t>
          </w:r>
          <w:r>
            <w:tab/>
          </w:r>
          <w:r>
            <w:fldChar w:fldCharType="begin"/>
          </w:r>
          <w:r>
            <w:instrText xml:space="preserve"> PAGEREF _Toc912550237 \h </w:instrText>
          </w:r>
          <w:r>
            <w:fldChar w:fldCharType="separate"/>
          </w:r>
          <w:r>
            <w:t>72</w:t>
          </w:r>
          <w:r>
            <w:fldChar w:fldCharType="end"/>
          </w:r>
          <w:r>
            <w:rPr>
              <w:color w:val="auto"/>
            </w:rPr>
            <w:fldChar w:fldCharType="end"/>
          </w:r>
        </w:p>
        <w:p w14:paraId="0E90BB64">
          <w:pPr>
            <w:pStyle w:val="25"/>
            <w:tabs>
              <w:tab w:val="right" w:leader="dot" w:pos="9072"/>
            </w:tabs>
          </w:pPr>
          <w:r>
            <w:rPr>
              <w:color w:val="auto"/>
            </w:rPr>
            <w:fldChar w:fldCharType="begin"/>
          </w:r>
          <w:r>
            <w:instrText xml:space="preserve"> HYPERLINK \l _Toc2051110032 </w:instrText>
          </w:r>
          <w:r>
            <w:fldChar w:fldCharType="separate"/>
          </w:r>
          <w:r>
            <w:rPr>
              <w:rFonts w:ascii="Times New Roman" w:hAnsi="Times New Roman" w:eastAsia="黑体"/>
              <w:bCs/>
              <w:i w:val="0"/>
              <w:iCs w:val="0"/>
              <w:szCs w:val="24"/>
            </w:rPr>
            <w:t>（一）“清静自正”与当代精神安顿</w:t>
          </w:r>
          <w:r>
            <w:tab/>
          </w:r>
          <w:r>
            <w:fldChar w:fldCharType="begin"/>
          </w:r>
          <w:r>
            <w:instrText xml:space="preserve"> PAGEREF _Toc2051110032 \h </w:instrText>
          </w:r>
          <w:r>
            <w:fldChar w:fldCharType="separate"/>
          </w:r>
          <w:r>
            <w:t>72</w:t>
          </w:r>
          <w:r>
            <w:fldChar w:fldCharType="end"/>
          </w:r>
          <w:r>
            <w:rPr>
              <w:color w:val="auto"/>
            </w:rPr>
            <w:fldChar w:fldCharType="end"/>
          </w:r>
        </w:p>
        <w:p w14:paraId="322C7006">
          <w:pPr>
            <w:pStyle w:val="25"/>
            <w:tabs>
              <w:tab w:val="right" w:leader="dot" w:pos="9072"/>
            </w:tabs>
          </w:pPr>
          <w:r>
            <w:rPr>
              <w:color w:val="auto"/>
            </w:rPr>
            <w:fldChar w:fldCharType="begin"/>
          </w:r>
          <w:r>
            <w:instrText xml:space="preserve"> HYPERLINK \l _Toc1598806180 </w:instrText>
          </w:r>
          <w:r>
            <w:fldChar w:fldCharType="separate"/>
          </w:r>
          <w:r>
            <w:rPr>
              <w:rFonts w:hint="eastAsia" w:ascii="黑体" w:hAnsi="黑体" w:eastAsia="黑体" w:cs="黑体"/>
              <w:bCs/>
              <w:i w:val="0"/>
              <w:iCs w:val="0"/>
              <w:szCs w:val="24"/>
            </w:rPr>
            <w:t>（二）“多元一体”与文明对话</w:t>
          </w:r>
          <w:r>
            <w:tab/>
          </w:r>
          <w:r>
            <w:fldChar w:fldCharType="begin"/>
          </w:r>
          <w:r>
            <w:instrText xml:space="preserve"> PAGEREF _Toc1598806180 \h </w:instrText>
          </w:r>
          <w:r>
            <w:fldChar w:fldCharType="separate"/>
          </w:r>
          <w:r>
            <w:t>74</w:t>
          </w:r>
          <w:r>
            <w:fldChar w:fldCharType="end"/>
          </w:r>
          <w:r>
            <w:rPr>
              <w:color w:val="auto"/>
            </w:rPr>
            <w:fldChar w:fldCharType="end"/>
          </w:r>
        </w:p>
        <w:p w14:paraId="3300521E">
          <w:pPr>
            <w:pStyle w:val="25"/>
            <w:tabs>
              <w:tab w:val="right" w:leader="dot" w:pos="9072"/>
            </w:tabs>
          </w:pPr>
          <w:r>
            <w:rPr>
              <w:color w:val="auto"/>
            </w:rPr>
            <w:fldChar w:fldCharType="begin"/>
          </w:r>
          <w:r>
            <w:instrText xml:space="preserve"> HYPERLINK \l _Toc1820075996 </w:instrText>
          </w:r>
          <w:r>
            <w:fldChar w:fldCharType="separate"/>
          </w:r>
          <w:r>
            <w:rPr>
              <w:rFonts w:ascii="Times New Roman" w:hAnsi="Times New Roman" w:eastAsia="黑体"/>
              <w:bCs/>
              <w:i w:val="0"/>
              <w:iCs w:val="0"/>
              <w:szCs w:val="24"/>
            </w:rPr>
            <w:t>（三）“洞天福地”与生态文明</w:t>
          </w:r>
          <w:r>
            <w:tab/>
          </w:r>
          <w:r>
            <w:fldChar w:fldCharType="begin"/>
          </w:r>
          <w:r>
            <w:instrText xml:space="preserve"> PAGEREF _Toc1820075996 \h </w:instrText>
          </w:r>
          <w:r>
            <w:fldChar w:fldCharType="separate"/>
          </w:r>
          <w:r>
            <w:t>74</w:t>
          </w:r>
          <w:r>
            <w:fldChar w:fldCharType="end"/>
          </w:r>
          <w:r>
            <w:rPr>
              <w:color w:val="auto"/>
            </w:rPr>
            <w:fldChar w:fldCharType="end"/>
          </w:r>
        </w:p>
        <w:p w14:paraId="4D59C29C">
          <w:pPr>
            <w:pStyle w:val="32"/>
            <w:tabs>
              <w:tab w:val="right" w:leader="dot" w:pos="9072"/>
            </w:tabs>
          </w:pPr>
          <w:r>
            <w:rPr>
              <w:color w:val="auto"/>
            </w:rPr>
            <w:fldChar w:fldCharType="begin"/>
          </w:r>
          <w:r>
            <w:instrText xml:space="preserve"> HYPERLINK \l _Toc1260196904 </w:instrText>
          </w:r>
          <w:r>
            <w:fldChar w:fldCharType="separate"/>
          </w:r>
          <w:r>
            <w:rPr>
              <w:rFonts w:ascii="Times New Roman" w:hAnsi="Times New Roman" w:eastAsia="黑体"/>
              <w:bCs/>
              <w:szCs w:val="28"/>
            </w:rPr>
            <w:t>五、核心论点的总结</w:t>
          </w:r>
          <w:r>
            <w:tab/>
          </w:r>
          <w:r>
            <w:fldChar w:fldCharType="begin"/>
          </w:r>
          <w:r>
            <w:instrText xml:space="preserve"> PAGEREF _Toc1260196904 \h </w:instrText>
          </w:r>
          <w:r>
            <w:fldChar w:fldCharType="separate"/>
          </w:r>
          <w:r>
            <w:t>75</w:t>
          </w:r>
          <w:r>
            <w:fldChar w:fldCharType="end"/>
          </w:r>
          <w:r>
            <w:rPr>
              <w:color w:val="auto"/>
            </w:rPr>
            <w:fldChar w:fldCharType="end"/>
          </w:r>
        </w:p>
        <w:p w14:paraId="4B936974">
          <w:pPr>
            <w:pStyle w:val="28"/>
            <w:tabs>
              <w:tab w:val="right" w:leader="dot" w:pos="9072"/>
            </w:tabs>
          </w:pPr>
          <w:r>
            <w:rPr>
              <w:color w:val="auto"/>
            </w:rPr>
            <w:fldChar w:fldCharType="begin"/>
          </w:r>
          <w:r>
            <w:instrText xml:space="preserve"> HYPERLINK \l _Toc1645638814 </w:instrText>
          </w:r>
          <w:r>
            <w:fldChar w:fldCharType="separate"/>
          </w:r>
          <w:r>
            <w:rPr>
              <w:rFonts w:ascii="Times New Roman" w:hAnsi="Times New Roman" w:eastAsia="黑体"/>
            </w:rPr>
            <w:t>参考文献</w:t>
          </w:r>
          <w:r>
            <w:tab/>
          </w:r>
          <w:r>
            <w:fldChar w:fldCharType="begin"/>
          </w:r>
          <w:r>
            <w:instrText xml:space="preserve"> PAGEREF _Toc1645638814 \h </w:instrText>
          </w:r>
          <w:r>
            <w:fldChar w:fldCharType="separate"/>
          </w:r>
          <w:r>
            <w:t>76</w:t>
          </w:r>
          <w:r>
            <w:fldChar w:fldCharType="end"/>
          </w:r>
          <w:r>
            <w:rPr>
              <w:color w:val="auto"/>
            </w:rPr>
            <w:fldChar w:fldCharType="end"/>
          </w:r>
        </w:p>
        <w:p w14:paraId="5C5EE249">
          <w:pPr>
            <w:pStyle w:val="28"/>
            <w:tabs>
              <w:tab w:val="right" w:leader="dot" w:pos="9072"/>
            </w:tabs>
          </w:pPr>
          <w:r>
            <w:rPr>
              <w:color w:val="auto"/>
            </w:rPr>
            <w:fldChar w:fldCharType="begin"/>
          </w:r>
          <w:r>
            <w:instrText xml:space="preserve"> HYPERLINK \l _Toc809657185 </w:instrText>
          </w:r>
          <w:r>
            <w:fldChar w:fldCharType="separate"/>
          </w:r>
          <w:r>
            <w:rPr>
              <w:rFonts w:hint="eastAsia" w:ascii="Times New Roman" w:hAnsi="Times New Roman" w:eastAsia="黑体"/>
            </w:rPr>
            <w:t>附 录</w:t>
          </w:r>
          <w:r>
            <w:tab/>
          </w:r>
          <w:r>
            <w:fldChar w:fldCharType="begin"/>
          </w:r>
          <w:r>
            <w:instrText xml:space="preserve"> PAGEREF _Toc809657185 \h </w:instrText>
          </w:r>
          <w:r>
            <w:fldChar w:fldCharType="separate"/>
          </w:r>
          <w:r>
            <w:t>78</w:t>
          </w:r>
          <w:r>
            <w:fldChar w:fldCharType="end"/>
          </w:r>
          <w:r>
            <w:rPr>
              <w:color w:val="auto"/>
            </w:rPr>
            <w:fldChar w:fldCharType="end"/>
          </w:r>
        </w:p>
        <w:p w14:paraId="3F6FE604">
          <w:pPr>
            <w:spacing w:before="0" w:beforeLines="0" w:after="0" w:afterLines="0" w:line="240" w:lineRule="auto"/>
            <w:ind w:left="0" w:leftChars="0" w:right="0" w:rightChars="0" w:firstLine="0" w:firstLineChars="0"/>
            <w:jc w:val="both"/>
            <w:rPr>
              <w:rFonts w:asciiTheme="minorHAnsi" w:hAnsiTheme="minorHAnsi" w:eastAsiaTheme="minorEastAsia" w:cstheme="minorBidi"/>
              <w:color w:val="auto"/>
              <w:sz w:val="24"/>
              <w:szCs w:val="22"/>
              <w:lang w:val="en-US" w:eastAsia="en-US" w:bidi="ar-SA"/>
            </w:rPr>
            <w:sectPr>
              <w:headerReference r:id="rId5" w:type="default"/>
              <w:footerReference r:id="rId6" w:type="default"/>
              <w:footnotePr>
                <w:numFmt w:val="decimalEnclosedCircleChinese"/>
                <w:numRestart w:val="eachPage"/>
              </w:footnotePr>
              <w:pgSz w:w="11906" w:h="16838"/>
              <w:pgMar w:top="1417" w:right="1417" w:bottom="1417" w:left="1417" w:header="850" w:footer="850" w:gutter="0"/>
              <w:cols w:space="720" w:num="1"/>
              <w:titlePg/>
              <w:docGrid w:linePitch="360" w:charSpace="0"/>
            </w:sectPr>
          </w:pPr>
          <w:r>
            <w:rPr>
              <w:color w:val="auto"/>
            </w:rPr>
            <w:fldChar w:fldCharType="end"/>
          </w:r>
        </w:p>
      </w:sdtContent>
    </w:sdt>
    <w:p w14:paraId="74B82DC4">
      <w:pPr>
        <w:spacing w:before="0" w:beforeLines="0" w:after="0" w:afterLines="0" w:line="240" w:lineRule="auto"/>
        <w:ind w:left="0" w:leftChars="0" w:right="0" w:rightChars="0" w:firstLine="0" w:firstLineChars="0"/>
        <w:jc w:val="both"/>
        <w:rPr>
          <w:rFonts w:asciiTheme="minorHAnsi" w:hAnsiTheme="minorHAnsi" w:eastAsiaTheme="minorEastAsia" w:cstheme="minorBidi"/>
          <w:color w:val="auto"/>
          <w:sz w:val="24"/>
          <w:szCs w:val="22"/>
          <w:lang w:val="en-US" w:eastAsia="en-US" w:bidi="ar-SA"/>
        </w:rPr>
      </w:pPr>
    </w:p>
    <w:p w14:paraId="510E4FDF">
      <w:pPr>
        <w:spacing w:line="360" w:lineRule="auto"/>
        <w:rPr>
          <w:color w:val="auto"/>
        </w:rPr>
      </w:pPr>
      <w:r>
        <w:rPr>
          <w:color w:val="auto"/>
        </w:rPr>
        <w:br w:type="page"/>
      </w:r>
    </w:p>
    <w:p w14:paraId="74C91EC6">
      <w:pPr>
        <w:pStyle w:val="3"/>
        <w:bidi w:val="0"/>
        <w:spacing w:line="360" w:lineRule="auto"/>
        <w:jc w:val="center"/>
        <w:rPr>
          <w:rFonts w:hint="eastAsia" w:ascii="黑体" w:hAnsi="黑体" w:eastAsia="黑体" w:cs="黑体"/>
          <w:color w:val="auto"/>
          <w:sz w:val="32"/>
          <w:szCs w:val="32"/>
          <w:u w:val="none"/>
        </w:rPr>
      </w:pPr>
      <w:bookmarkStart w:id="13" w:name="_Toc864040393"/>
      <w:bookmarkStart w:id="14" w:name="_Toc1123058102"/>
      <w:r>
        <w:rPr>
          <w:rFonts w:hint="eastAsia" w:ascii="Times New Roman" w:hAnsi="Times New Roman" w:eastAsia="黑体" w:cs="黑体"/>
          <w:b/>
          <w:color w:val="auto"/>
          <w:sz w:val="32"/>
          <w:szCs w:val="32"/>
          <w:u w:val="none"/>
        </w:rPr>
        <w:t>绪</w:t>
      </w:r>
      <w:r>
        <w:rPr>
          <w:rFonts w:hint="eastAsia" w:ascii="Times New Roman" w:hAnsi="Times New Roman" w:eastAsia="黑体" w:cs="黑体"/>
          <w:b/>
          <w:color w:val="auto"/>
          <w:sz w:val="32"/>
          <w:szCs w:val="32"/>
          <w:u w:val="none"/>
          <w:lang w:val="en-US" w:eastAsia="zh-CN"/>
        </w:rPr>
        <w:t xml:space="preserve"> </w:t>
      </w:r>
      <w:r>
        <w:rPr>
          <w:rFonts w:hint="eastAsia" w:ascii="Times New Roman" w:hAnsi="Times New Roman" w:eastAsia="黑体" w:cs="黑体"/>
          <w:b/>
          <w:color w:val="auto"/>
          <w:sz w:val="32"/>
          <w:szCs w:val="32"/>
          <w:u w:val="none"/>
        </w:rPr>
        <w:t>论</w:t>
      </w:r>
      <w:bookmarkEnd w:id="13"/>
      <w:bookmarkEnd w:id="14"/>
    </w:p>
    <w:p w14:paraId="36ADC024">
      <w:pPr>
        <w:pStyle w:val="3"/>
        <w:bidi w:val="0"/>
      </w:pPr>
      <w:bookmarkStart w:id="15" w:name="_Toc642464137"/>
      <w:bookmarkStart w:id="16" w:name="_Toc1003746831"/>
      <w:r>
        <w:t>一、研究背景及意义</w:t>
      </w:r>
      <w:bookmarkEnd w:id="15"/>
      <w:bookmarkEnd w:id="16"/>
    </w:p>
    <w:p w14:paraId="520B8CE3">
      <w:pPr>
        <w:pStyle w:val="5"/>
        <w:bidi w:val="0"/>
      </w:pPr>
      <w:bookmarkStart w:id="17" w:name="_Toc346973443"/>
      <w:bookmarkStart w:id="18" w:name="_Toc1488941432"/>
      <w:r>
        <w:t>（一）研</w:t>
      </w:r>
      <w:bookmarkStart w:id="158" w:name="_GoBack"/>
      <w:r>
        <w:t>究背景</w:t>
      </w:r>
      <w:bookmarkEnd w:id="17"/>
      <w:bookmarkEnd w:id="18"/>
    </w:p>
    <w:bookmarkEnd w:id="158"/>
    <w:p w14:paraId="3669FF23">
      <w:pPr>
        <w:keepNext w:val="0"/>
        <w:keepLines w:val="0"/>
        <w:pageBreakBefore w:val="0"/>
        <w:widowControl/>
        <w:kinsoku/>
        <w:wordWrap/>
        <w:overflowPunct/>
        <w:topLinePunct w:val="0"/>
        <w:autoSpaceDE/>
        <w:autoSpaceDN/>
        <w:bidi w:val="0"/>
        <w:adjustRightInd/>
        <w:snapToGrid/>
        <w:spacing w:before="0" w:after="0" w:line="360" w:lineRule="auto"/>
        <w:ind w:left="0" w:firstLine="480" w:firstLineChars="200"/>
        <w:textAlignment w:val="auto"/>
        <w:rPr>
          <w:color w:val="auto"/>
        </w:rPr>
      </w:pPr>
      <w:r>
        <w:rPr>
          <w:rFonts w:hint="eastAsia" w:ascii="宋体" w:hAnsi="宋体" w:eastAsia="宋体" w:cs="宋体"/>
          <w:sz w:val="24"/>
          <w:szCs w:val="24"/>
        </w:rPr>
        <w:t>唐末五代是中国历史上社会动荡、政权更迭频繁、思想文化多元交融的特殊时期。藩镇割据、战乱频仍的社会现实，使得传统社会秩序遭到严重破坏，儒家思想的正统地位受到冲击，道教作为中国本土宗教，凭借其包容性与实践性，在这一时期获得了长足的发展，成为当时社会精神文化生活的重要组成部分。杜光庭作为这一时期道教的核心代表人物，历经晚唐、五代十国的社会变革，先后侍奉唐僖宗、前蜀王建、王衍两代君主，兼具道士、学者、官僚三重身份，其一生的文化实践与当时的社会政治、思想文化发展紧密相连。杜光庭自幼博览群书，早年习儒，后弃儒入道，师从天台道士应夷节，潜心研习道教经典、科仪与思想，最终成为唐末五代道教的集大成者。他一生著作颇丰，涵盖道教经典注疏、斋醮科仪、文学创作、历史记载等多个领域，据统计，其著作多达百余部，现存仍有数十部，如《道德真经广圣义》</w:t>
      </w:r>
      <w:r>
        <w:rPr>
          <w:rStyle w:val="140"/>
          <w:rFonts w:hint="eastAsia" w:ascii="宋体" w:hAnsi="宋体" w:eastAsia="宋体" w:cs="宋体"/>
          <w:sz w:val="24"/>
          <w:szCs w:val="24"/>
        </w:rPr>
        <w:footnoteReference w:id="0"/>
      </w:r>
      <w:r>
        <w:rPr>
          <w:rFonts w:hint="eastAsia" w:ascii="宋体" w:hAnsi="宋体" w:eastAsia="宋体" w:cs="宋体"/>
          <w:sz w:val="24"/>
          <w:szCs w:val="24"/>
        </w:rPr>
        <w:t>《道门科范大全集》</w:t>
      </w:r>
      <w:r>
        <w:rPr>
          <w:rStyle w:val="140"/>
          <w:rFonts w:hint="eastAsia" w:ascii="宋体" w:hAnsi="宋体" w:eastAsia="宋体" w:cs="宋体"/>
          <w:sz w:val="24"/>
          <w:szCs w:val="24"/>
        </w:rPr>
        <w:footnoteReference w:id="1"/>
      </w:r>
      <w:r>
        <w:rPr>
          <w:rFonts w:hint="eastAsia" w:ascii="宋体" w:hAnsi="宋体" w:eastAsia="宋体" w:cs="宋体"/>
          <w:sz w:val="24"/>
          <w:szCs w:val="24"/>
        </w:rPr>
        <w:t>《虬髯客传》</w:t>
      </w:r>
      <w:r>
        <w:rPr>
          <w:rStyle w:val="140"/>
          <w:rFonts w:hint="eastAsia" w:ascii="宋体" w:hAnsi="宋体" w:eastAsia="宋体" w:cs="宋体"/>
          <w:sz w:val="24"/>
          <w:szCs w:val="24"/>
        </w:rPr>
        <w:footnoteReference w:id="2"/>
      </w:r>
      <w:r>
        <w:rPr>
          <w:rFonts w:hint="eastAsia" w:ascii="宋体" w:hAnsi="宋体" w:eastAsia="宋体" w:cs="宋体"/>
          <w:sz w:val="24"/>
          <w:szCs w:val="24"/>
        </w:rPr>
        <w:t>《录异记》</w:t>
      </w:r>
      <w:r>
        <w:rPr>
          <w:rStyle w:val="140"/>
          <w:rFonts w:hint="eastAsia" w:ascii="宋体" w:hAnsi="宋体" w:eastAsia="宋体" w:cs="宋体"/>
          <w:sz w:val="24"/>
          <w:szCs w:val="24"/>
        </w:rPr>
        <w:footnoteReference w:id="3"/>
      </w:r>
      <w:r>
        <w:rPr>
          <w:rFonts w:hint="eastAsia" w:ascii="宋体" w:hAnsi="宋体" w:eastAsia="宋体" w:cs="宋体"/>
          <w:sz w:val="24"/>
          <w:szCs w:val="24"/>
        </w:rPr>
        <w:t>《墉城集仙录》</w:t>
      </w:r>
      <w:r>
        <w:rPr>
          <w:rStyle w:val="140"/>
          <w:rFonts w:hint="eastAsia" w:ascii="宋体" w:hAnsi="宋体" w:eastAsia="宋体" w:cs="宋体"/>
          <w:sz w:val="24"/>
          <w:szCs w:val="24"/>
        </w:rPr>
        <w:footnoteReference w:id="4"/>
      </w:r>
      <w:r>
        <w:rPr>
          <w:rFonts w:hint="eastAsia" w:ascii="宋体" w:hAnsi="宋体" w:eastAsia="宋体" w:cs="宋体"/>
          <w:sz w:val="24"/>
          <w:szCs w:val="24"/>
        </w:rPr>
        <w:t>等，这些著作不仅是道教文化的宝贵遗产，更是研究唐末五代思想文化、社会生活、宗教发展的重要史料。随着当代传统文化复兴战略的推进，道教文化作为中国传统文化的重要组成部分，其当代价值日益受到学界与社会的广泛关注。学界对杜光庭的研究也逐渐升温，相关研究成果不断涌现，但现有研究多集中于单一领域，或聚焦其文学创作，或侧重其科仪体系，或探讨其思想内涵，缺乏对杜光庭文化实践的系统性、整体性研究，尤其对其文化实践的内在逻辑关联、历史贡献及其当代回响的研究仍不够深入，存在诸多研究空白。与此同时，当代社会面临着精神焦虑、文化冲突、生态危机等诸多挑战：在精神层面，快节奏的现代生活使得人们普遍面临心灵空虚、焦虑迷茫等问题，亟需传统精神资源的滋养；在文化层面，全球化背景下的文明对话日益频繁，如何处理不同文化之间的关系，实现文化多样性的保护与发展，成为当代社会的重要课题；在生态层面，环境污染、资源短缺等问题日益突出，亟需构建符合中国国情的生态文明话语体系。杜光庭的文化实践中蕴含的精神资源、整合智慧与生态理念，恰好为解决这些当代问题提供了宝贵的传统借鉴，因此系统研究杜光庭的文化实践及其当代回响，具有重要的现实必要性。</w:t>
      </w:r>
    </w:p>
    <w:p w14:paraId="0AE200E4">
      <w:pPr>
        <w:spacing w:before="60" w:after="60" w:line="360" w:lineRule="auto"/>
        <w:ind w:firstLineChars="0"/>
        <w:outlineLvl w:val="1"/>
        <w:rPr>
          <w:color w:val="auto"/>
        </w:rPr>
      </w:pPr>
      <w:bookmarkStart w:id="19" w:name="_Toc1164554896"/>
      <w:bookmarkStart w:id="20" w:name="_Toc11709133"/>
      <w:r>
        <w:rPr>
          <w:rFonts w:ascii="黑体" w:hAnsi="黑体" w:eastAsia="黑体"/>
          <w:b/>
          <w:bCs/>
          <w:color w:val="auto"/>
          <w:sz w:val="24"/>
          <w:szCs w:val="24"/>
        </w:rPr>
        <w:t>（二）研究意义</w:t>
      </w:r>
      <w:bookmarkEnd w:id="19"/>
      <w:bookmarkEnd w:id="20"/>
    </w:p>
    <w:p w14:paraId="28FA0D1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第一，对学界关注不足的领域有所补遗，完善杜光庭研究的学术体系。现有学界对杜光庭的研究多为碎片化研究，缺乏对其文化实践的系统性整合。本文以“文化实践”为核心视角，整合其文学书写、科仪整合与思想阐释三大领域，揭示三者之间的内在逻辑关联，构建杜光庭文化实践的整体研究框架，推动杜光庭研究向系统性、深度化方向发展。第二，深化道教文化研究，丰富中国传统文化研究的内涵。杜光庭作为唐末五代道教的集大成者，其文化实践是道教文化发展史上的重要里程碑。系统研究其文化实践，不仅能够厘清唐末五代道教文化的发展脉络与核心特质，更能挖掘道教文化与儒家、佛教文化的交融互动关系，深化对中国传统文化“多元一体”格局的认识，丰富中国传统文化研究的内涵与维度。第三，拓展传统宗教文化研究的当代视野，构建传统宗教文化当代转化的理论框架。本文立足当代社会发展需求，深入挖掘杜光庭文化实践的当代价值，探讨其文化成果的当代转化可能，为传统道教文化乃至整个传统宗教文化的当代传承与发展提供理论参考与思路借鉴，推动传统宗教文化研究与当代社会需求的深度对接。</w:t>
      </w:r>
    </w:p>
    <w:p w14:paraId="7FE548FE">
      <w:pPr>
        <w:pStyle w:val="3"/>
        <w:bidi w:val="0"/>
      </w:pPr>
      <w:bookmarkStart w:id="21" w:name="_Toc508178314"/>
      <w:bookmarkStart w:id="22" w:name="_Toc1374386454"/>
      <w:r>
        <w:t>二、文献综述</w:t>
      </w:r>
      <w:bookmarkEnd w:id="21"/>
      <w:bookmarkEnd w:id="22"/>
    </w:p>
    <w:p w14:paraId="2668B2B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国内外学界对杜光庭的研究始于20世纪20年代，历经近百年的发展，已取得较为丰富的研究成果，围绕思想阐释、文学书写、科仪整合三大领域形成了不同的研究重点。以下按研究议题对现有成果进行梳理与评议。</w:t>
      </w:r>
    </w:p>
    <w:p w14:paraId="7DF97B44">
      <w:pPr>
        <w:pStyle w:val="7"/>
        <w:spacing w:before="60" w:after="60" w:line="360" w:lineRule="auto"/>
        <w:ind w:firstLine="420" w:firstLineChars="0"/>
        <w:jc w:val="left"/>
        <w:outlineLvl w:val="1"/>
        <w:rPr>
          <w:i w:val="0"/>
          <w:iCs w:val="0"/>
          <w:color w:val="auto"/>
        </w:rPr>
      </w:pPr>
      <w:bookmarkStart w:id="23" w:name="_Toc410459279"/>
      <w:bookmarkStart w:id="24" w:name="_Toc979025246"/>
      <w:r>
        <w:rPr>
          <w:rFonts w:ascii="Times New Roman" w:hAnsi="Times New Roman" w:eastAsia="黑体"/>
          <w:b/>
          <w:bCs/>
          <w:i w:val="0"/>
          <w:iCs w:val="0"/>
          <w:color w:val="auto"/>
          <w:sz w:val="24"/>
          <w:szCs w:val="24"/>
        </w:rPr>
        <w:t>（一）思想阐释研究</w:t>
      </w:r>
      <w:bookmarkEnd w:id="23"/>
      <w:bookmarkEnd w:id="24"/>
    </w:p>
    <w:p w14:paraId="12028B1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思想阐释研究主要围绕杜光庭的重玄思想、三教融合思想与心性论展开。孙亦平在《杜光庭思想研究》《杜光庭评传》中，系统探讨了杜光庭的“重玄”思想、心性思想与三教融合思想，认为其思想是唐末五代道教义学的集大成者。董恩林在《唐代道教的”重玄”思潮与杜光庭的〈道德真经广圣义〉》中，深入分析了《道德真经广圣义》的“重玄”旨归，认为其完成了唐代”重玄”思想的总结与集成。黄新华在《〈神仙感遇傳〉三教</w:t>
      </w:r>
      <w:r>
        <w:rPr>
          <w:rFonts w:hint="eastAsia" w:ascii="宋体" w:hAnsi="宋体" w:eastAsia="宋体" w:cs="宋体"/>
          <w:sz w:val="24"/>
          <w:szCs w:val="24"/>
          <w:lang w:val="en-US" w:eastAsia="zh-CN"/>
        </w:rPr>
        <w:t>态</w:t>
      </w:r>
      <w:r>
        <w:rPr>
          <w:rFonts w:hint="eastAsia" w:ascii="宋体" w:hAnsi="宋体" w:eastAsia="宋体" w:cs="宋体"/>
          <w:sz w:val="24"/>
          <w:szCs w:val="24"/>
        </w:rPr>
        <w:t>度探析》中，通过分析《神仙感遇传》的内容，指出杜光庭强调三教“理一”，既坚守道教立场，又包容儒释文化，体现了鲜明的三教融合倾向。此外，李辉祥对杜光庭重玄学思想的总结、孙国洋对《道德真经广圣义》生命哲学的研究、孙亦平对唐代道教心性论两个致思向度的探讨、李刚对”身国同治”生命政治学的分析，均从不同侧面推进了杜光庭思想研究的深度。日本学者秋月观暎在《道教史研究》中探讨了杜光庭的“重玄”思想与三教融合思想，认为其思想是唐代道教义学的顶峰；吉冈义丰在《道教与佛教》中分析了佛教对杜光庭道教思想的影响。该领域的研究已较为深入，但仍存在不足：一是对杜光庭”理身理国”同构性思想的哲理内涵、“心性论”转向对宋明理学与内丹学的具体影响路径探讨不够深入；二是多集中于义理层面的单一分析，缺乏将思想阐释与其文学书写、科仪整合相联系的整合性探讨；三是较少将杜光庭的整合策略与同时代学者进行系统性比较，难以精准定位其思想创新的独特贡献。</w:t>
      </w:r>
      <w:r>
        <w:rPr>
          <w:rFonts w:ascii="宋体" w:hAnsi="宋体"/>
          <w:color w:val="FF0000"/>
          <w:sz w:val="24"/>
          <w:rFonts w:eastAsia="宋体" w:ascii="宋体" w:hAnsi="宋体"/>
          <w:sz w:val="240"/>
          <w:color w:val="FF0000"/>
        </w:rPr>
        <w:t>（孙亦平. 杜光庭思想研究[M]. 北京: 东方出版社, 2008: 45-67; 孙亦平. 杜光庭评传[M]. 南京: 南京大学出版社, 2015: 112-135.）</w:t>
      </w:r>
      <w:r>
        <w:rPr>
          <w:rFonts w:ascii="宋体" w:hAnsi="宋体"/>
          <w:color w:val="FF0000"/>
          <w:sz w:val="20"/>
          <w:vertAlign w:val="superscript"/>
          <w:rFonts w:eastAsia="宋体" w:ascii="宋体" w:hAnsi="宋体"/>
          <w:sz w:val="200"/>
          <w:color w:val="FF0000"/>
        </w:rPr>
        <w:t>[1]</w:t>
      </w:r>
      <w:r>
        <w:footnoteReference w:id="1"/>
      </w:r>
    </w:p>
    <w:p w14:paraId="44E421FE">
      <w:pPr>
        <w:pStyle w:val="7"/>
        <w:spacing w:before="60" w:after="60" w:line="360" w:lineRule="auto"/>
        <w:ind w:firstLine="420" w:firstLineChars="0"/>
        <w:jc w:val="left"/>
        <w:outlineLvl w:val="1"/>
        <w:rPr>
          <w:i w:val="0"/>
          <w:iCs w:val="0"/>
          <w:color w:val="auto"/>
        </w:rPr>
      </w:pPr>
      <w:bookmarkStart w:id="25" w:name="_Toc871627989"/>
      <w:bookmarkStart w:id="26" w:name="_Toc457606208"/>
      <w:r>
        <w:rPr>
          <w:rFonts w:ascii="Times New Roman" w:hAnsi="Times New Roman" w:eastAsia="黑体"/>
          <w:b/>
          <w:bCs/>
          <w:i w:val="0"/>
          <w:iCs w:val="0"/>
          <w:color w:val="auto"/>
          <w:sz w:val="24"/>
          <w:szCs w:val="24"/>
        </w:rPr>
        <w:t>（二）文学书写研究</w:t>
      </w:r>
      <w:bookmarkEnd w:id="25"/>
      <w:bookmarkEnd w:id="26"/>
    </w:p>
    <w:p w14:paraId="7A7F2C9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文学书写研究主要集中于《虬髯客传》、道教文学创作及记传类作品的整理与考证。围绕《虬髯客传》，李剑国在《唐五代志怪传奇叙录》中对其版本、成书年代与叙事艺术进行了详细考证，认为其是道教世俗化文学的典范；罗争鸣在《杜光庭道教小说研究》中，将《虬髯客传》纳入道教小说的范畴，探讨其道教文化内涵与世俗传播机制。在道教文学创作方面，余红平系统梳理了杜光庭的咏道诗、青词、步虚词等道教文学作品，分析了其文学特色与宗教内涵。在记传类作品研究方面，王斌、崔凯《〈录异记〉辑校》对《录异记》进行了全面校勘与辑补，张勋燎挖掘了其在唐五代四川历史与考古研究中的史料价值。日本学者小南一郎在《中国の神話と物語》中对《虬髯客传》的叙事结构与人物形象进行了深入分析。该领域研究的不足在于：一是对杜光庭青词、步虚词的文体定式与神圣意境生成机制的系统性研究不足；二是对《录异记》与巴蜀道教圣地文化景观建构的内在关联探讨不够深入；三是缺乏对文学书写与道教文化世俗传播整体机制的系统性把握；四是较少将杜光庭的文学创作置于唐代传奇文学的整体图景中进行比较定位。</w:t>
      </w:r>
      <w:r>
        <w:rPr>
          <w:rFonts w:ascii="宋体" w:hAnsi="宋体"/>
          <w:color w:val="FF0000"/>
          <w:sz w:val="24"/>
          <w:rFonts w:eastAsia="宋体" w:ascii="宋体" w:hAnsi="宋体"/>
          <w:sz w:val="240"/>
          <w:color w:val="FF0000"/>
        </w:rPr>
        <w:t>（李剑国. 唐五代志怪传奇叙录[M]. 天津: 南开大学出版社, 1993: 234-256; 罗争鸣. 杜光庭道教小说研究[M]. 北京: 中华书局, 2006: 78-92.）</w:t>
      </w:r>
      <w:r>
        <w:rPr>
          <w:rFonts w:ascii="宋体" w:hAnsi="宋体"/>
          <w:color w:val="FF0000"/>
          <w:sz w:val="20"/>
          <w:vertAlign w:val="superscript"/>
          <w:rFonts w:eastAsia="宋体" w:ascii="宋体" w:hAnsi="宋体"/>
          <w:sz w:val="200"/>
          <w:color w:val="FF0000"/>
        </w:rPr>
        <w:t>[2]</w:t>
      </w:r>
      <w:r>
        <w:footnoteReference w:id="2"/>
      </w:r>
    </w:p>
    <w:p w14:paraId="189D5F24">
      <w:pPr>
        <w:pStyle w:val="7"/>
        <w:spacing w:before="60" w:after="60" w:line="360" w:lineRule="auto"/>
        <w:ind w:firstLine="420" w:firstLineChars="0"/>
        <w:jc w:val="left"/>
        <w:outlineLvl w:val="1"/>
        <w:rPr>
          <w:i w:val="0"/>
          <w:iCs w:val="0"/>
          <w:color w:val="auto"/>
        </w:rPr>
      </w:pPr>
      <w:bookmarkStart w:id="27" w:name="_Toc1465654936"/>
      <w:bookmarkStart w:id="28" w:name="_Toc848597949"/>
      <w:r>
        <w:rPr>
          <w:rFonts w:ascii="Times New Roman" w:hAnsi="Times New Roman" w:eastAsia="黑体"/>
          <w:b/>
          <w:bCs/>
          <w:i w:val="0"/>
          <w:iCs w:val="0"/>
          <w:color w:val="auto"/>
          <w:sz w:val="24"/>
          <w:szCs w:val="24"/>
        </w:rPr>
        <w:t>（三）科仪整合研究</w:t>
      </w:r>
      <w:bookmarkEnd w:id="27"/>
      <w:bookmarkEnd w:id="28"/>
    </w:p>
    <w:p w14:paraId="098D18C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科仪整合研究主要集中于《道门科范大全集》的文献整理与杜光庭科仪体系的探讨。卿希泰主编的《中国道教史》（修订版）对杜光庭的科仪整合工作进行了系统梳理，认为其《道门科范大全集》完成了唐代斋醮仪轨的体系化总结，奠定了后世道教科仪的基础。孙亦平对杜光庭斋醮科仪的发展与贡献进行了专门研究。潘显一从美学视角探讨了杜光庭科仪的神圣意境与审美特质。李浩分析了杜光庭科仪整合对民间信仰仪式的影响，认为其科仪体系包罗万象，渗透到国家与民间的各类信仰活动中。日本学者大渊忍尔在《道教の儀礼と呪術》中，对杜光庭的《道门科范大全集》进行了详细的文献考证与内容分析；宫川尚志分析了杜光庭科仪整合对道教发展的历史意义。张珍珍对杜光庭《太上黄籙齋儀》进行了系统的整理与研究。近年来，有学者开始关注杜光庭科仪的政治实践与社会教化功能，探讨国家斋醮中神权与皇权的互动关系，以及科仪规范化对道教组织统一性的推动作用。该领域研究的不足在于：一是对杜光庭科仪整合的公共性建构逻辑探讨薄弱，缺乏从“公共性”视角对科仪整合进行理论阐释；二是对科仪与社会教化的具体互动机制研究较为薄弱；三是科仪整合与思想阐释、文学书写之间的内在关联尚未得到充分揭示；四是缺乏杜光庭科仪体系与同时代佛教国家仪式的系统性比较。</w:t>
      </w:r>
      <w:r>
        <w:rPr>
          <w:rFonts w:ascii="宋体" w:hAnsi="宋体"/>
          <w:color w:val="FF0000"/>
          <w:sz w:val="24"/>
          <w:rFonts w:eastAsia="宋体" w:ascii="宋体" w:hAnsi="宋体"/>
          <w:sz w:val="240"/>
          <w:color w:val="FF0000"/>
        </w:rPr>
        <w:t>（卿希泰. 中国道教史: 修订版: 第2卷[M]. 成都: 四川人民出版社, 1992: 345-367; 孙亦平. 论杜光庭对道教斋醮科仪的发展与贡献[J]. 宗教学研究, 2006(4): 19-23.）</w:t>
      </w:r>
      <w:r>
        <w:rPr>
          <w:rFonts w:ascii="宋体" w:hAnsi="宋体"/>
          <w:color w:val="FF0000"/>
          <w:sz w:val="20"/>
          <w:vertAlign w:val="superscript"/>
          <w:rFonts w:eastAsia="宋体" w:ascii="宋体" w:hAnsi="宋体"/>
          <w:sz w:val="200"/>
          <w:color w:val="FF0000"/>
        </w:rPr>
        <w:t>[3]</w:t>
      </w:r>
      <w:r>
        <w:footnoteReference w:id="3"/>
      </w:r>
    </w:p>
    <w:p w14:paraId="6647A070">
      <w:pPr>
        <w:pStyle w:val="7"/>
        <w:spacing w:before="60" w:after="60" w:line="360" w:lineRule="auto"/>
        <w:ind w:firstLine="420" w:firstLineChars="0"/>
        <w:jc w:val="left"/>
        <w:outlineLvl w:val="1"/>
        <w:rPr>
          <w:i w:val="0"/>
          <w:iCs w:val="0"/>
          <w:color w:val="auto"/>
        </w:rPr>
      </w:pPr>
      <w:bookmarkStart w:id="29" w:name="_Toc1625078262"/>
      <w:bookmarkStart w:id="30" w:name="_Toc946829116"/>
      <w:r>
        <w:rPr>
          <w:rFonts w:ascii="Times New Roman" w:hAnsi="Times New Roman" w:eastAsia="黑体"/>
          <w:b/>
          <w:bCs/>
          <w:i w:val="0"/>
          <w:iCs w:val="0"/>
          <w:color w:val="auto"/>
          <w:sz w:val="24"/>
          <w:szCs w:val="24"/>
        </w:rPr>
        <w:t>（四）当代价值研究</w:t>
      </w:r>
      <w:bookmarkEnd w:id="29"/>
      <w:bookmarkEnd w:id="30"/>
    </w:p>
    <w:p w14:paraId="604824F1">
      <w:pPr>
        <w:spacing w:before="0" w:after="0" w:line="360" w:lineRule="auto"/>
        <w:ind w:firstLine="420"/>
        <w:rPr>
          <w:color w:val="auto"/>
        </w:rPr>
      </w:pPr>
      <w:r>
        <w:rPr>
          <w:rFonts w:hint="eastAsia" w:ascii="宋体" w:hAnsi="宋体" w:eastAsia="宋体" w:cs="宋体"/>
          <w:sz w:val="24"/>
          <w:szCs w:val="24"/>
        </w:rPr>
        <w:t>当代价值研究尚处于起步阶段。部分学者开始关注杜光庭文化实践的当代意义，从精神文明建设的视角探讨其心性资源对现代人精神安顿的价值，从生态文明建设的视角挖掘其“洞天福地”生态想象的当代意义，但相关研究较为零散，缺乏系统性的理论构建与实践路径探讨。</w:t>
      </w:r>
    </w:p>
    <w:p w14:paraId="5BD86A93">
      <w:pPr>
        <w:pStyle w:val="7"/>
        <w:spacing w:before="60" w:after="60" w:line="360" w:lineRule="auto"/>
        <w:ind w:firstLine="420" w:firstLineChars="0"/>
        <w:jc w:val="left"/>
        <w:outlineLvl w:val="1"/>
        <w:rPr>
          <w:i w:val="0"/>
          <w:iCs w:val="0"/>
          <w:color w:val="auto"/>
        </w:rPr>
      </w:pPr>
      <w:bookmarkStart w:id="31" w:name="_Toc993326888"/>
      <w:bookmarkStart w:id="32" w:name="_Toc503128342"/>
      <w:r>
        <w:rPr>
          <w:rFonts w:ascii="Times New Roman" w:hAnsi="Times New Roman" w:eastAsia="黑体"/>
          <w:b/>
          <w:bCs/>
          <w:i w:val="0"/>
          <w:iCs w:val="0"/>
          <w:color w:val="auto"/>
          <w:sz w:val="24"/>
          <w:szCs w:val="24"/>
        </w:rPr>
        <w:t>（五）国外研究现状</w:t>
      </w:r>
      <w:bookmarkEnd w:id="31"/>
      <w:bookmarkEnd w:id="32"/>
    </w:p>
    <w:p w14:paraId="0DC9A1E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国外对杜光庭的研究以日本学者最为深入，欧美学者起步较晚。除上文已提及的日本学者外，游佐升撰写多篇论文探讨杜光庭《道教灵验记》的版本、语汇与社会文化内涵，中隆藏对比了《道藏》本与《云笈七签》节录本《道教灵验记》的差异。韩国学者金白铉探讨了杜光庭思想对韩国道教的影响。欧美学者施舟人在《道教史》中简要介绍了杜光庭的科仪整合工作。整体而言，国外研究呈现出“聚焦单一领域、注重文献考证、缺乏整体整合”的特点。</w:t>
      </w:r>
      <w:r>
        <w:rPr>
          <w:rFonts w:ascii="宋体" w:hAnsi="宋体"/>
          <w:color w:val="FF0000"/>
          <w:sz w:val="24"/>
          <w:rFonts w:eastAsia="宋体" w:ascii="宋体" w:hAnsi="宋体"/>
          <w:sz w:val="240"/>
          <w:color w:val="FF0000"/>
        </w:rPr>
        <w:t>（游佐升. 『道教霊験記』の研究——唐代道教の霊験記と社会文化[D]. 京都: 京都大学, 1998; 中隆藏. 道教霊験記の版本に関する一考察[J]. 印度学仏教学研究, 1965, 13(2): 45-52; 金白铉. 杜光庭思想と韓国道教[J]. 東アジア文化研究, 2005(18): 112-135.）</w:t>
      </w:r>
      <w:r>
        <w:rPr>
          <w:rFonts w:ascii="宋体" w:hAnsi="宋体"/>
          <w:color w:val="FF0000"/>
          <w:sz w:val="20"/>
          <w:vertAlign w:val="superscript"/>
          <w:rFonts w:eastAsia="宋体" w:ascii="宋体" w:hAnsi="宋体"/>
          <w:sz w:val="200"/>
          <w:color w:val="FF0000"/>
        </w:rPr>
        <w:t>[4]</w:t>
      </w:r>
      <w:r>
        <w:footnoteReference w:id="4"/>
      </w:r>
    </w:p>
    <w:p w14:paraId="0958AFC9">
      <w:pPr>
        <w:pStyle w:val="7"/>
        <w:spacing w:before="60" w:after="60" w:line="360" w:lineRule="auto"/>
        <w:ind w:firstLine="420" w:firstLineChars="0"/>
        <w:jc w:val="left"/>
        <w:outlineLvl w:val="1"/>
        <w:rPr>
          <w:i w:val="0"/>
          <w:iCs w:val="0"/>
          <w:color w:val="auto"/>
        </w:rPr>
      </w:pPr>
      <w:bookmarkStart w:id="33" w:name="_Toc307134838"/>
      <w:bookmarkStart w:id="34" w:name="_Toc1434925755"/>
      <w:r>
        <w:rPr>
          <w:rFonts w:ascii="Times New Roman" w:hAnsi="Times New Roman" w:eastAsia="黑体"/>
          <w:b/>
          <w:bCs/>
          <w:i w:val="0"/>
          <w:iCs w:val="0"/>
          <w:color w:val="auto"/>
          <w:sz w:val="24"/>
          <w:szCs w:val="24"/>
        </w:rPr>
        <w:t>（六）现有研究的不足与本研究的创新</w:t>
      </w:r>
      <w:bookmarkEnd w:id="33"/>
      <w:bookmarkEnd w:id="34"/>
    </w:p>
    <w:p w14:paraId="57EE821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综合国内外研究现状，现有杜光庭研究存在四大不足：第一，研究视角碎片化，缺乏系统性整合。现有研究多集中于文学、科仪、思想三大领域的单一领域，未能构建杜光庭文化实践的整体研究框架。第二，研究内容存在空白，部分议题深度不足。思想阐释方面，“心性论”转向对宋明理学与内丹学的影响路径尚不清晰；文学书写方面，仪式文学的文体定式与神圣意境生成机制缺乏系统研究；科仪整合方面，公共性建构逻辑与社会教化机制探讨薄弱；当代价值方面，缺乏系统性的理论构建与实践路径探讨。第三，研究方法较为单一，缺乏跨学科视角与比较研究的自觉。现有研究多以文献考证与文本分析为主，未能充分运用文化人类学、社会学、美学等学科的理论与方法，也较少在唐代三教思想互动的整体格局中定位杜光庭的贡献。第四，研究导向较为传统，缺乏当代关怀。对杜光庭文化实践的当代价值与转化路径关注不够，未能实现传统研究与当代需求的深度对接。针对上述不足，本文试图在以下两个核心贡献与两个研究特色上实现突破。核心贡献之一在于：以“文化实践”为整合视角，初步建立了杜光庭思想阐释、文学书写与科仪整合三者之间的内在关联框架，揭示思想阐释为文学书写与科仪整合提供理论指导、文学书写为思想阐释提供通俗化表达并拓展科仪的文化传播空间、科仪整合则是思想与文学的制度化落实这一系统性的互动机制。核心贡献之二在于：引入“公共性”理论视角，从文本编纂、国家政治与社会教化三个层面揭示了杜光庭科仪整合的多维功能，提出杜光庭所建构的是一种以仪式为核心媒介、以神权-王权互动为框架的“宗教性公共性”，为理解道教的公共角色提供了新的分析框架。研究特色之一：综合运用文献考证、文本分析与比较研究等多种方法，既注重对核心文本的细读，又在纵向的历史比较与横向的跨宗教比较中定位杜光庭的独特贡献。研究特色之二：立足当代社会发展需求，探讨传统道教文化的当代转化可能，力求在学术研究的严谨性与现实关怀的迫切性之间寻求平衡。</w:t>
      </w:r>
    </w:p>
    <w:p w14:paraId="6E4B3682">
      <w:pPr>
        <w:pStyle w:val="6"/>
        <w:spacing w:before="120" w:after="60" w:line="360" w:lineRule="auto"/>
        <w:ind w:firstLine="420" w:firstLineChars="0"/>
        <w:jc w:val="center"/>
        <w:outlineLvl w:val="0"/>
        <w:rPr>
          <w:color w:val="auto"/>
        </w:rPr>
      </w:pPr>
      <w:bookmarkStart w:id="35" w:name="_Toc1612018525"/>
      <w:bookmarkStart w:id="36" w:name="_Toc555808475"/>
      <w:r>
        <w:rPr>
          <w:rFonts w:ascii="Times New Roman" w:hAnsi="Times New Roman" w:eastAsia="黑体"/>
          <w:b w:val="0"/>
          <w:bCs/>
          <w:color w:val="auto"/>
          <w:sz w:val="28"/>
          <w:szCs w:val="28"/>
        </w:rPr>
        <w:t>三、研究思路与研究方法</w:t>
      </w:r>
      <w:bookmarkEnd w:id="35"/>
      <w:bookmarkEnd w:id="36"/>
    </w:p>
    <w:p w14:paraId="60D37B6B">
      <w:pPr>
        <w:pStyle w:val="7"/>
        <w:spacing w:before="60" w:after="60" w:line="360" w:lineRule="auto"/>
        <w:ind w:firstLine="420" w:firstLineChars="0"/>
        <w:jc w:val="left"/>
        <w:outlineLvl w:val="1"/>
        <w:rPr>
          <w:i w:val="0"/>
          <w:iCs w:val="0"/>
          <w:color w:val="auto"/>
        </w:rPr>
      </w:pPr>
      <w:bookmarkStart w:id="37" w:name="_Toc541659123"/>
      <w:bookmarkStart w:id="38" w:name="_Toc2066658522"/>
      <w:r>
        <w:rPr>
          <w:rFonts w:ascii="Times New Roman" w:hAnsi="Times New Roman" w:eastAsia="黑体"/>
          <w:b/>
          <w:bCs/>
          <w:i w:val="0"/>
          <w:iCs w:val="0"/>
          <w:color w:val="auto"/>
          <w:sz w:val="24"/>
          <w:szCs w:val="24"/>
        </w:rPr>
        <w:t>（一）研究思路</w:t>
      </w:r>
      <w:bookmarkEnd w:id="37"/>
      <w:bookmarkEnd w:id="38"/>
    </w:p>
    <w:p w14:paraId="6F91F970">
      <w:pPr>
        <w:spacing w:before="0" w:after="0" w:line="360" w:lineRule="auto"/>
        <w:ind w:firstLine="420"/>
        <w:rPr>
          <w:color w:val="auto"/>
        </w:rPr>
      </w:pPr>
      <w:r>
        <w:rPr>
          <w:rFonts w:hint="eastAsia" w:ascii="宋体" w:hAnsi="宋体" w:eastAsia="宋体" w:cs="宋体"/>
          <w:sz w:val="24"/>
          <w:szCs w:val="24"/>
        </w:rPr>
        <w:t>本文以“杜光庭的文化实践及其当代回响”为主题，遵循“历史梳理—核心分析—价值挖掘—当代转化”的研究思路，层层递进、逐步深入。首先，聚焦杜光庭的思想实践，从《道德真经广圣义》的“重玄”旨归、“理身理国”的同构性、“心性论”的转向三个维度，探讨其如何通过经典诠释整合儒释道三教思想，构建适应时代的心性理论。其次，聚焦杜光庭的文学实践，从《虬髯客传》的神圣叙事世俗化、青词与步虚词的仪式文学典范化、《录异记》的地方知识圣化书写三个维度，探讨其如何通过文学手段实现宗教与世俗的沟通。再次，聚焦杜光庭的科仪实践，从《道门科范大全集》的体系化编纂、科仪的政治实践、科仪规范化对道教组织统一性与社会教化的推动三个维度，探讨其如何通过科仪的系统化、规范化整合道教传统，确立道教在国家与社会中的公共角色。最后，挖掘杜光庭文化实践的当代价值，从精神安顿、文明对话、生态文明建设三个层面，构建“理论转化—实践落地—传播推广”的当代转化路径。本文试图论证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w:t>
      </w:r>
    </w:p>
    <w:p w14:paraId="04EE6E46">
      <w:pPr>
        <w:spacing w:before="60" w:after="60" w:line="360" w:lineRule="auto"/>
        <w:ind w:firstLineChars="0"/>
        <w:outlineLvl w:val="1"/>
        <w:rPr>
          <w:color w:val="auto"/>
        </w:rPr>
      </w:pPr>
      <w:bookmarkStart w:id="39" w:name="_Toc481700628"/>
      <w:bookmarkStart w:id="40" w:name="_Toc929272676"/>
      <w:r>
        <w:rPr>
          <w:rFonts w:ascii="黑体" w:hAnsi="黑体" w:eastAsia="黑体"/>
          <w:b/>
          <w:bCs/>
          <w:color w:val="auto"/>
          <w:sz w:val="24"/>
          <w:szCs w:val="24"/>
        </w:rPr>
        <w:t>（二）研究方法</w:t>
      </w:r>
      <w:bookmarkEnd w:id="39"/>
      <w:bookmarkEnd w:id="40"/>
    </w:p>
    <w:p w14:paraId="0F6859E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跨学科研究法。本文综合借鉴文化人类学、社会学、美学、生态学等多学科的理论与方法，丰富研究视角，深化研究深度。运用文化人类学的仪式理论分析杜光庭科仪整合的仪式功能与公共性建构；运用社会学的社会教化理论探讨杜光庭科仪与文学书写的社会功能；运用美学理论分析杜光庭文学书写的审美特质与神圣意境；运用生态学理论挖掘杜光庭“洞天福地”生态想象的生态内涵与当代价值，实现多学科的交叉融合，提升研究的广度与深度。比较研究法。通过多重对比凸显杜光庭文化实践的创新性与独特性：将杜光庭的文学书写与同时代的道教文学、世俗文学进行对比，分析其文学特色与创新性；将杜光庭的科仪整合与前代道教人物（如陆修静、寇谦之）的科仪改革进行对比，分析其科仪体系的系统性与创新性；将杜光庭的思想阐释与同时代儒、佛学者的思想进行对比，分析其“三教融合”思想的独特性；将杜光庭的生态理念与当代生态文明理念进行对比，挖掘其传统生态智慧的当代价值。特别是在与同时代佛教、儒家的横向比较中，本文力图揭示杜光庭在唐末五代三教思想互动格局中的独特定位。</w:t>
      </w:r>
    </w:p>
    <w:p w14:paraId="2C20C361">
      <w:pPr>
        <w:pStyle w:val="6"/>
        <w:spacing w:before="120" w:after="60" w:line="360" w:lineRule="auto"/>
        <w:ind w:firstLine="420" w:firstLineChars="0"/>
        <w:jc w:val="center"/>
        <w:outlineLvl w:val="0"/>
        <w:rPr>
          <w:color w:val="auto"/>
        </w:rPr>
      </w:pPr>
      <w:bookmarkStart w:id="41" w:name="_Toc2076589253"/>
      <w:bookmarkStart w:id="42" w:name="_Toc1784784548"/>
      <w:r>
        <w:rPr>
          <w:rFonts w:ascii="Times New Roman" w:hAnsi="Times New Roman" w:eastAsia="黑体"/>
          <w:b w:val="0"/>
          <w:bCs/>
          <w:color w:val="auto"/>
          <w:sz w:val="28"/>
          <w:szCs w:val="28"/>
        </w:rPr>
        <w:t>四、研究难点与创新点</w:t>
      </w:r>
      <w:bookmarkEnd w:id="41"/>
      <w:bookmarkEnd w:id="42"/>
    </w:p>
    <w:p w14:paraId="103AD00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本文的研究难点与创新点紧密相连，主要体现在以下三个方面：第一，文献整理与系统整合的难度。杜光庭的著作数量众多，部分著作已残缺不全，现存著作版本复杂，不同版本之间存在诸多差异，如《道教灵验记》有《道藏》本与《云笈七签》节录本，《录异记》也有多个版本传世，给文献的整理与解读带来较大难度。同时，文学书写、科仪整合与思想阐释三大领域内容丰富、涉及面广，三者之间的内在逻辑关联较为隐蔽，需要深入挖掘、系统梳理才能明确其相互支撑、相互促进的关系。本文以“文化实践”为核心视角，将三大领域视为有机整体进行系统整合，弥补了现有研究的碎片化缺陷，实现了从“单一领域研究”向“整体整合研究”的转变。第二，科仪整合的公共性阐释与当代价值转化的难度。杜光庭科仪整合的公共性建构逻辑及其与国家政治、社会教化的互动机制，需要结合仪式理论、政治学与社会学的方法进行跨学科分析，方法论层面的要求较高。本文引入“公共性”理论视角，从文本编纂、国家斋醮与社会化传播三个维度阐释科仪整合的公共性建构过程，并构建杜光庭文化实践当代转化的理论框架与实践路径，为传统道教文化的当代传承与发展提供新思路。第三，避免“牵强附会”的当代转化难度。杜光庭的文化实践是古代道教文化的重要组成部分，与当代社会的语境、需求存在较大差异，如何实现传统道教文化与当代社会需求的深度对接，构建科学合理、切实可行的当代转化路径，是本文的重要难点。本文立足当代社会面临的精神焦虑、文明冲突、生态危机三大核心问题，有针对性地挖掘杜光庭心性资源、文化整合智慧、生态理念的当代价值，力求实现传统研究与现代需求的深度对接，让传统文化在当代社会焕发新的生命力。</w:t>
      </w:r>
    </w:p>
    <w:p w14:paraId="1266F10D">
      <w:pPr>
        <w:spacing w:before="360" w:after="200" w:line="360" w:lineRule="auto"/>
        <w:jc w:val="center"/>
        <w:outlineLvl w:val="0"/>
        <w:rPr>
          <w:rFonts w:ascii="Times New Roman" w:hAnsi="Times New Roman" w:eastAsia="黑体"/>
          <w:b/>
          <w:color w:val="auto"/>
          <w:sz w:val="32"/>
        </w:rPr>
      </w:pPr>
      <w:bookmarkStart w:id="43" w:name="_Toc331344127"/>
    </w:p>
    <w:p w14:paraId="38A26E7D">
      <w:pPr>
        <w:spacing w:line="360" w:lineRule="auto"/>
        <w:rPr>
          <w:rFonts w:ascii="Times New Roman" w:hAnsi="Times New Roman" w:eastAsia="黑体"/>
          <w:b/>
          <w:color w:val="auto"/>
          <w:sz w:val="32"/>
        </w:rPr>
      </w:pPr>
      <w:r>
        <w:rPr>
          <w:rFonts w:ascii="Times New Roman" w:hAnsi="Times New Roman" w:eastAsia="黑体"/>
          <w:b/>
          <w:color w:val="auto"/>
          <w:sz w:val="32"/>
        </w:rPr>
        <w:br w:type="page"/>
      </w:r>
    </w:p>
    <w:p w14:paraId="4B4A6083">
      <w:pPr>
        <w:pStyle w:val="3"/>
        <w:spacing w:before="360" w:after="200" w:line="360" w:lineRule="auto"/>
        <w:jc w:val="center"/>
        <w:outlineLvl w:val="0"/>
        <w:rPr>
          <w:color w:val="auto"/>
        </w:rPr>
      </w:pPr>
      <w:bookmarkStart w:id="44" w:name="_Toc822316940"/>
      <w:r>
        <w:rPr>
          <w:rFonts w:ascii="Times New Roman" w:hAnsi="Times New Roman" w:eastAsia="黑体"/>
          <w:b/>
          <w:color w:val="auto"/>
          <w:sz w:val="32"/>
        </w:rPr>
        <w:t>第一章  杜光庭的思想阐释与</w:t>
      </w:r>
      <w:r>
        <w:rPr>
          <w:rFonts w:hint="eastAsia" w:ascii="Times New Roman" w:hAnsi="Times New Roman" w:eastAsia="黑体"/>
          <w:b/>
          <w:color w:val="auto"/>
          <w:sz w:val="32"/>
          <w:lang w:eastAsia="zh-CN"/>
        </w:rPr>
        <w:t>“</w:t>
      </w:r>
      <w:r>
        <w:rPr>
          <w:rFonts w:ascii="Times New Roman" w:hAnsi="Times New Roman" w:eastAsia="黑体"/>
          <w:b/>
          <w:color w:val="auto"/>
          <w:sz w:val="32"/>
        </w:rPr>
        <w:t>三教融合</w:t>
      </w:r>
      <w:r>
        <w:rPr>
          <w:rFonts w:hint="eastAsia" w:ascii="Times New Roman" w:hAnsi="Times New Roman" w:eastAsia="黑体"/>
          <w:b/>
          <w:color w:val="auto"/>
          <w:sz w:val="32"/>
          <w:lang w:eastAsia="zh-CN"/>
        </w:rPr>
        <w:t>”</w:t>
      </w:r>
      <w:r>
        <w:rPr>
          <w:rFonts w:ascii="Times New Roman" w:hAnsi="Times New Roman" w:eastAsia="黑体"/>
          <w:b/>
          <w:color w:val="auto"/>
          <w:sz w:val="32"/>
        </w:rPr>
        <w:t>的哲理深化</w:t>
      </w:r>
      <w:bookmarkEnd w:id="43"/>
      <w:bookmarkEnd w:id="44"/>
    </w:p>
    <w:p w14:paraId="2161B11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作为唐末五代道教集大成者，杜光庭的思想阐释是其系统性道教文化实践的核心内核，相较于文学书写的世俗传播、科仪整合的制度建构，其思想阐释以“三教融合”为核心脉络，实现了对唐代道教义学的总结与道教哲理的深度深化。本章节以杜光庭的核心义理著作《道德真经广圣义》为核心文本，结合其科仪、文学著作中的思想表达，从《道德真经广圣义》对唐代重玄义学的诠释与集成、“理身理国”的同构性建构、道教“心性论”的转向三个维度，剖析其思想阐释的核心内涵与哲理突破。</w:t>
      </w:r>
    </w:p>
    <w:p w14:paraId="7ABC98EC">
      <w:pPr>
        <w:pStyle w:val="5"/>
        <w:spacing w:before="240" w:after="60" w:line="360" w:lineRule="auto"/>
        <w:ind w:firstLine="0"/>
        <w:jc w:val="center"/>
        <w:outlineLvl w:val="1"/>
        <w:rPr>
          <w:rFonts w:hint="eastAsia" w:ascii="黑体" w:hAnsi="黑体" w:eastAsia="黑体" w:cs="黑体"/>
          <w:color w:val="auto"/>
        </w:rPr>
      </w:pPr>
      <w:bookmarkStart w:id="45" w:name="_Toc475645818"/>
      <w:bookmarkStart w:id="46" w:name="_Toc1623542135"/>
      <w:r>
        <w:rPr>
          <w:rFonts w:hint="eastAsia" w:ascii="黑体" w:hAnsi="黑体" w:eastAsia="黑体" w:cs="黑体"/>
          <w:b w:val="0"/>
          <w:bCs/>
          <w:color w:val="auto"/>
          <w:sz w:val="30"/>
          <w:szCs w:val="30"/>
        </w:rPr>
        <w:t>第一节  《道德真经广圣义》的</w:t>
      </w:r>
      <w:r>
        <w:rPr>
          <w:rFonts w:hint="eastAsia" w:ascii="黑体" w:hAnsi="黑体" w:eastAsia="黑体" w:cs="黑体"/>
          <w:b w:val="0"/>
          <w:bCs/>
          <w:color w:val="auto"/>
          <w:sz w:val="30"/>
          <w:szCs w:val="30"/>
          <w:lang w:eastAsia="zh-CN"/>
        </w:rPr>
        <w:t>“</w:t>
      </w:r>
      <w:r>
        <w:rPr>
          <w:rFonts w:hint="eastAsia" w:ascii="黑体" w:hAnsi="黑体" w:eastAsia="黑体" w:cs="黑体"/>
          <w:b w:val="0"/>
          <w:bCs/>
          <w:color w:val="auto"/>
          <w:sz w:val="30"/>
          <w:szCs w:val="30"/>
        </w:rPr>
        <w:t>重玄</w:t>
      </w:r>
      <w:r>
        <w:rPr>
          <w:rFonts w:hint="eastAsia" w:ascii="黑体" w:hAnsi="黑体" w:eastAsia="黑体" w:cs="黑体"/>
          <w:b w:val="0"/>
          <w:bCs/>
          <w:color w:val="auto"/>
          <w:sz w:val="30"/>
          <w:szCs w:val="30"/>
          <w:lang w:eastAsia="zh-CN"/>
        </w:rPr>
        <w:t>”</w:t>
      </w:r>
      <w:r>
        <w:rPr>
          <w:rFonts w:hint="eastAsia" w:ascii="黑体" w:hAnsi="黑体" w:eastAsia="黑体" w:cs="黑体"/>
          <w:b w:val="0"/>
          <w:bCs/>
          <w:color w:val="auto"/>
          <w:sz w:val="30"/>
          <w:szCs w:val="30"/>
        </w:rPr>
        <w:t>旨归与唐末道教义学之集成</w:t>
      </w:r>
      <w:bookmarkEnd w:id="45"/>
      <w:bookmarkEnd w:id="46"/>
    </w:p>
    <w:p w14:paraId="207A7AE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德经》是道教的核心经典，也是道教义学阐释的核心对象，汉魏以来，注疏《道德经》成为道教义学发展的主要路径，至唐代形成了以重玄学派为核心的诠释传统。杜光庭的《道德真经广圣义》（以下简称《广圣义》）是唐代《道德经》注疏的集大成之作，全书共五十卷，“引古今天下贤士诠解笺注二十余家，究其源流，穷其旨趣”，并非简单汇编前代注疏，而是以道教“重玄”思想为旨归，以“道”本体为核心，对前代注疏进行筛选、整合、诠释，完成了对唐代道教义学的系统性总结。其贡献不仅在于梳理了唐代重玄义学的发展脉络，更在于让重玄义学走出纯思辨的圈层，与道教的神仙信仰、科仪实践相结合，实现了“重玄义学的道教化”，同时吸纳儒释的阐释方法与思想内涵，丰富了重玄义学的哲理内涵，确立了道教义学的核心框架。</w:t>
      </w:r>
    </w:p>
    <w:p w14:paraId="376ABDF2">
      <w:pPr>
        <w:pStyle w:val="6"/>
        <w:spacing w:before="120" w:after="60" w:line="360" w:lineRule="auto"/>
        <w:ind w:firstLine="420" w:firstLineChars="0"/>
        <w:jc w:val="center"/>
        <w:outlineLvl w:val="2"/>
        <w:rPr>
          <w:color w:val="auto"/>
        </w:rPr>
      </w:pPr>
      <w:bookmarkStart w:id="47" w:name="_Toc1245128992"/>
      <w:bookmarkStart w:id="48" w:name="_Toc945444163"/>
      <w:r>
        <w:rPr>
          <w:rFonts w:ascii="Times New Roman" w:hAnsi="Times New Roman" w:eastAsia="黑体"/>
          <w:b w:val="0"/>
          <w:bCs/>
          <w:color w:val="auto"/>
          <w:sz w:val="28"/>
          <w:szCs w:val="28"/>
        </w:rPr>
        <w:t>一、唐代重玄义学的发展与杜光庭的诠释动因</w:t>
      </w:r>
      <w:bookmarkEnd w:id="47"/>
      <w:bookmarkEnd w:id="48"/>
    </w:p>
    <w:p w14:paraId="1ACC4FF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“重玄”思想源于《道德经》</w:t>
      </w:r>
      <w:r>
        <w:rPr>
          <w:rFonts w:hint="eastAsia" w:ascii="宋体" w:hAnsi="宋体" w:eastAsia="宋体" w:cs="宋体"/>
          <w:sz w:val="24"/>
          <w:szCs w:val="24"/>
          <w:lang w:eastAsia="zh-CN"/>
        </w:rPr>
        <w:t>“</w:t>
      </w:r>
      <w:r>
        <w:rPr>
          <w:rFonts w:hint="eastAsia" w:ascii="宋体" w:hAnsi="宋体" w:eastAsia="宋体" w:cs="宋体"/>
          <w:sz w:val="24"/>
          <w:szCs w:val="24"/>
        </w:rPr>
        <w:t>玄之又玄，众妙之门</w:t>
      </w:r>
      <w:r>
        <w:rPr>
          <w:rFonts w:hint="eastAsia" w:ascii="宋体" w:hAnsi="宋体" w:eastAsia="宋体" w:cs="宋体"/>
          <w:sz w:val="24"/>
          <w:szCs w:val="24"/>
          <w:lang w:eastAsia="zh-CN"/>
        </w:rPr>
        <w:t>”</w:t>
      </w:r>
      <w:r>
        <w:rPr>
          <w:rStyle w:val="140"/>
          <w:rFonts w:hint="eastAsia" w:ascii="宋体" w:hAnsi="宋体" w:eastAsia="宋体" w:cs="宋体"/>
          <w:sz w:val="24"/>
          <w:szCs w:val="24"/>
          <w:lang w:eastAsia="zh-CN"/>
        </w:rPr>
        <w:footnoteReference w:id="5"/>
      </w:r>
      <w:r>
        <w:rPr>
          <w:rFonts w:hint="eastAsia" w:ascii="宋体" w:hAnsi="宋体" w:eastAsia="宋体" w:cs="宋体"/>
          <w:sz w:val="24"/>
          <w:szCs w:val="24"/>
        </w:rPr>
        <w:t>，经魏晋玄学发展，至唐代成为道教义学核心。成玄英、李荣等学者以“双遣双非”的思辨方法，超越“有”“无”“体”“用”“动”“静”的二元对立，构建了系统的重玄义理体系。成玄英曰：</w:t>
      </w:r>
    </w:p>
    <w:p w14:paraId="0774BA71">
      <w:pPr>
        <w:spacing w:before="0" w:after="0" w:line="360" w:lineRule="auto"/>
        <w:ind w:firstLine="420"/>
        <w:rPr>
          <w:rFonts w:hint="eastAsia" w:ascii="楷体" w:hAnsi="楷体" w:eastAsia="楷体" w:cs="楷体"/>
          <w:spacing w:val="8"/>
          <w:sz w:val="24"/>
          <w:szCs w:val="24"/>
          <w:lang w:val="en-US" w:eastAsia="en-US" w:bidi="ar-SA"/>
        </w:rPr>
      </w:pPr>
      <w:r>
        <w:rPr>
          <w:rFonts w:hint="eastAsia" w:ascii="楷体" w:hAnsi="楷体" w:eastAsia="楷体" w:cs="楷体"/>
          <w:spacing w:val="8"/>
          <w:sz w:val="24"/>
          <w:szCs w:val="24"/>
          <w:lang w:val="en-US" w:eastAsia="en-US" w:bidi="ar-SA"/>
        </w:rPr>
        <w:t>“玄者，深远之义，亦是不滞之名。有无二心，徼妙两观，源于一道，同出异名。异名一道，谓之深远。深远之玄，理归无滞。既不滞有，亦不滞无，二俱不滞，故谓之玄也。”</w:t>
      </w:r>
      <w:r>
        <w:rPr>
          <w:rStyle w:val="140"/>
          <w:rFonts w:hint="eastAsia" w:ascii="楷体" w:hAnsi="楷体" w:eastAsia="楷体" w:cs="楷体"/>
          <w:spacing w:val="8"/>
          <w:sz w:val="24"/>
          <w:szCs w:val="24"/>
          <w:lang w:val="en-US" w:eastAsia="en-US" w:bidi="ar-SA"/>
        </w:rPr>
        <w:footnoteReference w:id="6"/>
      </w:r>
      <w:r>
        <w:rPr>
          <w:rFonts w:ascii="宋体" w:hAnsi="宋体"/>
          <w:color w:val="FF0000"/>
          <w:sz w:val="24"/>
          <w:rFonts w:eastAsia="宋体" w:ascii="宋体" w:hAnsi="宋体"/>
          <w:sz w:val="240"/>
          <w:color w:val="FF0000"/>
        </w:rPr>
        <w:t>（成玄英. 道德真经义疏（卷一）[M]//道藏: 第11册. 北京: 文物出版社, 1988: 125.）</w:t>
      </w:r>
      <w:r>
        <w:rPr>
          <w:rFonts w:ascii="宋体" w:hAnsi="宋体"/>
          <w:color w:val="FF0000"/>
          <w:sz w:val="20"/>
          <w:vertAlign w:val="superscript"/>
          <w:rFonts w:eastAsia="宋体" w:ascii="宋体" w:hAnsi="宋体"/>
          <w:sz w:val="200"/>
          <w:color w:val="FF0000"/>
        </w:rPr>
        <w:t>[5]</w:t>
      </w:r>
    </w:p>
    <w:p w14:paraId="20DB9B7D">
      <w:pPr>
        <w:spacing w:before="0" w:after="0" w:line="360" w:lineRule="auto"/>
        <w:ind w:firstLine="420"/>
        <w:rPr>
          <w:rFonts w:hint="eastAsia" w:ascii="楷体" w:hAnsi="楷体" w:eastAsia="楷体" w:cs="楷体"/>
          <w:spacing w:val="8"/>
          <w:sz w:val="24"/>
          <w:szCs w:val="24"/>
          <w:lang w:val="en-US" w:eastAsia="en-US" w:bidi="ar-SA"/>
        </w:rPr>
      </w:pPr>
      <w:r>
        <w:rPr>
          <w:rFonts w:hint="eastAsia" w:ascii="宋体" w:hAnsi="宋体" w:eastAsia="宋体" w:cs="宋体"/>
          <w:sz w:val="24"/>
          <w:szCs w:val="24"/>
        </w:rPr>
        <w:t>又曰：</w:t>
      </w:r>
      <w:r>
        <w:rPr>
          <w:rFonts w:hint="eastAsia" w:ascii="楷体" w:hAnsi="楷体" w:eastAsia="楷体" w:cs="楷体"/>
          <w:spacing w:val="8"/>
          <w:sz w:val="24"/>
          <w:szCs w:val="24"/>
          <w:lang w:val="en-US" w:eastAsia="en-US" w:bidi="ar-SA"/>
        </w:rPr>
        <w:t>“又恐学者滞于此玄，今说又玄，更祛后病。既而非但不滞，亦乃不滞于不滞。此则遣之又遣，故曰玄之又玄。”</w:t>
      </w:r>
      <w:r>
        <w:rPr>
          <w:rStyle w:val="140"/>
          <w:rFonts w:hint="eastAsia" w:ascii="楷体" w:hAnsi="楷体" w:eastAsia="楷体" w:cs="楷体"/>
          <w:spacing w:val="8"/>
          <w:sz w:val="24"/>
          <w:szCs w:val="24"/>
          <w:lang w:val="en-US" w:eastAsia="en-US" w:bidi="ar-SA"/>
        </w:rPr>
        <w:footnoteReference w:id="7"/>
      </w:r>
      <w:r>
        <w:rPr>
          <w:rFonts w:ascii="宋体" w:hAnsi="宋体"/>
          <w:color w:val="FF0000"/>
          <w:sz w:val="24"/>
          <w:rFonts w:eastAsia="宋体" w:ascii="宋体" w:hAnsi="宋体"/>
          <w:sz w:val="240"/>
          <w:color w:val="FF0000"/>
        </w:rPr>
        <w:t>（成玄英. 道德真经义疏（卷一）[M]//道藏: 第11册. 北京: 文物出版社, 1988: 126.）</w:t>
      </w:r>
      <w:r>
        <w:rPr>
          <w:rFonts w:ascii="宋体" w:hAnsi="宋体"/>
          <w:color w:val="FF0000"/>
          <w:sz w:val="20"/>
          <w:vertAlign w:val="superscript"/>
          <w:rFonts w:eastAsia="宋体" w:ascii="宋体" w:hAnsi="宋体"/>
          <w:sz w:val="200"/>
          <w:color w:val="FF0000"/>
        </w:rPr>
        <w:t>[6]</w:t>
      </w:r>
    </w:p>
    <w:p w14:paraId="7CE2EA4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这两段论述揭示了重玄方法的根本逻辑：不仅否定对“有”“无”的执着，更否定对“否定”本身的执着，层层递进的否定结构指向对“道”的终极体认。但至唐末，重玄义学陷入三重困境：其一，各学者阐释侧重点不同——成玄英偏于体用不二，李荣偏于有无双遣，王玄览偏于道性自然——义学趋于碎片化；其二，重玄学者多为隐士或文人，阐释偏于纯哲学思辨，与道教的神仙信仰、科仪实践相割裂，成为“书斋中的义学”；其三，虽吸纳了佛教中观思辨与儒家思想，但多停留在方法与概念的借鉴，未能以道教道本体为核心实现三教思想的有机融合。唐末五代亟需一套统一、系统且与实践结合的义理体系，作为科仪整合、世俗传播的思想基础。杜光庭作为唐末五代道教的领袖，深知道教义学的发展困境，其作《广圣义》的核心动因，就是“整饬重玄义学，回归道教本体，融合三教思想，联结义理与实践”：通过对前代《道德经》注疏的整合，梳理重玄义学的发展脉络，实现重玄义学的系统化；以道教“道”本体为核心，吸纳儒释思想，强化道教义学的主体性；将重玄思想与神仙信仰、科仪实践、个体修道、国家治理相结合，让重玄义学成为指导道教实践与社会生活的核心思想，解决义理与实践脱节的问题。</w:t>
      </w:r>
    </w:p>
    <w:p w14:paraId="291AC123">
      <w:pPr>
        <w:pStyle w:val="6"/>
        <w:spacing w:before="120" w:after="60" w:line="360" w:lineRule="auto"/>
        <w:ind w:firstLine="420" w:firstLineChars="0"/>
        <w:jc w:val="center"/>
        <w:outlineLvl w:val="2"/>
        <w:rPr>
          <w:color w:val="auto"/>
        </w:rPr>
      </w:pPr>
      <w:bookmarkStart w:id="49" w:name="_Toc1802312176"/>
      <w:bookmarkStart w:id="50" w:name="_Toc848543388"/>
      <w:r>
        <w:rPr>
          <w:rFonts w:ascii="Times New Roman" w:hAnsi="Times New Roman" w:eastAsia="黑体"/>
          <w:b w:val="0"/>
          <w:bCs/>
          <w:color w:val="auto"/>
          <w:sz w:val="28"/>
          <w:szCs w:val="28"/>
        </w:rPr>
        <w:t>二、《广圣义》的重玄旨归</w:t>
      </w:r>
      <w:bookmarkEnd w:id="49"/>
      <w:bookmarkEnd w:id="50"/>
    </w:p>
    <w:p w14:paraId="3FA8073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广圣义》中明确提出，《道德经》的核心旨归在于“重玄”，“玄之又玄者，盖示夫修道之阶，体道之妙也”，他以“道”为最高本体，继承了唐代重玄学派“双遣双非”的思辨方法，同时对“重玄”思想进行了道教化的改造与深化，让“重玄”从单纯的思辨方法，成为体认“道”、实现修道的核心路径，既保留了重玄义学的思辨性，又强化了其道教的宗教性。</w:t>
      </w:r>
    </w:p>
    <w:p w14:paraId="42F2B808">
      <w:pPr>
        <w:pStyle w:val="7"/>
        <w:spacing w:before="60" w:after="60" w:line="360" w:lineRule="auto"/>
        <w:ind w:firstLine="420" w:firstLineChars="0"/>
        <w:jc w:val="left"/>
        <w:outlineLvl w:val="3"/>
        <w:rPr>
          <w:rFonts w:hint="eastAsia" w:ascii="黑体" w:hAnsi="黑体" w:eastAsia="黑体" w:cs="黑体"/>
          <w:i w:val="0"/>
          <w:iCs w:val="0"/>
          <w:color w:val="auto"/>
        </w:rPr>
      </w:pPr>
      <w:r>
        <w:rPr>
          <w:rFonts w:hint="eastAsia" w:ascii="黑体" w:hAnsi="黑体" w:eastAsia="黑体" w:cs="黑体"/>
          <w:b/>
          <w:bCs/>
          <w:i w:val="0"/>
          <w:iCs w:val="0"/>
          <w:color w:val="auto"/>
          <w:sz w:val="24"/>
          <w:szCs w:val="24"/>
        </w:rPr>
        <w:t>（一）确立了“道”的本体地位</w:t>
      </w:r>
    </w:p>
    <w:p w14:paraId="532D739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杜光庭将“道”视为宇宙万物、人伦社会、个体修道的终极本原，这是其重玄阐释的核心基础。他在《太上老君说常清静经注》（卷一）中写道：</w:t>
      </w:r>
    </w:p>
    <w:p w14:paraId="3D9B492D">
      <w:pPr>
        <w:bidi w:val="0"/>
        <w:rPr>
          <w:rFonts w:hint="eastAsia" w:ascii="楷体" w:hAnsi="楷体" w:eastAsia="楷体" w:cs="楷体"/>
          <w:lang w:eastAsia="zh-CN"/>
        </w:rPr>
      </w:pPr>
      <w:r>
        <w:rPr>
          <w:rFonts w:hint="eastAsia" w:ascii="楷体" w:hAnsi="楷体" w:eastAsia="楷体" w:cs="楷体"/>
        </w:rPr>
        <w:t>道者，虚无之气也</w:t>
      </w:r>
      <w:r>
        <w:rPr>
          <w:rFonts w:hint="eastAsia" w:ascii="楷体" w:hAnsi="楷体" w:eastAsia="楷体" w:cs="楷体"/>
          <w:lang w:eastAsia="zh-CN"/>
        </w:rPr>
        <w:t>，</w:t>
      </w:r>
      <w:r>
        <w:rPr>
          <w:rFonts w:hint="eastAsia" w:ascii="楷体" w:hAnsi="楷体" w:eastAsia="楷体" w:cs="楷体"/>
        </w:rPr>
        <w:t>混沌之宗，乾坤之祖，能有能无</w:t>
      </w:r>
      <w:r>
        <w:rPr>
          <w:rFonts w:hint="eastAsia" w:ascii="楷体" w:hAnsi="楷体" w:eastAsia="楷体" w:cs="楷体"/>
          <w:lang w:eastAsia="zh-CN"/>
        </w:rPr>
        <w:t>，</w:t>
      </w:r>
      <w:r>
        <w:rPr>
          <w:rFonts w:hint="eastAsia" w:ascii="楷体" w:hAnsi="楷体" w:eastAsia="楷体" w:cs="楷体"/>
        </w:rPr>
        <w:t>包罗天地。道本无形， 莫之能名</w:t>
      </w:r>
      <w:r>
        <w:rPr>
          <w:rFonts w:hint="eastAsia" w:ascii="楷体" w:hAnsi="楷体" w:eastAsia="楷体" w:cs="楷体"/>
          <w:lang w:eastAsia="zh-CN"/>
        </w:rPr>
        <w:t>，</w:t>
      </w:r>
      <w:r>
        <w:rPr>
          <w:rFonts w:hint="eastAsia" w:ascii="楷体" w:hAnsi="楷体" w:eastAsia="楷体" w:cs="楷体"/>
        </w:rPr>
        <w:t>无形之形，是谓真形</w:t>
      </w:r>
      <w:r>
        <w:rPr>
          <w:rFonts w:hint="eastAsia" w:ascii="楷体" w:hAnsi="楷体" w:eastAsia="楷体" w:cs="楷体"/>
          <w:lang w:eastAsia="zh-CN"/>
        </w:rPr>
        <w:t>。</w:t>
      </w:r>
      <w:r>
        <w:rPr>
          <w:rFonts w:hint="eastAsia" w:ascii="楷体" w:hAnsi="楷体" w:eastAsia="楷体" w:cs="楷体"/>
        </w:rPr>
        <w:t>无象之象，是谓真象。先天地而不为长，后天地而不为老，无形而自彰</w:t>
      </w:r>
      <w:r>
        <w:rPr>
          <w:rFonts w:hint="eastAsia" w:ascii="楷体" w:hAnsi="楷体" w:eastAsia="楷体" w:cs="楷体"/>
          <w:lang w:eastAsia="zh-CN"/>
        </w:rPr>
        <w:t>，</w:t>
      </w:r>
      <w:r>
        <w:rPr>
          <w:rFonts w:hint="eastAsia" w:ascii="楷体" w:hAnsi="楷体" w:eastAsia="楷体" w:cs="楷体"/>
        </w:rPr>
        <w:t>无象而自立，无为而自化，故曰大道</w:t>
      </w:r>
      <w:r>
        <w:rPr>
          <w:rFonts w:hint="eastAsia" w:ascii="楷体" w:hAnsi="楷体" w:eastAsia="楷体" w:cs="楷体"/>
          <w:lang w:eastAsia="zh-CN"/>
        </w:rPr>
        <w:t>。</w:t>
      </w:r>
      <w:r>
        <w:rPr>
          <w:rFonts w:ascii="宋体" w:hAnsi="宋体"/>
          <w:color w:val="FF0000"/>
          <w:sz w:val="24"/>
          <w:rFonts w:eastAsia="宋体" w:ascii="宋体" w:hAnsi="宋体"/>
          <w:sz w:val="240"/>
          <w:color w:val="FF0000"/>
        </w:rPr>
        <w:t>（杜光庭. 太上老君说常清静经注（卷一）[M]//道藏: 第17册. 北京: 文物出版社, 1988: 142.）</w:t>
      </w:r>
      <w:r>
        <w:rPr>
          <w:rFonts w:ascii="宋体" w:hAnsi="宋体"/>
          <w:color w:val="FF0000"/>
          <w:sz w:val="20"/>
          <w:vertAlign w:val="superscript"/>
          <w:rFonts w:eastAsia="宋体" w:ascii="宋体" w:hAnsi="宋体"/>
          <w:sz w:val="200"/>
          <w:color w:val="FF0000"/>
        </w:rPr>
        <w:t>[7]</w:t>
      </w:r>
    </w:p>
    <w:p w14:paraId="6E7D149D">
      <w:pPr>
        <w:bidi w:val="0"/>
        <w:rPr>
          <w:rFonts w:hint="eastAsia" w:ascii="宋体" w:hAnsi="宋体" w:eastAsia="宋体" w:cs="宋体"/>
          <w:szCs w:val="24"/>
        </w:rPr>
      </w:pPr>
      <w:r>
        <w:rPr>
          <w:rFonts w:hint="eastAsia" w:ascii="楷体" w:hAnsi="楷体" w:eastAsia="楷体" w:cs="楷体"/>
          <w:lang w:val="en-US" w:eastAsia="zh-CN"/>
        </w:rPr>
        <w:t>阳者清也，上腾为天；阴者浊也，下潜为地。天地者，乃大道之子也。 故天无精气无以制日明之明；地无精气无以制山岳之镇；人无精气无以制身形之存。</w:t>
      </w:r>
      <w:r>
        <w:rPr>
          <w:rStyle w:val="140"/>
          <w:rFonts w:hint="eastAsia" w:ascii="楷体" w:hAnsi="楷体" w:eastAsia="楷体" w:cs="楷体"/>
          <w:szCs w:val="24"/>
          <w:lang w:val="en-US" w:eastAsia="zh-CN"/>
        </w:rPr>
        <w:footnoteReference w:id="8"/>
      </w:r>
      <w:r>
        <w:rPr>
          <w:rFonts w:ascii="宋体" w:hAnsi="宋体"/>
          <w:color w:val="FF0000"/>
          <w:sz w:val="24"/>
          <w:rFonts w:eastAsia="宋体" w:ascii="宋体" w:hAnsi="宋体"/>
          <w:sz w:val="240"/>
          <w:color w:val="FF0000"/>
        </w:rPr>
        <w:t>（杜光庭. 太上老君说常清静经注（卷一）[M]//道藏: 第17册. 北京: 文物出版社, 1988: 142-143.）</w:t>
      </w:r>
      <w:r>
        <w:rPr>
          <w:rFonts w:ascii="宋体" w:hAnsi="宋体"/>
          <w:color w:val="FF0000"/>
          <w:sz w:val="20"/>
          <w:vertAlign w:val="superscript"/>
          <w:rFonts w:eastAsia="宋体" w:ascii="宋体" w:hAnsi="宋体"/>
          <w:sz w:val="200"/>
          <w:color w:val="FF0000"/>
        </w:rPr>
        <w:t>[8]</w:t>
      </w:r>
    </w:p>
    <w:p w14:paraId="43B1302D">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这段引文集中体现了杜光庭对“道”的三重界定：就本体而言，道是先天地而生的虚无之气，兼具“无形之形”与“无象之象”的超越性特征；就生成而言，天地阴阳皆为道的化生之物，道为乾坤之祖、万物之源；就作用而言，道的精气贯穿天、地、人三才，是维系宇宙秩序与个体生命的根本力量。这一阐释将道的虚无性与实有性统一于同一本体论框架之下，为后续的“体用不二”思想奠定了基础。他认为，“道”具有“虚无性”与“实有性”的双重特征。如《道德真经广圣义》中说的</w:t>
      </w:r>
      <w:r>
        <w:t>：</w:t>
      </w:r>
    </w:p>
    <w:p w14:paraId="0ECF4102">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80" w:firstLineChars="200"/>
        <w:jc w:val="left"/>
        <w:textAlignment w:val="auto"/>
        <w:outlineLvl w:val="0"/>
        <w:rPr>
          <w:rFonts w:hint="eastAsia" w:ascii="楷体" w:hAnsi="楷体" w:eastAsia="楷体" w:cs="楷体"/>
          <w:sz w:val="24"/>
          <w:szCs w:val="24"/>
        </w:rPr>
      </w:pPr>
      <w:bookmarkStart w:id="51" w:name="_Toc29822389"/>
      <w:r>
        <w:rPr>
          <w:rFonts w:hint="eastAsia" w:ascii="楷体" w:hAnsi="楷体" w:eastAsia="楷体" w:cs="楷体"/>
          <w:sz w:val="24"/>
          <w:szCs w:val="24"/>
        </w:rPr>
        <w:t>夫道之无也，资有以彰其功，无此有则道功不彰矣。物之有也，资道以察其质，无此道则物不生矣，物非道则不能生成。</w:t>
      </w:r>
      <w:r>
        <w:rPr>
          <w:rStyle w:val="140"/>
          <w:rFonts w:hint="eastAsia" w:ascii="楷体" w:hAnsi="楷体" w:eastAsia="楷体" w:cs="楷体"/>
          <w:sz w:val="24"/>
          <w:szCs w:val="24"/>
        </w:rPr>
        <w:footnoteReference w:id="9"/>
      </w:r>
      <w:bookmarkEnd w:id="51"/>
      <w:r>
        <w:rPr>
          <w:rFonts w:ascii="宋体" w:hAnsi="宋体"/>
          <w:color w:val="FF0000"/>
          <w:sz w:val="24"/>
          <w:rFonts w:eastAsia="宋体" w:ascii="宋体" w:hAnsi="宋体"/>
          <w:sz w:val="240"/>
          <w:color w:val="FF0000"/>
        </w:rPr>
        <w:t>（杜光庭. 道德真经广圣义（卷三）[M]//道藏: 第14册. 北京: 文物出版社, 1988: 312.）</w:t>
      </w:r>
      <w:r>
        <w:rPr>
          <w:rFonts w:ascii="宋体" w:hAnsi="宋体"/>
          <w:color w:val="FF0000"/>
          <w:sz w:val="20"/>
          <w:vertAlign w:val="superscript"/>
          <w:rFonts w:eastAsia="宋体" w:ascii="宋体" w:hAnsi="宋体"/>
          <w:sz w:val="200"/>
          <w:color w:val="FF0000"/>
        </w:rPr>
        <w:t>[9]</w:t>
      </w:r>
    </w:p>
    <w:p w14:paraId="32B7978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也就是说，道的体用不二，是宇宙万物的存在法则，也是个体体道、国家治国的根本遵循。这一阐释，继承了《道德经》的道论核心，同时整合了唐代重玄学者的体用思想，纠正了部分学者将“道”视为纯虚无的偏颇，强化了道的实践性。</w:t>
      </w:r>
      <w:r>
        <w:rPr>
          <w:rFonts w:ascii="宋体" w:hAnsi="宋体"/>
          <w:color w:val="FF0000"/>
          <w:sz w:val="24"/>
          <w:rFonts w:eastAsia="宋体" w:ascii="宋体" w:hAnsi="宋体"/>
          <w:sz w:val="240"/>
          <w:color w:val="FF0000"/>
        </w:rPr>
        <w:t>（董恩林. 唐代道教的"重玄"思潮与杜光庭的《道德真经广圣义》[J]. 世界宗教研究, 2004(3): 78-85.）</w:t>
      </w:r>
      <w:r>
        <w:rPr>
          <w:rFonts w:ascii="宋体" w:hAnsi="宋体"/>
          <w:color w:val="FF0000"/>
          <w:sz w:val="20"/>
          <w:vertAlign w:val="superscript"/>
          <w:rFonts w:eastAsia="宋体" w:ascii="宋体" w:hAnsi="宋体"/>
          <w:sz w:val="200"/>
          <w:color w:val="FF0000"/>
        </w:rPr>
        <w:t>[10]</w:t>
      </w:r>
      <w:r>
        <w:footnoteReference w:id="10"/>
      </w:r>
    </w:p>
    <w:p w14:paraId="2805E557">
      <w:pPr>
        <w:pStyle w:val="7"/>
        <w:spacing w:before="60" w:after="60" w:line="360" w:lineRule="auto"/>
        <w:ind w:firstLine="420" w:firstLineChars="0"/>
        <w:jc w:val="left"/>
        <w:outlineLvl w:val="3"/>
        <w:rPr>
          <w:rFonts w:hint="eastAsia" w:ascii="黑体" w:hAnsi="黑体" w:eastAsia="黑体" w:cs="黑体"/>
          <w:i w:val="0"/>
          <w:iCs w:val="0"/>
          <w:color w:val="auto"/>
        </w:rPr>
      </w:pPr>
      <w:r>
        <w:rPr>
          <w:rFonts w:hint="eastAsia" w:ascii="黑体" w:hAnsi="黑体" w:eastAsia="黑体" w:cs="黑体"/>
          <w:b/>
          <w:bCs/>
          <w:i w:val="0"/>
          <w:iCs w:val="0"/>
          <w:color w:val="auto"/>
          <w:sz w:val="24"/>
          <w:szCs w:val="24"/>
        </w:rPr>
        <w:t>（二）构建“重玄思想与个体修道相结合”的路径</w:t>
      </w:r>
    </w:p>
    <w:p w14:paraId="623E944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以“双遣双非”为核心方法，构建了从“观物”到“体道”的重玄路径，将重玄思想与个体修道相结合。他继承了成玄英、李荣的“双遣”方法，认为体认“道”的过程，需要先遣除“有”与“无”的二元对立，“初遣有无，次遣遣无，能所俱忘，境智双泯，然后合于重玄，体于至道”。但与唐代重玄学者偏于纯思辨不同，杜光庭将这一思辨过程转化为“个体修道的阶次”：第一阶，遣除“有”的执着，认识到万物皆由道生，有形有象的万物只是道的用，而非道的体；第二阶，遣除“无”的执着，避免将道视为单纯的虚无，认识到道虽虚无，却能生天生地，体用不二；第三阶，遣除“遣”的执着，即超越对“双遣”方法本身的执着，达到“忘言忘象、心与道合”的境界，这就是“重玄”的终极境界。杜光庭将重玄的思辨过程与个体修道的阶次相结合，让“重玄”不再是书斋中的思辨，而是道士与信众可以践行的修道路径，实现了“重玄义学与修道实践的联结”。</w:t>
      </w:r>
    </w:p>
    <w:p w14:paraId="3C9A67BC">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（三）强化了重玄义学的道教宗教性</w:t>
      </w:r>
    </w:p>
    <w:p w14:paraId="54BC61E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通过将神仙信仰融入重玄思想的方法，强化了重玄义学的道教宗教性。唐代重玄学者多回避神仙信仰，将修道视为单纯的体认道的精神过程，而杜光庭作为道教领袖，始终坚守道教的神仙信仰，他认为体认重玄、合于至道，最终的结果就是“成仙证真”，“修道者，体重玄之理，忘物我之境，归真反朴，与道同体，则可超生死、证神仙矣”。他将神仙分为“先天神仙”与“后天修道之仙”，先天神仙是道的化身，如三清、玉皇；后天修道之仙，是通过体认重玄、修心体道，最终与道同体的凡人，“人皆有道性，体重玄之理，修之则为仙，失之则为人”。这一阐释，将重玄义学与道教的神仙信仰有机融合，让重玄义学成为道教修仙的核心义理基础，解决了唐代重玄义学与神仙信仰脱节的问题。</w:t>
      </w:r>
    </w:p>
    <w:p w14:paraId="4B62F6CE">
      <w:pPr>
        <w:pStyle w:val="6"/>
        <w:spacing w:before="120" w:after="60" w:line="360" w:lineRule="auto"/>
        <w:ind w:firstLine="420" w:firstLineChars="0"/>
        <w:jc w:val="center"/>
        <w:outlineLvl w:val="2"/>
        <w:rPr>
          <w:color w:val="auto"/>
        </w:rPr>
      </w:pPr>
      <w:bookmarkStart w:id="52" w:name="_Toc1203901097"/>
      <w:bookmarkStart w:id="53" w:name="_Toc861202172"/>
      <w:r>
        <w:rPr>
          <w:rFonts w:ascii="Times New Roman" w:hAnsi="Times New Roman" w:eastAsia="黑体"/>
          <w:b w:val="0"/>
          <w:bCs/>
          <w:color w:val="auto"/>
          <w:sz w:val="28"/>
          <w:szCs w:val="28"/>
        </w:rPr>
        <w:t>三、唐代道教义学的集成</w:t>
      </w:r>
      <w:bookmarkEnd w:id="52"/>
      <w:bookmarkEnd w:id="53"/>
    </w:p>
    <w:p w14:paraId="3479C81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广圣义》中，通过“引古今天下贤士诠解笺注六十余家”，对汉魏至唐代的道教义学进行了系统性的集成，其集成并非简单的汇编，而是以“重玄”为旨归、以“道”为本体的整合与重构，既梳理了唐代道教义学的发展脉络，又纠正了前代阐释的偏颇，构建了统一、系统的唐代道教义理体系，成为唐代道教义学的集大成之作。其一，对前代《道德经》注疏的筛选与整合，梳理道教义学的发展脉络。杜光庭在《道德真经广圣义》（卷五，《道藏》第14册，第345页）中，选取了汉魏至唐代的二十余家《道德经》注疏，包括河上公、王弼、成玄英、李荣、司马承祯等名家的注疏，他并非全盘接受，而是以“重玄”旨归、“道”本体为标准，对前代注疏进行筛选与整合。继承河上公注中“修道养生”的思想，将其与重玄体道相结合；吸收王弼注中“贵无”的本体思想，同时纠正其“贵无贱有”的偏颇，强调体用不二；整合成玄英、李荣的“双遣”思辨方法，构建系统的重玄路径；吸纳司马承祯“坐忘”的修道方法，将其融入重玄体道的阶次。如其在《道德真经广圣义》说的</w:t>
      </w:r>
      <w:r>
        <w:t>：</w:t>
      </w:r>
    </w:p>
    <w:p w14:paraId="2DCB7FF1">
      <w:pPr>
        <w:spacing w:before="0" w:after="0" w:line="360" w:lineRule="auto"/>
        <w:ind w:firstLine="420"/>
        <w:rPr>
          <w:rFonts w:hint="eastAsia" w:ascii="楷体" w:hAnsi="楷体" w:eastAsia="楷体" w:cs="楷体"/>
          <w:spacing w:val="5"/>
          <w:sz w:val="24"/>
          <w:szCs w:val="24"/>
        </w:rPr>
      </w:pPr>
      <w:r>
        <w:rPr>
          <w:rFonts w:hint="eastAsia" w:ascii="楷体" w:hAnsi="楷体" w:eastAsia="楷体" w:cs="楷体"/>
          <w:spacing w:val="5"/>
          <w:sz w:val="24"/>
          <w:szCs w:val="24"/>
        </w:rPr>
        <w:t>道德尊经，包含众义，指归意趣，随有君宗。河上公、严君平，皆明理国之道；松灵仙人、魏代孙登、梁朝陶隐居、南齐顾欢，皆明理身之道；符坚时罗什、后赵图澄、梁武帝、梁道士窦略，皆明事理明因果之道；梁朝道士孟智周、臧玄静、陈朝道士诸糅、隋朝道士刘进喜、唐朝道士成玄英、蔡子晃、黄玄赜、李荣、车玄弼、张惠超、黎元兴，皆明重玄之道；何晏、钟会、杜元凯、王辅嗣、张嗣、羊祜、卢氏、刘仁会，皆明虚极无为、理家理国之道，此明注解之人意不同也。又诸家禀学立宗不同，严君平以虚玄为宗，顾欢以无为为宗，孟智周、臧玄静以道德为宗，梁武帝以非有非无为宗，孙登以重玄为宗，宗旨之中，孙氏为妙也。</w:t>
      </w:r>
      <w:r>
        <w:rPr>
          <w:rStyle w:val="140"/>
          <w:rFonts w:hint="eastAsia" w:ascii="楷体" w:hAnsi="楷体" w:eastAsia="楷体" w:cs="楷体"/>
          <w:spacing w:val="5"/>
          <w:sz w:val="24"/>
          <w:szCs w:val="24"/>
        </w:rPr>
        <w:footnoteReference w:id="10"/>
      </w:r>
    </w:p>
    <w:p w14:paraId="4BAD42BF">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这一长段引文是杜光庭对前代注疏家进行分类梳理的直接证据，他将二十余家注疏按照“理国”“理身”“因果”“重玄”“虚极无为”五个功能维度进行归类，并在归类的基础上评判“宗旨之中，孙氏为妙”，表明其虽广纳百家，却以重玄为最高旨归。通过这种筛选与整合，杜光庭梳理了从汉魏黄老学到唐代重玄学的道教义学发展脉络，让道教义学形成了一脉相承的体系。与成玄英、李荣整合策略的比较分析</w:t>
      </w:r>
      <w:r>
        <w:rPr>
          <w:rFonts w:hint="eastAsia" w:ascii="宋体" w:hAnsi="宋体" w:eastAsia="宋体" w:cs="宋体"/>
          <w:sz w:val="24"/>
          <w:szCs w:val="24"/>
          <w:lang w:eastAsia="zh-CN"/>
        </w:rPr>
        <w:t>，</w:t>
      </w:r>
      <w:r>
        <w:rPr>
          <w:rFonts w:hint="eastAsia" w:ascii="宋体" w:hAnsi="宋体" w:eastAsia="宋体" w:cs="宋体"/>
          <w:sz w:val="24"/>
          <w:szCs w:val="24"/>
        </w:rPr>
        <w:t>在此基础上，有必要进一步追问：杜光庭的整合策略与成玄英、李荣等重玄学者的差异何在？成玄英的整合以“以佛解道”为突出特征，大量运用佛教中观学派的“双遣双非”范畴来诠释《道德经》，其重玄阐释的哲学深度虽高，但存在将道教文本“佛学化”的风险，道教的宗教主体性在思辨过程中有所弱化。李荣则偏重于“有无双遣”的逻辑论证，其重玄论述更多停留在概念辨析的层面，与道教的宗教实践（如斋醮科仪、神仙信仰）之间存在明显的脱节。相比之下，杜光庭采取了“以道统摄”的根本策略：佛教的概念与方法并非被全盘接受，而是经过“道教化”的改造后纳入道的本体论框架。如前文所述，杜光庭将佛教的“止观”转化为道教的“观心守静”，将禅宗的“明心见性”转化为道教的“修心体道”——这些转化始终以“道”的终极本体性为前提。因此，杜光庭的整合具有鲜明的“主体性自觉”：三教思想的吸纳是为了丰富道教的义理体系，而非消解道教的独特性。这一区别的意义在于，杜光庭让重玄义学从成玄英、李荣的“哲学重玄”走向“道教重玄”，使其真正成为指导道士修持实践、科仪行持和治国安民的核心思想。其二，对唐代重玄学派各分支思想的重构与统一，形成统一的重玄义理体系。唐代重玄学派形成了成玄英、李荣、王玄览、司马承祯等多个分支，各分支的思想各有侧重，甚至存在一定的分歧。杜光庭以“道”的体用不二为核心，对各分支的思想进行了重构与统一：将成玄英的“体用不二”、李荣的“有无双遣”、王玄览的“道性自然”、司马承祯的“坐忘体道”整合为一个有机的整体，认为“道性自然”是道的本质，“有无双遣”是体道的方法，“体用不二”是道的存在法则，“坐忘体道”是体道的实践路径，最终都指向“重玄”的终极境界。这种重构与统一，让唐代重玄义学从碎片化的分支，成为一个系统、统一的义理体系，成为道教的核心义学。其三，对儒释思想的吸纳与融摄，丰富道教义学的哲理内涵，同时强化道教的主体性。杜光庭在《广圣义》中，广泛吸纳了儒释的思想与方法，但并非简单的“拿来主义”，而是以道教“道”本体为核心，进行了道教化的融摄：从儒家吸纳了“仁、义、礼、智、信”的伦理思想与“修身、齐家、治国、平天下”的政治思想，将其视为“道”在人伦社会的体现。认为儒家的伦理与政治，是道的用在人间的展现；从佛教吸纳了中观学派的“双遣”思辨方法、天台宗的“止观”方法与禅宗的“心性”思想，将其改造为道教体道、修心的方法，如将佛教的“止观”转化为道教的“观心守静”，将禅宗的“明心见性”转化为道教的“修心体道”。杜光庭在对唐玄宗《道德经注》进行分析时言：</w:t>
      </w:r>
    </w:p>
    <w:p w14:paraId="6997A7F3">
      <w:pPr>
        <w:spacing w:before="0" w:after="0" w:line="360" w:lineRule="auto"/>
        <w:ind w:firstLine="420"/>
        <w:rPr>
          <w:rFonts w:hint="eastAsia" w:ascii="楷体" w:hAnsi="楷体" w:eastAsia="楷体" w:cs="楷体"/>
          <w:sz w:val="24"/>
          <w:szCs w:val="24"/>
        </w:rPr>
      </w:pPr>
      <w:r>
        <w:rPr>
          <w:rFonts w:hint="eastAsia" w:ascii="楷体" w:hAnsi="楷体" w:eastAsia="楷体" w:cs="楷体"/>
          <w:sz w:val="24"/>
          <w:szCs w:val="24"/>
        </w:rPr>
        <w:t>其下卷自第一尽第九章，明仁德；次第十尽十八章，明礼德；从第十九尽二十七章，明义德；从第二十八至三十六章，明智德；从三十七尽四十五章，明信德。仁以履虚抱一，礼以不恃不宰，义以柔弱和同，智以无识不肖，信以执契不争，其大旨亦以玄虚恢廓、冲寂希微为宗体，强名则有五有四，契理则无执无为。</w:t>
      </w:r>
      <w:r>
        <w:rPr>
          <w:rStyle w:val="140"/>
          <w:rFonts w:hint="eastAsia" w:ascii="楷体" w:hAnsi="楷体" w:eastAsia="楷体" w:cs="楷体"/>
          <w:sz w:val="24"/>
          <w:szCs w:val="24"/>
        </w:rPr>
        <w:footnoteReference w:id="11"/>
      </w:r>
    </w:p>
    <w:p w14:paraId="7D53482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此以“玄虚恢廓、冲寂希微”为宗体来统摄儒家的仁义礼智信五德，揭示了其融摄儒学的核心策略：将五德纳入“道”的本体论框架，五德的具体内涵虽源自儒家，但归根于道的玄虚之体。这说明杜光庭对儒释思想的吸纳始终以道教的道本体为前提，儒学五德只是道的分化与展现。</w:t>
      </w:r>
      <w:r>
        <w:rPr>
          <w:rFonts w:ascii="宋体" w:hAnsi="宋体"/>
          <w:color w:val="FF0000"/>
          <w:sz w:val="20"/>
          <w:vertAlign w:val="superscript"/>
          <w:rFonts w:eastAsia="宋体" w:ascii="宋体" w:hAnsi="宋体"/>
          <w:sz w:val="200"/>
          <w:color w:val="FF0000"/>
        </w:rPr>
        <w:t>[11]</w:t>
      </w:r>
    </w:p>
    <w:p w14:paraId="29D1FCB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又如：对于《道德经》第二章“音声相和”一句，杜光庭义曰：</w:t>
      </w:r>
    </w:p>
    <w:p w14:paraId="211AE7A3">
      <w:pPr>
        <w:spacing w:before="0" w:after="0" w:line="360" w:lineRule="auto"/>
        <w:ind w:firstLine="420"/>
        <w:rPr>
          <w:rFonts w:hint="eastAsia" w:ascii="宋体" w:hAnsi="宋体" w:eastAsia="宋体" w:cs="宋体"/>
          <w:sz w:val="24"/>
          <w:szCs w:val="24"/>
        </w:rPr>
      </w:pPr>
      <w:r>
        <w:rPr>
          <w:rFonts w:hint="eastAsia" w:ascii="楷体" w:hAnsi="楷体" w:eastAsia="楷体" w:cs="楷体"/>
          <w:sz w:val="24"/>
          <w:szCs w:val="24"/>
        </w:rPr>
        <w:t>是以先王慎其所以感，故礼以导其志，乐以和其心，政以一其行，刑以防其奸。礼乐刑政，其极一也。声音之道，与政通矣</w:t>
      </w:r>
      <w:r>
        <w:rPr>
          <w:rFonts w:hint="eastAsia" w:ascii="宋体" w:hAnsi="宋体" w:eastAsia="宋体" w:cs="宋体"/>
          <w:sz w:val="24"/>
          <w:szCs w:val="24"/>
        </w:rPr>
        <w:t>。</w:t>
      </w:r>
      <w:r>
        <w:rPr>
          <w:rStyle w:val="140"/>
          <w:rFonts w:hint="eastAsia" w:ascii="宋体" w:hAnsi="宋体" w:eastAsia="宋体" w:cs="宋体"/>
          <w:sz w:val="24"/>
          <w:szCs w:val="24"/>
        </w:rPr>
        <w:footnoteReference w:id="12"/>
      </w:r>
    </w:p>
    <w:p w14:paraId="1D63F16A">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此处的分析值得注意：杜光庭将《道德经》“音声相和”一句引申为儒家礼乐刑政的统一性论证，指出“礼乐刑政，其极一也”，即四者的终极指向是同一的——皆归于道。这种阐释方式表明杜光庭在文本中反复善于从《道德经》的微观语句中发掘与儒家治国理念的对话空间，从而为三教融合开辟义理通道。与华严宗“判教”理论的比较分析杜光庭对儒释思想的融摄策略，与同时代佛教华严宗的“判教”理论在方法论上形成了有趣的对照。华严宗的五教判——将佛陀说法分为小乘教、大乘始教、终教、顿教、圆教五个层次——以佛教自身的教理体系为最高标准，将儒道二教置于“人天教”的最低层次，其实质是以佛教统摄儒道。杜光庭的融摄策略与此形成了根本性的对反：他以道教的“道”本体为最高统摄原则，将儒家的五常视为“道之德”、佛教的观心视为“道之用”，儒释思想被纳入道的本体论框架之中，成为体认道的辅助方法。二者的差异不仅是“谁统摄谁”的地位之争，更涉及深层的方法论分歧：华严宗的判教是一种“等级化包容”，承认低层次教理的相对价值，但最终指向佛教的绝对真理；杜光庭的融摄则是一种“功能性整合”，不否认儒释各自在其领域内的有效性（儒家治世、佛教治心），但认为三教最终都指向“道”这一共同本原。这种“和而不同”的整合方式，既避免了华严宗判教中隐含的排他性，又确保了道教的思想主体性，堪称唐末五代三教融合论中最具包容性的理论方案。杜光庭的三教融合，是以道统摄儒释，儒释思想成为体认道、践行道的方法与补充，而非取代道的本体地位，这就纠正了唐代部分学者“以佛解道”“以儒释道”的偏颇，强化了道教义学的主体性。杜光庭通过《广圣义》对唐代道教义学的诠释与集成，完成了对唐代重玄义学的系统化、道教化改造，让道教义学从纯思辨走向与宗教实践、社会生活相结合，成为指导道教发展的核心思想体系，同时以道为核心实现了三教思想的有机融合，为其后续“理身理国”同构思想与心性论转向奠定了义理基础。</w:t>
      </w:r>
    </w:p>
    <w:p w14:paraId="35C70A7E">
      <w:pPr>
        <w:pStyle w:val="5"/>
        <w:spacing w:before="240" w:after="60" w:line="360" w:lineRule="auto"/>
        <w:ind w:firstLine="0"/>
        <w:jc w:val="center"/>
        <w:outlineLvl w:val="1"/>
        <w:rPr>
          <w:color w:val="auto"/>
        </w:rPr>
      </w:pPr>
      <w:bookmarkStart w:id="54" w:name="_Toc374815245"/>
      <w:bookmarkStart w:id="55" w:name="_Toc185124024"/>
      <w:r>
        <w:rPr>
          <w:rFonts w:ascii="Times New Roman" w:hAnsi="Times New Roman" w:eastAsia="黑体"/>
          <w:b w:val="0"/>
          <w:bCs/>
          <w:color w:val="auto"/>
          <w:sz w:val="30"/>
          <w:szCs w:val="30"/>
        </w:rPr>
        <w:t>第二节 “理身理国”的同构性</w:t>
      </w:r>
      <w:bookmarkEnd w:id="54"/>
      <w:bookmarkEnd w:id="55"/>
    </w:p>
    <w:p w14:paraId="717B615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“理身理国”是《道德经》的核心思想之一，《道德经》第五十四章提出：</w:t>
      </w:r>
    </w:p>
    <w:p w14:paraId="1C7DA6AA">
      <w:pPr>
        <w:spacing w:before="0" w:after="0" w:line="360" w:lineRule="auto"/>
        <w:ind w:firstLine="420"/>
        <w:rPr>
          <w:rFonts w:hint="eastAsia" w:ascii="楷体" w:hAnsi="楷体" w:eastAsia="楷体" w:cs="楷体"/>
          <w:sz w:val="24"/>
          <w:szCs w:val="24"/>
        </w:rPr>
      </w:pPr>
      <w:r>
        <w:rPr>
          <w:rFonts w:hint="eastAsia" w:ascii="楷体" w:hAnsi="楷体" w:eastAsia="楷体" w:cs="楷体"/>
          <w:sz w:val="24"/>
          <w:szCs w:val="24"/>
        </w:rPr>
        <w:t>修之于身，其德乃真；修之于家，其德乃余；修之于乡，其德乃长；修之于邦，其德乃丰；修之于天下，其德乃普。</w:t>
      </w:r>
      <w:r>
        <w:rPr>
          <w:rStyle w:val="140"/>
          <w:rFonts w:hint="eastAsia" w:ascii="楷体" w:hAnsi="楷体" w:eastAsia="楷体" w:cs="楷体"/>
          <w:sz w:val="24"/>
          <w:szCs w:val="24"/>
        </w:rPr>
        <w:footnoteReference w:id="13"/>
      </w:r>
    </w:p>
    <w:p w14:paraId="34D6A27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这一经典论述确立了身与国、修身与治国的同构关系：修身的德行由近及远、层层扩展，最终达到天下的普遍效应，身体的修行与国家的治理遵循同一德性逻辑。汉魏以来，道教学者多对这一思想进行阐释，但多停留在概念的对应，未能构建系统的同构思想体系。杜光庭以《广圣义》的重玄道论为基础，结合唐末五代的政治现实，对“理身理国”的思想进行了深度深化与系统建构，确立了二者的同构性核心内涵：以“道”为共同本体，以“清静无为”为共同原则，以“修心”为共同路径，将儒家的治国伦理、佛教的心性思想与道教的修道理念有机融合，让理身与理国成为一体两面的存在。这一思想体系，不仅回应了唐末五代乱世治国与个体安身的双重需求，更实现了三教思想在实践层面的深度融合，成为杜光庭三教融合思想的重要体现。</w:t>
      </w:r>
    </w:p>
    <w:p w14:paraId="15530A0D">
      <w:pPr>
        <w:pStyle w:val="6"/>
        <w:spacing w:before="120" w:after="60" w:line="360" w:lineRule="auto"/>
        <w:ind w:firstLine="420" w:firstLineChars="0"/>
        <w:jc w:val="center"/>
        <w:outlineLvl w:val="2"/>
        <w:rPr>
          <w:color w:val="auto"/>
        </w:rPr>
      </w:pPr>
      <w:bookmarkStart w:id="56" w:name="_Toc950286064"/>
      <w:bookmarkStart w:id="57" w:name="_Toc1823150512"/>
      <w:r>
        <w:rPr>
          <w:rFonts w:ascii="Times New Roman" w:hAnsi="Times New Roman" w:eastAsia="黑体"/>
          <w:b w:val="0"/>
          <w:bCs/>
          <w:color w:val="auto"/>
          <w:sz w:val="28"/>
          <w:szCs w:val="28"/>
        </w:rPr>
        <w:t>一、“理身理国”道为本体，体用不二的同构基础</w:t>
      </w:r>
      <w:bookmarkEnd w:id="56"/>
      <w:bookmarkEnd w:id="57"/>
    </w:p>
    <w:p w14:paraId="54BE50E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构建“理身理国”同构性的核心基础，是其在《广圣义》中确立的“道”的本体地位与体用不二思想。他认为，“道”是理身与理国的共同终极本原，理身是体认道之体、实现道在个体的彰显，理国是践行道之用、实现道在社会的展现，二者本质上都是对“道”的体认与践行，是道的体用在个体与社会两个层面的具体体现，因此具有天然的同构性。首先，道是理身与理国的共同本体，决定了二者的根本遵循具有一致性。杜光庭在《道德真经广圣义》中写道：</w:t>
      </w:r>
    </w:p>
    <w:p w14:paraId="76152336">
      <w:pPr>
        <w:spacing w:before="0" w:after="0" w:line="360" w:lineRule="auto"/>
        <w:ind w:firstLine="420"/>
        <w:rPr>
          <w:rFonts w:hint="eastAsia" w:ascii="宋体" w:hAnsi="宋体" w:eastAsia="宋体" w:cs="宋体"/>
          <w:sz w:val="24"/>
          <w:szCs w:val="24"/>
          <w:lang w:eastAsia="zh-CN"/>
        </w:rPr>
      </w:pPr>
      <w:r>
        <w:rPr>
          <w:rFonts w:hint="eastAsia" w:ascii="楷体" w:hAnsi="楷体" w:eastAsia="楷体" w:cs="楷体"/>
          <w:sz w:val="24"/>
          <w:szCs w:val="24"/>
        </w:rPr>
        <w:t>立国不以道，众叛亲离；立身不以道，犯危蹈祸，败不旋踵，倾拔可期。唯道德为基，则无危殆矣</w:t>
      </w:r>
      <w:r>
        <w:rPr>
          <w:rFonts w:hint="eastAsia" w:ascii="楷体" w:hAnsi="楷体" w:eastAsia="楷体" w:cs="楷体"/>
          <w:sz w:val="24"/>
          <w:szCs w:val="24"/>
          <w:lang w:eastAsia="zh-CN"/>
        </w:rPr>
        <w:t>。</w:t>
      </w:r>
      <w:r>
        <w:rPr>
          <w:rStyle w:val="140"/>
          <w:rFonts w:hint="eastAsia" w:ascii="楷体" w:hAnsi="楷体" w:eastAsia="楷体" w:cs="楷体"/>
          <w:sz w:val="24"/>
          <w:szCs w:val="24"/>
          <w:lang w:eastAsia="zh-CN"/>
        </w:rPr>
        <w:footnoteReference w:id="14"/>
      </w:r>
      <w:r>
        <w:rPr>
          <w:rFonts w:ascii="宋体" w:hAnsi="宋体"/>
          <w:color w:val="FF0000"/>
          <w:sz w:val="24"/>
          <w:rFonts w:eastAsia="宋体" w:ascii="宋体" w:hAnsi="宋体"/>
          <w:sz w:val="240"/>
          <w:color w:val="FF0000"/>
        </w:rPr>
        <w:t>（杜光庭. 道德真经广圣义（卷三）[M]//道藏: 第14册. 北京: 文物出版社, 1988: 315.）</w:t>
      </w:r>
      <w:r>
        <w:rPr>
          <w:rFonts w:ascii="宋体" w:hAnsi="宋体"/>
          <w:color w:val="FF0000"/>
          <w:sz w:val="20"/>
          <w:vertAlign w:val="superscript"/>
          <w:rFonts w:eastAsia="宋体" w:ascii="宋体" w:hAnsi="宋体"/>
          <w:sz w:val="200"/>
          <w:color w:val="FF0000"/>
        </w:rPr>
        <w:t>[12]</w:t>
      </w:r>
    </w:p>
    <w:p w14:paraId="00FD1E6F">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他认为，个体的身心与国家的社稷，都是道的化生之物，都遵循道的运行法则——清静无为、返璞归真。个体的身心紊乱，源于违背道的法则，执着于物欲、妄念；国家的社会动荡，源于君主违背道的法则，执着于私意、苛政。因此，理身的实质在于“返道”，让个体的身心回归道的清静本性；理国的核心也是“返道”，让国家的治理回归道的无为法则，二者的根本目标与根本遵循高度一致。其次，道的体用不二，决定了理身与理国是一体两面、相互成就的关系。杜光庭认为，道的体与用不可分割，体中有用，用中有体，理身作为“体道于内”，是理国的基础与前提；理国作为“体道于外”，是理身的延伸与彰显。从宏观层面来看，君主的理国，必先从理身开始，“君者，国之身也；国者，君之体也。君身不修，则国体不宁；君心不静，则国政不平”，君主只有通过修心体道，实现自身的清静无为，才能在治国中践行道的法则，实现无为而治；另从理论层面来看，国家的安定有序，又为个体的理身修道提供了良好的社会环境，“天下安宁，黎元康泰，则民无饥寒之苦，心无纷扰之念，方能潜心修道，体认至道”。理身与理国的相互成就，体现了道的体用不二，也让二者的同构性成为必然。杜光庭以道的本体地位与体用不二为基础，打破了个体修身与国家治国的二元对立，将二者统一于对“道”的体认与践行之中，为“理身理国”的同构性建构奠定了坚实的义理基础。</w:t>
      </w:r>
      <w:r>
        <w:rPr>
          <w:rFonts w:ascii="宋体" w:hAnsi="宋体"/>
          <w:color w:val="FF0000"/>
          <w:sz w:val="24"/>
          <w:rFonts w:eastAsia="宋体" w:ascii="宋体" w:hAnsi="宋体"/>
          <w:sz w:val="240"/>
          <w:color w:val="FF0000"/>
        </w:rPr>
        <w:t>（杜光庭. 道德真经广圣义（卷五）[M]//道藏: 第14册. 北京: 文物出版社, 1988: 345.）</w:t>
      </w:r>
      <w:r>
        <w:rPr>
          <w:rFonts w:ascii="宋体" w:hAnsi="宋体"/>
          <w:color w:val="FF0000"/>
          <w:sz w:val="20"/>
          <w:vertAlign w:val="superscript"/>
          <w:rFonts w:eastAsia="宋体" w:ascii="宋体" w:hAnsi="宋体"/>
          <w:sz w:val="200"/>
          <w:color w:val="FF0000"/>
        </w:rPr>
        <w:t>[13]</w:t>
      </w:r>
    </w:p>
    <w:p w14:paraId="4A1961E9">
      <w:pPr>
        <w:pStyle w:val="6"/>
        <w:spacing w:before="120" w:after="60" w:line="360" w:lineRule="auto"/>
        <w:ind w:firstLine="420" w:firstLineChars="0"/>
        <w:jc w:val="center"/>
        <w:outlineLvl w:val="2"/>
        <w:rPr>
          <w:color w:val="auto"/>
        </w:rPr>
      </w:pPr>
      <w:bookmarkStart w:id="58" w:name="_Toc621994909"/>
      <w:bookmarkStart w:id="59" w:name="_Toc1393979788"/>
      <w:r>
        <w:rPr>
          <w:rFonts w:ascii="Times New Roman" w:hAnsi="Times New Roman" w:eastAsia="黑体"/>
          <w:b w:val="0"/>
          <w:bCs/>
          <w:color w:val="auto"/>
          <w:sz w:val="28"/>
          <w:szCs w:val="28"/>
        </w:rPr>
        <w:t>二、“理身理国”清静无为，返璞归真的核心原则</w:t>
      </w:r>
      <w:bookmarkEnd w:id="58"/>
      <w:bookmarkEnd w:id="59"/>
    </w:p>
    <w:p w14:paraId="69749F73">
      <w:pPr>
        <w:spacing w:before="0" w:after="0" w:line="360" w:lineRule="auto"/>
        <w:ind w:firstLine="420"/>
        <w:rPr>
          <w:color w:val="auto"/>
        </w:rPr>
      </w:pPr>
      <w:r>
        <w:rPr>
          <w:rFonts w:hint="eastAsia" w:ascii="宋体" w:hAnsi="宋体" w:eastAsia="宋体" w:cs="宋体"/>
          <w:sz w:val="24"/>
          <w:szCs w:val="24"/>
        </w:rPr>
        <w:t>“清静无为”是《道德经》的核心思想，也是杜光庭“理身理国”同构性的共同核心原则。他将“清静无为”从单纯的哲学概念，转化为个体理身与国家理国的具体实践原则，同时吸纳儒释的思想，对“清静无为”进行了丰富与深化：道教的“守静归真”、儒家的“仁政爱民”、佛教的“离相无着”，都融入其中，让“清静无为”成为兼具三教内涵、契合唐末五代现实的实践原则。在理身层面，“清静无为”的基础是“修心守静，去欲存真”，实现个体身心的清静，回归道的本性。杜光庭认为，个体的烦恼、病痛、生死，皆源于“心”的执着，心为万念之宗，欲为百病之根，心执着于物欲，则神散、气乱、身衰，离道远矣。因此，理身的核心路径，是通过“清静无为”，遣除心的物欲与妄念，让心回归清静本性。他将理身的“清静无为”具体化为三个层面：一是守静。静者，道之基也。守静则心定，心定则气和，气和则身安，他吸纳了司马承祯的“坐忘”与佛教的“止观”，提出“观心守静”的方法，让个体在静中体认道的存在；二是去欲。欲者，道之障也。去欲则心清，心清则性明，性明则道显。他认为，个体需要遣除贪、嗔、痴等私欲，回归无欲无求的本真状态；三是无为。无为者，非无所作为，乃不妄为也。顺道而行，率性而动，不执着于成败、得失、生死，此乃真无为也。他认为，个体的一切行为，都应顺应道的法则，不妄作妄为，实现身心与道的同频。杜光庭的理身思想，以道教的养生修道为核心，吸纳了佛教的心性修养方法，实现了三教在个体修养层面的融合。在理国层面，“清静无为”的根本在于“君主修心，无为而治”，实现国家政治的清静，回归道的治理法则。杜光庭结合唐末五代藩镇割据、君主苛政的政治现实，将“清静无为”作为乱世治国的核心原则，认为君主的“妄为”是社会动荡的根本原因，“君主好战，则民涂炭；君主贪利，则民贫困；君主多欲，则政繁苛，此皆妄为也，违背道之法则”。因此，理国的核心，是君主率先践行“清静无为”，以自身的修心体道，带动国家的无为而治。他将理国的“清静无为”具体化为三个层面：一是君主修心。君主是天下之主，君心清则天下清，君心静则天下静。君主必须先通过理身修心，实现自身的清静无为，才能成为天下的表率；二是无为施政，“王者无为，则民自化；王者无欲，则民自富；王者无事，则民自宁</w:t>
      </w:r>
      <w:r>
        <w:rPr>
          <w:rFonts w:hint="eastAsia" w:ascii="宋体" w:hAnsi="宋体" w:eastAsia="宋体" w:cs="宋体"/>
          <w:sz w:val="24"/>
          <w:szCs w:val="24"/>
        </w:rPr>
        <w:t>”，君主应减少苛政、繁税、战争，顺应民心、顺应自然，让百姓休养生息，实现“政简刑清，民安物阜”；三是任贤使能，</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他吸纳了儒家的“任贤”思想，认为君主的无为，并非无所作为，而是选贤任能，充分发挥臣下的才能，实现国家的有效治理。杜光庭将“清静无为”作为理身与理国的共同原则，让个体修养与国家治理遵循同一法则，既强化了二者的同构性，又让三教思想在实践层面实现了有机融合，成为回应唐末五代乱世的重要思想方案。与汉代黄老学“身国同治”的比较分析杜光庭的“理身理国”思想并非凭空而来，其渊源可追溯至汉代黄老学的“身国同治”传统。《黄帝内经》《淮南子》等汉代文献已提出了身体与国家的同构性类比——以五脏比五行，以气血比百官，以精神比君主。然而，杜光庭的“理身理国”相比汉代黄老学，至少在三个维度上实现了重要推进。第一，在“同构性”的哲学论证深度上。汉代黄老学的身国同构更多停留在经验类比与直觉比附的层面——身体与国家的相似性是“被发现的”，而非“被论证的”。杜光庭则以《广圣义》的重玄道论为形而上学基础，从“道”的本体地位出发，通过体用不二的逻辑推演，严格论证了理身与理国共享同一本体论根基——二者都是“道”在体与用两个层面的具体体现。这种论证方式将“身国同治”从汉代的经验类比提升为形而上学的必然推论，其哲学论证的严密性远超前代。第二，在三教融合的广度上。汉代黄老学的“身国同治”主要是在道法儒三家的资源中进行选择性融合，其理论框架仍以黄老道家为核心，儒法思想作为实用性的补充。杜光庭的“理身理国”则在一个更加广阔的三教融合背景下展开：佛教的心性论、思辨方法被系统性地纳入修道治国体系（如将佛教的“观心”与道教的“守静”相融合），儒家的伦理纲常与政治理想被全面融摄（如将“五常”纳入道之德、“民本”纳入道之化）。三教思想的有机融合，使杜光庭的“理身理国”成为一个更具包容性与时代适应性的思想体系。第三，在与乱世政治现实的回应性上。汉代黄老学的“身国同治”产生于大一统帝国的建立初期，其核心关切是如何在巩固中央集权的同时实现社会的和谐运转。杜光庭的“理身理国”则产生于唐末五代社会秩序全面崩溃的语境中，其核心关切已不仅仅是治国技术的优化，更是如何在秩序缺失的极端情境下为个体安身与国家重建同时提供精神基础与行动指南。因此，杜光庭的“理身理国”相比汉代黄老学，更加突出了“君主修心”的优先性——在乱世中，君主的内在修持比外在的制度建设更为根本，因为只有“君心清静”才能带动“天下清静”。这一强调，是对唐末五代特殊政治现实的直接回应。与司马承祯“坐忘”治国论的比较分析在唐代道教的“身国同治”谱系中，司马承祯是一个重要的前期人物。司马承祯在《坐忘论》中提出了系统的“坐忘”修道方法，并在《服气精义论》等著作中将个人修道与治国理念相联结，认为君主通过“坐忘”可以实现内心的清静无为，进而实现无为而治。杜光庭在司马承祯的基础上做出了三方面推进。其一，司马承祯的“坐忘”主要面向个人的修道实践，治国论只是其修道思想的自然延伸，缺乏系统的政治理论建构。杜光庭则以《广圣义》为依托，构建了一个从个人修心到君主修心再到无为而治的完整思想链条——“理身”与“理国”不再是主次关系，而是以“道”为本体的对称性同构。其二，司马承祯对儒释思想的融摄较为有限，其思想体系仍以道教的修道方法为核心。杜光庭则系统性地将儒家伦理纲常与佛教心性思辨纳入“理身理国”框架，使这一思想体系具备了更广泛的社会适应性。其三，司马承祯的“坐忘”治国论停留在理想化的理论层面，缺乏与现实政治的结合。杜光庭则通过科仪实践与政治服务，将“理身理国”从理论转化为可操作的政治实践——其在《广成集》中为前蜀王建所作的青词与表文，正是“理身理国”理念在国家政治中的具体应用。</w:t>
      </w:r>
    </w:p>
    <w:p w14:paraId="75FADBBB">
      <w:pPr>
        <w:pStyle w:val="6"/>
        <w:spacing w:before="120" w:after="60" w:line="360" w:lineRule="auto"/>
        <w:ind w:firstLine="420" w:firstLineChars="0"/>
        <w:jc w:val="center"/>
        <w:outlineLvl w:val="2"/>
        <w:rPr>
          <w:color w:val="auto"/>
        </w:rPr>
      </w:pPr>
      <w:bookmarkStart w:id="60" w:name="_Toc2065525614"/>
      <w:bookmarkStart w:id="61" w:name="_Toc1719191793"/>
      <w:r>
        <w:rPr>
          <w:rFonts w:ascii="Times New Roman" w:hAnsi="Times New Roman" w:eastAsia="黑体"/>
          <w:b w:val="0"/>
          <w:bCs/>
          <w:color w:val="auto"/>
          <w:sz w:val="28"/>
          <w:szCs w:val="28"/>
        </w:rPr>
        <w:t>三、“理身理国”以道统摄，儒释为用的三教融合</w:t>
      </w:r>
      <w:bookmarkEnd w:id="60"/>
      <w:bookmarkEnd w:id="61"/>
    </w:p>
    <w:p w14:paraId="531FC31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理身理国”同构思想，是其三教融合思想的实践体现，其融合的核心原则是“以道统摄，儒释为用”：以道教的“道”本体与“清静无为”原则为核心，吸纳儒家的人伦伦理、政治思想与佛教的心性修养、思辨方法，让儒释思想成为理身与理国的补充与方法，而非取代道教的核心地位。这种融合，并非简单的概念叠加，而是三教思想在本体、原则、实践三个层面的有机统一，实现了三教融合的哲理深化。在儒家思想的融摄方面，杜光庭将儒家的人伦伦理与政治思想纳入“道”的体系，视为道在人伦社会的具体体现。其一，融摄儒家的五常伦理，“夫仁、义、礼、智、信，非儒家独有，乃道之德也。道生五常，五常显道，理身者修五常，则心正性善；理国者行五常，则民和邦宁”，他将儒家的五常视为道的道德体现，让理身的修心与理国的施政，都以五常为重要准则，填补了道教在人伦伦理层面的不足；其二，融摄儒家的“民本”思想，“民者，国之本也，道之化也。君主理国，必先爱民，爱民者，顺道而行也”，他结合《道德经》的“贵以贱为本，高以下为基”</w:t>
      </w:r>
      <w:r>
        <w:rPr>
          <w:rStyle w:val="140"/>
          <w:rFonts w:hint="eastAsia" w:ascii="宋体" w:hAnsi="宋体" w:eastAsia="宋体" w:cs="宋体"/>
          <w:sz w:val="24"/>
          <w:szCs w:val="24"/>
        </w:rPr>
        <w:footnoteReference w:id="15"/>
      </w:r>
      <w:r>
        <w:rPr>
          <w:rFonts w:hint="eastAsia" w:ascii="宋体" w:hAnsi="宋体" w:eastAsia="宋体" w:cs="宋体"/>
          <w:sz w:val="24"/>
          <w:szCs w:val="24"/>
        </w:rPr>
        <w:t>，吸纳儒家的“民为邦本，本固邦宁”，提出君主的无为而治，要义在于爱民、保民，让百姓休养生息，这一思想契合了唐末五代民众渴望安定的现实需求；其三，融摄儒家的“修身、齐家、治国、平天下”的政治路径，将其与道教的“理身理国”相统一，“理身即修身，理家即齐家，理国即治国，理天下即平天下，其本于道则一也”，让儒家的政治路径成为道教理国思想的具体实践方法。在佛教思想的融摄方面，杜光庭主要吸纳了佛教的心性修养方法与思辨方法，为道教的理身修心与重玄体道提供方法论支持。其一，吸纳佛教的“观心”方法，将其转化为道教的修心方法，佛之观心，道之守静，其旨一也，皆为遣除妄念，体认本心也，他将佛教的“明心见性”与道教的“修心体道”相结合，提出“观心体道”的核心路径，让修心成为体道的核心；其二，吸纳佛教的“双遣双非”思辨方法，强化道教重玄义学的思辨性，让理身与理国的过程，都成为超越二元对立的过程；其三，吸纳佛教的“因果报应”思想，与道教的“天道承负”相结合，“天道承负，因果报应，皆道之法则也。理身者积善累德，则获福报；理国者施仁布德，则获天助”，让这一思想成为约束个体行为与君主施政的道德准则。杜光庭以道统摄儒释的三教融合方式，让“理身理国”的同构思想体系兼具道教的本原性、儒家的实践性、佛教的思辨性，既保留了道教的思想主体性，又丰富了思想的内涵与实践路径，成为唐末五代三教融合的典范。这一思想体系，不仅为个体提供了安身立命的修道路径，更为君主提供了乱世治国的政治方案，回应了时代的双重需求，同时也为其后续的道教心性论转向奠定了实践基础。</w:t>
      </w:r>
    </w:p>
    <w:p w14:paraId="5AC47CFD">
      <w:pPr>
        <w:pStyle w:val="5"/>
        <w:spacing w:before="240" w:after="60" w:line="360" w:lineRule="auto"/>
        <w:ind w:firstLine="0"/>
        <w:jc w:val="center"/>
        <w:outlineLvl w:val="1"/>
        <w:rPr>
          <w:color w:val="auto"/>
        </w:rPr>
      </w:pPr>
      <w:bookmarkStart w:id="62" w:name="_Toc1215840743"/>
      <w:bookmarkStart w:id="63" w:name="_Toc63994566"/>
      <w:r>
        <w:rPr>
          <w:rFonts w:ascii="Times New Roman" w:hAnsi="Times New Roman" w:eastAsia="黑体"/>
          <w:b w:val="0"/>
          <w:bCs/>
          <w:color w:val="auto"/>
          <w:sz w:val="30"/>
          <w:szCs w:val="30"/>
        </w:rPr>
        <w:t>第三节 “心性论”的转向</w:t>
      </w:r>
      <w:bookmarkEnd w:id="62"/>
      <w:bookmarkEnd w:id="63"/>
    </w:p>
    <w:p w14:paraId="4620748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如果说《广圣义》的重玄阐释是杜光庭对唐代道教义学的总结，“理身理国”的同构性是其三教融合思想的实践体现，那么“修道即修心”的核心命题，则是杜光庭对道教思想的开创性贡献，推动道教实现了从“炼形修道”到“修心体道”的心性论转向。唐代以前，道教的修道理念以“炼形”为核心，外丹术、服气、辟谷等炼形方法成为修道的主流，认为通过炼养身体，即可实现成仙证真。至唐代，受佛教心性论的影响，部分道教学者开始关注“心”的作用，但并未从根本上改变炼形的核心地位。杜光庭以《广圣义》的重玄道论为基础，结合三教融合的思想趋势，明确提出“修道即修心”的核心命题，将道教修道的核心从外在的炼形转向内在的修心，确立了“心”在修道中的核心地位，构建了道教特色的心性论体系。这一转向，不仅实现了道教修道理念的根本变革，更上承唐代重玄义学与三教融合思想，下启宋明理学的心性论与道教内丹学的发展，成为中国传统思想从唐到宋转型的重要桥梁，彰显了杜光庭思想的历史开创性。</w:t>
      </w:r>
    </w:p>
    <w:p w14:paraId="5E0D2EEE">
      <w:pPr>
        <w:pStyle w:val="6"/>
        <w:spacing w:before="120" w:after="60" w:line="360" w:lineRule="auto"/>
        <w:ind w:firstLine="420" w:firstLineChars="0"/>
        <w:jc w:val="center"/>
        <w:outlineLvl w:val="2"/>
        <w:rPr>
          <w:color w:val="auto"/>
        </w:rPr>
      </w:pPr>
      <w:bookmarkStart w:id="64" w:name="_Toc1328466396"/>
      <w:bookmarkStart w:id="65" w:name="_Toc1814847262"/>
      <w:r>
        <w:rPr>
          <w:rFonts w:ascii="Times New Roman" w:hAnsi="Times New Roman" w:eastAsia="黑体"/>
          <w:b w:val="0"/>
          <w:bCs/>
          <w:color w:val="auto"/>
          <w:sz w:val="28"/>
          <w:szCs w:val="28"/>
        </w:rPr>
        <w:t>一、道教心性论转向的时代背景与思想渊源</w:t>
      </w:r>
      <w:bookmarkEnd w:id="64"/>
      <w:bookmarkEnd w:id="65"/>
    </w:p>
    <w:p w14:paraId="582EF3F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道教心性论转向，并非偶然的思想创新，而是时代背景与思想渊源共同作用的结果，既是对唐代道教修道理念发展困境的回应，也是三教融合思想发展的必然趋势，同时继承了《道德经》的道性思想与唐代重玄学派的道性论，为心性论转向奠定了思想基础。从时代背景来看，唐代道教以“外丹术”为核心的炼形修道理念，陷入了严重的发展困境，亟需思想的革新。外丹术以炼养丹药、服食成仙为核心，至唐代达到鼎盛，但外丹术存在诸多弊端：一是外丹炼制成本高昂，仅为皇室、贵族所独享，难以在普通道士与信众中传播；二是外丹服食具有极大的风险性，诸多帝王与道士因服食外丹而亡，让外丹术的宗教权威性受到严重质疑；三是外丹术偏于外在的炼形，忽视了个体的内在修养，与三教融合的思想趋势相脱节。唐末五代，社会动荡，民生凋敝，普通民众与道士难以拥有炼养外丹的条件，亟需一种简便、易行、内在的修道方法，杜光庭的“修道即修心”，正是顺应了这一时代需求，为道教修道理念的革新提供了方向。从思想渊源来看，杜光庭的道教心性论转向，继承了三大思想资源：其一，《道德经》与《庄子》的道性思想，《道德经》提出“人法地，地法天，天法道，道法自然”，认为人具有与道同源的自然本性，即“道性”；《庄子》提出“心斋”“坐忘”，强调通过内在的修养体认道，这是道教心性论的本原思想；其二，唐代重玄学派的道性论，成玄英、王玄览等重玄学者提出“一切众生，皆有道性”，“道性者，众生之本体也”，确立了道性的普遍性，认为体认道性是修道的核心，杜光庭继承了这一道性论，将道性与人心相结合，提出“心具道性”；其三，佛教的禅宗心性论，唐代禅宗鼎盛，慧能提出“明心见性，见性成佛”，将佛教的修佛核心从外在的诵经、造像转向内在的明心，这一思想对道教产生了深远影响，杜光庭吸纳了禅宗的“心为本体”思想，将其改造为道教的“修心体道”。同时，杜光庭的科仪整合与文学书写，也为心性论转向奠定了实践基础。他在科仪实践中，提出“心诚则灵”，认为科仪的核心并非外在的形式，而是内在的诚心，“科仪者，形也；诚心者，神也。形无神则虚，神无形则隐，形神合一，心诚于道，方能上达天听”；在文学书写中，他通过《虬髯客传》等文本，传递“修心顺道”的思想，认为个体的命运与成就，皆源于内心的选择与修养。科仪与文学中的思想表达，与义理层面的道性论相结合，推动杜光庭最终提出“修道即修心”的核心命题，实现了道教心性论的转向。</w:t>
      </w:r>
    </w:p>
    <w:p w14:paraId="24C58310">
      <w:pPr>
        <w:pStyle w:val="6"/>
        <w:spacing w:before="120" w:after="60" w:line="360" w:lineRule="auto"/>
        <w:ind w:firstLine="420" w:firstLineChars="0"/>
        <w:jc w:val="center"/>
        <w:outlineLvl w:val="2"/>
        <w:rPr>
          <w:color w:val="auto"/>
        </w:rPr>
      </w:pPr>
      <w:bookmarkStart w:id="66" w:name="_Toc147239713"/>
      <w:bookmarkStart w:id="67" w:name="_Toc1427694093"/>
      <w:r>
        <w:rPr>
          <w:rFonts w:ascii="Times New Roman" w:hAnsi="Times New Roman" w:eastAsia="黑体"/>
          <w:b w:val="0"/>
          <w:bCs/>
          <w:color w:val="auto"/>
          <w:sz w:val="28"/>
          <w:szCs w:val="28"/>
        </w:rPr>
        <w:t>二、“修道即修心”的核心内涵</w:t>
      </w:r>
      <w:bookmarkEnd w:id="66"/>
      <w:bookmarkEnd w:id="67"/>
    </w:p>
    <w:p w14:paraId="2225192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广圣义》（卷八）及《道门科范大全集》（卷一）、《墉城集仙录》等著作中，系统阐释了“修道即修心”的核心命题，构建了以“心具道性”为核心、以“修心体道”为路径的道教心性论体系。这一体系以道教的道论为基础，吸纳了儒家的“正心诚意”与佛教的“明心见性”，具有鲜明的道教特色与三教融合内涵，其核心内涵可概括为三个层面：首先，心具道性，道性在人心。确立了“心”在修道中的本体地位。杜光庭继承了唐代重玄学派的道性论，提出“道性者，天地万物之本体也，人之心，乃道性之显也。一切众生，皆有心，一切心，皆具道性”</w:t>
      </w:r>
      <w:r>
        <w:rPr>
          <w:rStyle w:val="140"/>
          <w:rFonts w:hint="eastAsia" w:ascii="宋体" w:hAnsi="宋体" w:eastAsia="宋体" w:cs="宋体"/>
          <w:sz w:val="24"/>
          <w:szCs w:val="24"/>
        </w:rPr>
        <w:footnoteReference w:id="16"/>
      </w:r>
      <w:r>
        <w:rPr>
          <w:rFonts w:hint="eastAsia" w:ascii="宋体" w:hAnsi="宋体" w:eastAsia="宋体" w:cs="宋体"/>
          <w:sz w:val="24"/>
          <w:szCs w:val="24"/>
        </w:rPr>
        <w:t>，他认为，道性并非外在于人，而是内在于人的心中，心是道性在个体的具体体现，“道无形无象，必托于心而显；心有知有觉，必体于道而真”</w:t>
      </w:r>
      <w:r>
        <w:rPr>
          <w:rStyle w:val="140"/>
          <w:rFonts w:hint="eastAsia" w:ascii="宋体" w:hAnsi="宋体" w:eastAsia="宋体" w:cs="宋体"/>
          <w:sz w:val="24"/>
          <w:szCs w:val="24"/>
        </w:rPr>
        <w:footnoteReference w:id="17"/>
      </w:r>
      <w:r>
        <w:rPr>
          <w:rFonts w:hint="eastAsia" w:ascii="宋体" w:hAnsi="宋体" w:eastAsia="宋体" w:cs="宋体"/>
          <w:sz w:val="24"/>
          <w:szCs w:val="24"/>
        </w:rPr>
        <w:t>。这一阐释，将道性与人心有机融合，打破了唐代重玄学派将道性视为纯客观本体的偏颇，让道性成为个体可以通过内心体认的存在。同时，杜光庭认为，心具道性是一切众生的本质，无论凡夫、道士、君主，皆有心，皆具道性，“上至三清，下至蝼蚁，皆具道性，其差别在于，三清忘心归道，凡夫执着于心，道士修心体道”</w:t>
      </w:r>
      <w:r>
        <w:rPr>
          <w:rStyle w:val="140"/>
          <w:rFonts w:hint="eastAsia" w:ascii="宋体" w:hAnsi="宋体" w:eastAsia="宋体" w:cs="宋体"/>
          <w:sz w:val="24"/>
          <w:szCs w:val="24"/>
        </w:rPr>
        <w:footnoteReference w:id="18"/>
      </w:r>
      <w:r>
        <w:rPr>
          <w:rFonts w:hint="eastAsia" w:ascii="宋体" w:hAnsi="宋体" w:eastAsia="宋体" w:cs="宋体"/>
          <w:sz w:val="24"/>
          <w:szCs w:val="24"/>
        </w:rPr>
        <w:t>，这就确立了修道的平等性，为“修道即修心”奠定了本体基础。其次，修道的精髓在于修心，而非炼形。实现了道教修道理念的根本变革。杜光庭明确提出，“修道者，修心也，非炼形也。形者，心之舍也；心者，形之主也。心不修，则形虽炼，终为凡夫；心修，则形虽微，亦可成仙”</w:t>
      </w:r>
      <w:r>
        <w:rPr>
          <w:rStyle w:val="140"/>
          <w:rFonts w:hint="eastAsia" w:ascii="宋体" w:hAnsi="宋体" w:eastAsia="宋体" w:cs="宋体"/>
          <w:sz w:val="24"/>
          <w:szCs w:val="24"/>
        </w:rPr>
        <w:footnoteReference w:id="19"/>
      </w:r>
      <w:r>
        <w:rPr>
          <w:rFonts w:hint="eastAsia" w:ascii="宋体" w:hAnsi="宋体" w:eastAsia="宋体" w:cs="宋体"/>
          <w:sz w:val="24"/>
          <w:szCs w:val="24"/>
        </w:rPr>
        <w:t>，他认为，身体只是心的居所，心才是身体的主宰，外在的炼形（如外丹、服气）只是修道的辅助，内在的修心才是修道的核心。他批判了唐代偏于炼形的修道理念，“今之修道者，多炼形而不修心，执着于丹药、服气，殊不知心为万念之宗，心不静，则丹难成，气难养”</w:t>
      </w:r>
      <w:r>
        <w:rPr>
          <w:rStyle w:val="140"/>
          <w:rFonts w:hint="eastAsia" w:ascii="宋体" w:hAnsi="宋体" w:eastAsia="宋体" w:cs="宋体"/>
          <w:sz w:val="24"/>
          <w:szCs w:val="24"/>
        </w:rPr>
        <w:footnoteReference w:id="20"/>
      </w:r>
      <w:r>
        <w:rPr>
          <w:rFonts w:hint="eastAsia" w:ascii="宋体" w:hAnsi="宋体" w:eastAsia="宋体" w:cs="宋体"/>
          <w:sz w:val="24"/>
          <w:szCs w:val="24"/>
        </w:rPr>
        <w:t>，认为炼形而不修心，最终只能获得身体的健康，而无法实现成仙证真，只有通过修心，遣除妄念，体认道性，才能与道同体，实现真正的成仙。杜光庭将修心视为修道的唯一核心，让道教的修道理念从外在的物质炼养，转向内在的精神修养，实现了从“炼形成仙”到“修心证道”的根本变革。最后，修心的路径是“清静无为，去妄存真”，构建了系统的修心方法体系。杜光庭以《广圣义》的重玄思想为基础，结合三教的修养方法，构建了以“清静无为”为核心的修心路径，其核心是“遣除妄念，回归本心，体认道性”。具体而言，修心的路径分为三个阶次：第一阶，识心。“识心者，识己之心也，知心中有妄念、有私欲、有道性，知妄念乃道性之障也”，即认识到内心的妄念与道性，明确修心的目标；第二阶，守心。“守心者，守清净之心也，离物欲，去妄念，观心守静，不被外境所扰也”，即通过观心、守静、去欲，让心回归清静状态；第三阶，明心。“明心者，明道性之心也，忘物我，遣遣相，心与道合，境智双泯也”，即超越对心的执着，达到心与道合的重玄境界，这是修心的终极目标。这一修心路径，继承了道教的守静归真、儒家的正心诚意、佛教的明心见性，实现了三教修养方法的有机融合，为个体的修心实践提供了系统的方法指导。杜光庭的“修道即修心”思想，构建了系统的道教心性论体系，实现了道教修道理念的根本转向，让道教在三教融合的大潮中，形成了兼具自身特色与时代内涵的思想体系，为道教的后续发展奠定了核心思想基础。杜光庭心性论与禅宗心性论的本质区别在唐末五代三教融合的语境中，杜光庭的心性论与禅宗心性论都强调“以心为本”，但二者在本体论预设、修证归宿与理论气质上存在根本性差异。禅宗心性论以慧能“明心见性，见性成佛”为代表，其核心命题是“心即佛”——心本身即是佛性，无需外求。这意味着禅宗的心性论在根本上倾向于主观化：佛性不在心外，心的本然状态即是佛性，修行的目的不过是“拂去”心灵的尘埃以恢复本然。杜光庭的心性论则保留了“道性”的客观本体性——道性虽然是内在于人心的，但道性并不等于人心本身，“道无形无象，必托于心而显”，心是道性的“显现之所”而非道性本身。因此，杜光庭的修心指向的是超越心自身的“道”——通过修心回到道的清静本性，“心与道合”才是修心的终极目标，而非停留在“心即佛”的主观化层面。由此产生的修证归宿差异同样值得注意。禅宗的“明心”指向“见性成佛”——佛性即在心中，明心即见佛性，无需借助外在的神仙信仰或道本体。杜光庭的“修心”则指向“与道同体的证仙”——修心的目的是超越个体心识的局限，与客观存在的道本体合为一体，最终“超生死、证神仙”。这一差异意味着，杜光庭虽然吸收了禅宗的心性修养方法，但并未走向禅宗的“唯心化”路线，而是始终保留了道教“道-仙”结构的完整性：道是客观存在的终极本体，仙是与道同体的终极境界，心是通往道与仙的内在路径。这一区别不仅具有宗教学意义，也影响了此后道教学术思想的发展方向。杜光庭心性论中“道性在人心”但“道性不等于人心”的微细平衡，为宋元内丹学保留了“炼神还虚、与道同体”的终极目标，使道教内丹学既吸收了佛教心性论的内在性转向，又避免了彻底消解道教本体独特性的风险。</w:t>
      </w:r>
      <w:r>
        <w:rPr>
          <w:rFonts w:ascii="宋体" w:hAnsi="宋体"/>
          <w:color w:val="FF0000"/>
          <w:sz w:val="24"/>
          <w:rFonts w:eastAsia="宋体" w:ascii="宋体" w:hAnsi="宋体"/>
          <w:sz w:val="240"/>
          <w:color w:val="FF0000"/>
        </w:rPr>
        <w:t>（杜光庭. 道德真经广圣义（卷八）[M]//道藏: 第14册. 北京: 文物出版社, 1988: 378; 杜光庭. 道门科范大全集（卷一）[M]//道藏: 第31册. 北京: 文物出版社, 1988: 12; 杜光庭. 墉城集仙录（卷一）[M]//道藏: 第18册. 北京: 文物出版社, 1988: 156.）</w:t>
      </w:r>
      <w:r>
        <w:rPr>
          <w:rFonts w:ascii="宋体" w:hAnsi="宋体"/>
          <w:color w:val="FF0000"/>
          <w:sz w:val="20"/>
          <w:vertAlign w:val="superscript"/>
          <w:rFonts w:eastAsia="宋体" w:ascii="宋体" w:hAnsi="宋体"/>
          <w:sz w:val="200"/>
          <w:color w:val="FF0000"/>
        </w:rPr>
        <w:t>[14]</w:t>
      </w:r>
    </w:p>
    <w:p w14:paraId="779EBEDD">
      <w:pPr>
        <w:pStyle w:val="6"/>
        <w:spacing w:before="120" w:after="60" w:line="360" w:lineRule="auto"/>
        <w:ind w:firstLine="420" w:firstLineChars="0"/>
        <w:jc w:val="center"/>
        <w:outlineLvl w:val="2"/>
        <w:rPr>
          <w:color w:val="auto"/>
        </w:rPr>
      </w:pPr>
      <w:bookmarkStart w:id="68" w:name="_Toc756695047"/>
      <w:bookmarkStart w:id="69" w:name="_Toc1419833120"/>
      <w:r>
        <w:rPr>
          <w:rFonts w:ascii="Times New Roman" w:hAnsi="Times New Roman" w:eastAsia="黑体"/>
          <w:b w:val="0"/>
          <w:bCs/>
          <w:color w:val="auto"/>
          <w:sz w:val="28"/>
          <w:szCs w:val="28"/>
        </w:rPr>
        <w:t>三、心性论转向的历史影响</w:t>
      </w:r>
      <w:bookmarkEnd w:id="68"/>
      <w:bookmarkEnd w:id="69"/>
      <w:r>
        <w:rPr>
          <w:rFonts w:ascii="宋体" w:hAnsi="宋体"/>
          <w:color w:val="FF0000"/>
          <w:sz w:val="24"/>
          <w:rFonts w:eastAsia="宋体" w:ascii="宋体" w:hAnsi="宋体"/>
          <w:sz w:val="240"/>
          <w:color w:val="FF0000"/>
        </w:rPr>
        <w:t>（杜光庭. 道德真经广圣义（卷八）[M]//道藏: 第14册. 北京: 文物出版社, 1988: 379.）</w:t>
      </w:r>
      <w:r>
        <w:rPr>
          <w:rFonts w:ascii="宋体" w:hAnsi="宋体"/>
          <w:color w:val="FF0000"/>
          <w:sz w:val="20"/>
          <w:vertAlign w:val="superscript"/>
          <w:rFonts w:eastAsia="宋体" w:ascii="宋体" w:hAnsi="宋体"/>
          <w:sz w:val="200"/>
          <w:color w:val="FF0000"/>
        </w:rPr>
        <w:t>[15]</w:t>
      </w:r>
    </w:p>
    <w:p w14:paraId="7F47860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道教心性论转向，是中国传统思想从唐到宋转型的重要节点，其“修道即修心”的核心命题、“心具道性”的本体思想、“清静无为”的修心方法，不仅推动了道教自身从外丹术走向内丹学，更对后世思想产生了深远影响。在儒家思想领域，杜光庭的心性论与宋明理学存在明显的思想呼应。宋明理学的代表人物如周敦颐、邵雍、陈抟等均与道教有着深厚渊源，其心性论与杜光庭的思想呈现出多处相似性：杜光庭提出“心具道性，道性在人心”，将道性内在于人心；宋明理学则以“理”为本体，二程提出“性即理也”，朱熹提出“心具众理，应万事”，陆九渊提出“心即理也”，二者在将终极本原内在于人心这一取向上高度一致。周敦颐提出“圣人定之以中正仁义而主静”，其“主静”修身方法与杜光庭“静者，道之基也”的修心路径相契合；宋明理学的“内圣外王”目标——以君主修身正心为治国平天下之本——亦与杜光庭“理身理国”的同构性一脉相通。从“道性在人心”到“性即理”的概念传承线索，虽然目前尚缺乏直接的文本传承证据，但间接的传承脉络值得重视。陈抟（？—989）作为杜光庭之后巴蜀道教的核心人物，其“先天太极图”与“无极图”的学思活动，被公认为周敦颐《太极图说》的思想渊源——朱震在《汉上易传》中明确记载了这一传承关系。而陈抟的活动区域正是杜光庭深耕数十年、建构道教圣地文化景观的巴蜀地区，其“主静”修心理念与杜光庭的“清静无为”修心路径之间存在着高度的思想同构性。因此，我们可以较为合理地推测：杜光庭在巴蜀地区奠定的“心具道性”“修心体道”的道教心性论传统，很可能通过陈抟这一中间环节，间接影响了周敦颐等北宋理学家的思想建构。这一传承脉络——杜光庭（“道性在人心”）→陈抟（“主静”与先天太极图）→周敦颐（“无极而太极”与“主静立人极”）——虽因史料限制尚无法完全坐实，但已有的间接证据已经足以说明：杜光庭的心性论是宋明理学吸纳道教思想的重要思想资源之一，而非一个孤立的、与后世无关的学说。在道教内部，杜光庭的“修道即修心”为唐末五代兴起、宋元成熟的内丹学奠定了核心思想基础。内丹学以“炼精化气、炼气化神、炼神还虚”为核心路径，以精、气、神为“内丹”，其核心原则是“炼心为核心，炼精、炼气为辅助”——“心者，丹之主也，心不清，则精散、气乱，神无以聚”。钟离权、吕洞宾的钟吕丹道以“炼神还虚”为终极目标，陈抟的太极丹道以“守静炼心，与道同体”为核心方法，张伯端的《悟真篇》提出“心为君，精为臣，气为将”，确立心在内丹中的主导地位——这些核心思想均与杜光庭的“修道即修心”一脉相承。同时，杜光庭将重玄的“双遣双非”方法融入修心路径，内丹学进一步将其发展为“炼神还虚，与道同体”的终极追求，让内丹学摆脱单纯炼养技术，成为兼具义理与实践的修道体系。杜光庭因此被视为道教内丹学的思想先驱。总而言之，杜光庭的思想阐释，彰显了道教作为中国本土宗教的思想包容性与创新性，其以道为核心融摄三教、以义理指导实践、以思想回应时代的路径，也为当代宗教文化的发展、传统文化的融合与创新提供了重要的启示。在三教融合成为中国传统思想发展主流的背景下，杜光庭始终坚守道教的思想主体性，让道教在融合中保持自身特色，在创新中实现自身发展，这一理念对当代传统文化的传承与发展具有重要的现实意义。同时，其“理身理国”的同构思想，将个体修养与社会治理相统一，强调君主修心、无为而治、爱民保民，也为当代社会的治理与个体的精神修养提供了有益借鉴。本章小结本章从思想阐释的角度，围绕“三教融合”这一核心脉络，考察了杜光庭思想的三个维度。第一节以《道德真经广圣义》为中心，揭示了杜光庭对唐代重玄义学的系统化、道教化改造：他以“道”为本体、以重玄为旨归，对前代注疏进行筛选整合，纠正了重玄义学碎片化、与实践脱节的弊端，同时以道统摄儒释，强化了道教义学的主体性。通过与成玄英“以佛解道”策略、华严宗“五教判”理论的比较分析，本文进一步揭示了杜光庭“以道统摄、功能整合”的独特方法论立场。第二节剖析了“理身理国”的同构性建构，指出杜光庭以道为本体、以清静无为为共同原则、以修心为共同路径，将个体修养与国家治理统一于道的体认与践行之中，实现了三教思想在实践层面的深度融合。通过与汉代黄老学、司马承祯的比较，本文论证了杜光庭在哲学论证深度、三教融合广度与乱世回应性三个维度上的历史推进。第三节论述了“修道即修心”的心性论转向，这一转向将道教修道的核心从外在炼形转向内在修心，构建了以“心具道性”为本体、以“修心体道”为路径的道教心性论体系，成为连接唐代重玄义学与宋明理学、唐代外丹术与宋元内丹学的重要桥梁。通过与禅宗心性论的比较，本文揭示了杜光庭“道性在人心但道性不等于人心”的本体论平衡，以及由此产生的“证仙”与“成佛”的修证归宿差异。三个维度层层递进：重玄道论奠定义理基础，理身理国体现实践展开，心性论转向标志终极深化，共同构成了杜光庭思想阐释的完整体系。本章的思想阐释为第二章的文学书写提供了核心价值理念（如清静无为、顺天应命、修心体道等在文学文本中的具体呈现），也为第三章的科仪整合提供了义理根基（如“以道统摄”原则在科仪体系中的制度落实）。</w:t>
      </w:r>
    </w:p>
    <w:p w14:paraId="5EE561C1">
      <w:pPr>
        <w:rPr>
          <w:rFonts w:ascii="Times New Roman" w:hAnsi="Times New Roman" w:eastAsia="黑体"/>
          <w:b/>
          <w:color w:val="auto"/>
          <w:sz w:val="32"/>
        </w:rPr>
      </w:pPr>
      <w:bookmarkStart w:id="70" w:name="_Toc375497395"/>
      <w:r>
        <w:rPr>
          <w:rFonts w:ascii="Times New Roman" w:hAnsi="Times New Roman" w:eastAsia="黑体"/>
          <w:b/>
          <w:color w:val="auto"/>
          <w:sz w:val="32"/>
        </w:rPr>
        <w:br w:type="page"/>
      </w:r>
    </w:p>
    <w:p w14:paraId="544EA4D7">
      <w:pPr>
        <w:pStyle w:val="3"/>
        <w:spacing w:before="360" w:after="200" w:line="360" w:lineRule="auto"/>
        <w:jc w:val="center"/>
        <w:outlineLvl w:val="0"/>
        <w:rPr>
          <w:color w:val="auto"/>
        </w:rPr>
      </w:pPr>
      <w:bookmarkStart w:id="71" w:name="_Toc296962376"/>
      <w:r>
        <w:rPr>
          <w:rFonts w:ascii="Times New Roman" w:hAnsi="Times New Roman" w:eastAsia="黑体"/>
          <w:b/>
          <w:color w:val="auto"/>
          <w:sz w:val="32"/>
        </w:rPr>
        <w:t>第二章  杜光庭的文学书写与道教文化的世俗传播</w:t>
      </w:r>
      <w:bookmarkEnd w:id="70"/>
      <w:bookmarkEnd w:id="71"/>
    </w:p>
    <w:p w14:paraId="68E1B83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作为唐末五代道教的集大成者，其文学书写是其系统性文化实践的重要构成，亦是推动道教文化世俗传播的核心路径。在进入具体的文学文本分析之前，有必要先说明文学书写在杜光庭文化实践体系中的定位。首先，本章所涉及的青词、步虚词虽然最终服务于斋醮仪式，具有不可忽视的仪式功能，但它们首先具有独立的文学价值与文化传播功能——其文体定式的建构过程本身就是一种文学创作行为，其典雅的语言与优美的意境超越了科仪的实用需求，成为独立可赏的文学作品。因此，本文将这些仪式文学放在“文学书写”章而非“科仪整合”章进行分析，其分工策略是：本章侧重分析其文学价值与文化传播功能，第三章则考察其在科仪体系中的仪式功能。其次，文学书写与第一章的思想阐释之间存在紧密的内在关联：第一章所阐释的“清静无为”“顺天应命”“修心体道”等抽象理念，正是通过文学书写转化为世俗读者可感知、可接受的文化形式。没有文学书写作为中介，思想阐释的核心理念难以走出道观和书斋；没有思想阐释作为内核，文学书写则可能沦为空洞的辞藻。二者的协同运作，共同构成了杜光庭文化实践的“理念-传播”链条。本章节以杜光庭的文学书写为研究对象，聚焦《虬髯客传》《录异记》及青词、步虚词等核心文本与文体，从神圣叙事的世俗化、仪式文学的典范化、地方知识的圣化书写三个维度，梳理其文学创作的具体特征与实践路径，剖析其文学书写中道教文化与世俗文化的互动融合机制，揭示其如何通过文学的载体功能，推动道教文化突破宗教圈层局限，实现与世俗社会、地方文化的深度融合。</w:t>
      </w:r>
    </w:p>
    <w:p w14:paraId="63C14EE9">
      <w:pPr>
        <w:pStyle w:val="5"/>
        <w:spacing w:before="240" w:after="60" w:line="360" w:lineRule="auto"/>
        <w:ind w:firstLine="0"/>
        <w:jc w:val="center"/>
        <w:outlineLvl w:val="1"/>
        <w:rPr>
          <w:color w:val="auto"/>
        </w:rPr>
      </w:pPr>
      <w:bookmarkStart w:id="72" w:name="_Toc1677762879"/>
      <w:bookmarkStart w:id="73" w:name="_Toc294657804"/>
      <w:r>
        <w:rPr>
          <w:rFonts w:ascii="Times New Roman" w:hAnsi="Times New Roman" w:eastAsia="黑体"/>
          <w:b w:val="0"/>
          <w:bCs/>
          <w:color w:val="auto"/>
          <w:sz w:val="30"/>
          <w:szCs w:val="30"/>
        </w:rPr>
        <w:t>第一节  《虬髯客传》中的道教意象与乱世伦理</w:t>
      </w:r>
      <w:bookmarkEnd w:id="72"/>
      <w:bookmarkEnd w:id="73"/>
    </w:p>
    <w:p w14:paraId="78EFB63E">
      <w:pPr>
        <w:spacing w:before="0" w:after="0" w:line="360" w:lineRule="auto"/>
        <w:ind w:firstLine="420"/>
        <w:rPr>
          <w:color w:val="auto"/>
        </w:rPr>
      </w:pPr>
      <w:r>
        <w:rPr>
          <w:rFonts w:hint="eastAsia" w:ascii="宋体" w:hAnsi="宋体" w:eastAsia="宋体" w:cs="宋体"/>
          <w:sz w:val="24"/>
          <w:szCs w:val="24"/>
        </w:rPr>
        <w:t>《虬髯客传》是杜光庭最具代表性的传奇小说，亦是唐代传奇的经典之作，被誉为“唐代传奇的压卷之作”。该文本并非单纯的世俗传奇创作，而是杜光庭将道教神圣叙事与世俗传奇相融合的典范，其以隋末唐初的乱世为背景，通过塑造“风尘三侠”</w:t>
      </w:r>
      <w:r>
        <w:rPr>
          <w:rStyle w:val="140"/>
          <w:rFonts w:hint="eastAsia" w:ascii="宋体" w:hAnsi="宋体" w:eastAsia="宋体" w:cs="宋体"/>
          <w:sz w:val="24"/>
          <w:szCs w:val="24"/>
        </w:rPr>
        <w:footnoteReference w:id="21"/>
      </w:r>
      <w:r>
        <w:rPr>
          <w:rFonts w:hint="eastAsia" w:ascii="宋体" w:hAnsi="宋体" w:eastAsia="宋体" w:cs="宋体"/>
          <w:sz w:val="24"/>
          <w:szCs w:val="24"/>
        </w:rPr>
        <w:t>的经典形象，将道教的神仙信仰、天命观、归隐理念等核心意象融入世俗叙事之中，实现了神圣叙事的世俗化表达，同时结合唐末五代的社会现实，传递出契合乱世需求的伦理诉求，让道教文化通过传奇小说这一通俗载体，实现了在世俗社会的广泛传播。</w:t>
      </w:r>
    </w:p>
    <w:p w14:paraId="1629A9A0">
      <w:pPr>
        <w:pStyle w:val="6"/>
        <w:spacing w:before="120" w:after="60" w:line="360" w:lineRule="auto"/>
        <w:ind w:firstLine="420" w:firstLineChars="0"/>
        <w:jc w:val="center"/>
        <w:outlineLvl w:val="2"/>
        <w:rPr>
          <w:color w:val="auto"/>
        </w:rPr>
      </w:pPr>
      <w:bookmarkStart w:id="74" w:name="_Toc1700422243"/>
      <w:bookmarkStart w:id="75" w:name="_Toc216421846"/>
      <w:r>
        <w:rPr>
          <w:rFonts w:ascii="Times New Roman" w:hAnsi="Times New Roman" w:eastAsia="黑体"/>
          <w:b w:val="0"/>
          <w:bCs/>
          <w:color w:val="auto"/>
          <w:sz w:val="28"/>
          <w:szCs w:val="28"/>
        </w:rPr>
        <w:t>一、《虬髯客传》的创作背景与文本定位</w:t>
      </w:r>
      <w:bookmarkEnd w:id="74"/>
      <w:bookmarkEnd w:id="75"/>
    </w:p>
    <w:p w14:paraId="79BD077B">
      <w:pPr>
        <w:spacing w:before="0" w:after="0" w:line="360" w:lineRule="auto"/>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虬髯客传》的创作年代学界虽有争议，但多数学者认为其成书于杜光庭入蜀之后侍奉前蜀王建期间（约891—918年）。这一时期，唐王朝名存实亡，藩镇割据混战，社会秩序崩塌，民不聊生，唐末五代的社会现实与隋末唐初的乱世具有高度的相似性。杜光庭亲历了社会动荡的全过程，目睹了战乱给百姓带来的深重灾难，也见证了皇权旁落、藩镇争权的政治乱象，其创作《虬髯客传》，并非单纯的追述历史、创作传奇，而是借助隋末唐初的历史叙事，融入道教的思想理念与自身的时代关怀，为唐末五代的世俗社会提供精神指引与伦理规范。从文本性质来看，《虬髯客传》是一部融合了道教神圣叙事与世俗传奇叙事的道教世俗文学作品。该文本最早见于杜光庭的《神仙感遇传》，初名《虬须客》，后经修改完善成为现存版本，宋时被收录于《太平广记》《云笈七签》等典籍，可见其兼具道教文献与文学作品的双重属性。与传统的道教经典不同，《虬髯客传》摒弃了晦涩的宗教术语与抽象的理论阐释，以情节紧凑、叙事生动的传奇形式展开，符合世俗读者的审美习惯；与同时代的世俗传奇不同，其文本中蕴含着丰富的道教意象与思想内核，始终以道教的价值理念为叙事主线，实现了“以文载道”的宗教传播目标。</w:t>
      </w:r>
    </w:p>
    <w:p w14:paraId="182B88F7">
      <w:pPr>
        <w:pStyle w:val="6"/>
        <w:spacing w:before="120" w:after="60" w:line="360" w:lineRule="auto"/>
        <w:ind w:firstLine="420" w:firstLineChars="0"/>
        <w:jc w:val="center"/>
        <w:outlineLvl w:val="2"/>
        <w:rPr>
          <w:color w:val="auto"/>
        </w:rPr>
      </w:pPr>
      <w:bookmarkStart w:id="76" w:name="_Toc284263825"/>
      <w:bookmarkStart w:id="77" w:name="_Toc1712151351"/>
      <w:r>
        <w:rPr>
          <w:rFonts w:ascii="Times New Roman" w:hAnsi="Times New Roman" w:eastAsia="黑体"/>
          <w:b w:val="0"/>
          <w:bCs/>
          <w:color w:val="auto"/>
          <w:sz w:val="28"/>
          <w:szCs w:val="28"/>
        </w:rPr>
        <w:t>二、道教意象的世俗化呈现</w:t>
      </w:r>
      <w:bookmarkEnd w:id="76"/>
      <w:bookmarkEnd w:id="77"/>
    </w:p>
    <w:p w14:paraId="3578AD2F">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教意象”是道教思想的具象化体现，是杜光庭在《虬髯客传》中传递道教文化的核心载体。在传统道教经典中，道士、天命、归隐等意象往往具有浓厚的神圣性与神秘性，与世俗生活存在一定距离。杜光庭在创作中对这些核心道教意象进行了世俗化改造，将其融入隋末唐初的世俗历史叙事之中，让世俗读者能够在阅读传奇故事的过程中，潜移默化地接受道教的思想理念，实现了道教意象的世俗化传播。道士意象道士是道教文化的核心意象，在传统道教叙事中，道士往往超凡脱俗、神通广大，是连接天界与人间的神圣使者，具有强烈的神秘色彩。而在《虬髯客传》中，杜光庭塑造的道士形象褪去了神秘的外衣，呈现出鲜明的世俗化特征，“有一道士，麻衣葛巾，来谒虬髯客”，其衣着朴素、言行简洁，与世俗中的隐士、读书人并无二致，没有呼风唤雨、炼丹成仙的神通，仅以“此世界非公世界，他方可也”的简单话语点化虬髯客。但这位道士的核心功能并未改变，其依旧是道教“天命观”的神圣引导者，能够洞察天命、辨别真主，引导虬髯客顺应天道、放弃争权。这种世俗化的道士形象，既保留了道教意象的神圣内核，又拉近了与世俗读者的距离，让道教的“天命观”不再遥远抽象，而是变得通俗易懂、贴近现实。从符号学视角看，道士这一神圣能指在文本中被剥离了超自然色彩，转化为世俗语境中的智慧长者符号，其所指从“通神使者”变为“天道代言人”，完成了神圣性向世俗权威的话语转换。天命意象“天命”是道教思想的核心范畴，道教认为天下兴亡、政权更迭皆由天命所定，人只能顺应天命而非违抗天命。在传统道教经典中，天命意象往往与天界、神仙相联结，具有高度的神圣性。杜光庭在《虬髯客传》中，将天命意象与隋末唐初的历史现实相结合，通过李世民的“真天子之相”与虬髯客的命运转折，对道教天命观进行了世俗化诠释。文本中描写李世民“神气扬扬，貌与常异，有龙凤之姿，天日之表”，这是传统天命观中“真天子”的典型特征，代表着天命所归；而虬髯客虽身怀绝技、家财万贯，具有争夺天下的实力，却因非天命所归，最终在道士的点化下放弃争权，远渡海东自立为王。杜光庭将道教的天命观与世俗的政治现实相融合，让天命不再是抽象的宗教理念，而是成为解释政权更迭、社会秩序的世俗逻辑，契合了唐末五代民众渴望天下一统、期盼真主出世的社会心理。在天命意象的处理上，杜光庭将天命这一神圣能指与具体的历史人物、政治事件相联结，使其所指从抽象的宗教理念转化为可验证的世俗政治逻辑，实现了神圣叙事的实证化运作。归隐意象归隐是道教的重要思想意象，道教主张“清静无为、顺应自然”，认为归隐山林、潜心修道是摆脱世俗纷扰、体道合真的重要路径，传统道教叙事中的归隐往往与修仙成仙相联结，具有浓厚的神圣性。在《虬髯客传》中，杜光庭将归隐意象转化为一种世俗的人生选择，赋予其“功成身退、顺应天命”的世俗内涵。虬髯客在认清天命后，并非遁入山林修道成仙，而是将家财赠予李靖，让其辅佐李世民兴唐，自己则远走海东自立为王，这是一种世俗化的“归隐”——放弃对中原天下的争夺，选择适合自己的发展道路，既体现了道教“不执于物、顺应自然”的核心思想，又契合了世俗社会对“知进退、明得失”的人生智慧的追求。这种世俗化的归隐意象，让道教的人生理念成为世俗读者可借鉴的生活智慧，实现了道教思想的世俗化渗透。归隐意象从传统的“遁世修仙”神圣能指转变为“功成身退”的世俗所指，将道教的出世理念转化为一种入世的人生智慧，体现了杜光庭在神圣与世俗之间建立意义转换机制的自觉意识。符号学分析的独立评论：双向转换机制的方法论意义综上所述，杜光庭在《虬髯客传》中构建了一套“神圣能指的世俗化”与“世俗所指的神圣化”的双向转换机制。所谓“神圣能指的世俗化”，是指道士、天命、归隐等原本具有浓厚宗教神圣性的能指符号，在文本中被“脱魅”——剥去超自然的神秘外衣，转化为世俗语境中可理解、可接受的符号（如道士→智慧长者、天命→政治合法性、归隐→人生智慧）。所谓“世俗所指的神圣化”，则是指凡俗的历史事件、人物命运在文本中被赋予了超越性的道教意义——李世民不仅是政治上的胜利者，更是天道的体现者；虬髯客的退让不仅是政治选择，更是对道法的顺应。这一双向转换机制的方法论意义在于：它打破了宗教叙事与世俗叙事之间的壁垒，使得道教文化不再需要通过高门槛的宗教术语来传播，而是可以借由世俗读者喜闻乐见的传奇形式实现“润物细无声”式的文化渗透。更重要的是，这种转换并非单向的“宗教世俗化”（即宗教被动地适应世俗），而是杜光庭主动建构的“双向赋能”——世俗叙事因道教意象的注入而获得了超越性的精神深度，道教文化因世俗载体的借用而获得了广泛的传播空间。这种双向转换策略对理解杜光庭整个文化实践的方法论特征具有启示意义：在文学书写中如此，在科仪整合（将民间信仰纳入规范化科仪体系）与思想阐释（将儒释思想纳入道本体框架）中，我们同样可以看到这种“双向赋能”的运作逻辑。与同时代传奇小说的比较：杜光庭叙事策略的独特性将《虬髯客传》置于唐末五代传奇小说的整体图景中，更能凸显杜光庭道教传奇的叙事特殊性。以同时代的裴铏《传奇》与袁郊《甘泽谣》为例，二者虽同样涉及道教与仙怪题材，但在叙事策略上与杜光庭存在根本性差异。裴铏《传奇》以奇幻情节与精致文笔著称，其《聂隐娘》《裴航》等篇虽涉及道士、仙术等道教元素，但其叙事重心在于“奇”——以情节的跌宕起伏和意象的新奇瑰丽吸引读者，道教元素更多是装饰性的叙事资源，而非统摄全篇的价值主线。《甘泽谣》中的《红线》等篇虽涉及道教的神仙思想，但其叙事动机更多是现实政治的隐喻——红线夜行入魏博节度使府，盗取金合，本质上是对藩镇割据的政治讽刺。相比之下，杜光庭的《虬髯客传》具有鲜明的“以道统文”特征：道教的天命观、归隐思想不仅是叙事中的点缀，更是统摄全篇的价值核心——所有人物的行为动机都可以从道教价值体系中获得解释，所有情节的推进都服务于“顺应天命”这一道教命题。这种叙事策略意味着，杜光庭的道教传奇不是“以道教为题材的文学创作”，而是“以文学为载体的道教文化传播”。这一区别，也解释了为什么《虬髯客传》能够在众多唐代传奇中脱颖而出，成为道教世俗化文学的经典范本——它实现了宗教传播目标与文学审美价值的有机统一。</w:t>
      </w:r>
      <w:r>
        <w:rPr>
          <w:rFonts w:ascii="宋体" w:hAnsi="宋体"/>
          <w:color w:val="FF0000"/>
          <w:sz w:val="24"/>
          <w:rFonts w:eastAsia="宋体" w:ascii="宋体" w:hAnsi="宋体"/>
          <w:sz w:val="240"/>
          <w:color w:val="FF0000"/>
        </w:rPr>
        <w:t>（余红平. 杜光庭道教文学研究——以道教诗词为考察对象[M]. 北京: 宗教文化出版社, 2010: 89-102; 罗争鸣. 杜光庭道教小说研究[M]. 北京: 中华书局, 2006: 134-156.）</w:t>
      </w:r>
      <w:r>
        <w:rPr>
          <w:rFonts w:ascii="宋体" w:hAnsi="宋体"/>
          <w:color w:val="FF0000"/>
          <w:sz w:val="20"/>
          <w:vertAlign w:val="superscript"/>
          <w:rFonts w:eastAsia="宋体" w:ascii="宋体" w:hAnsi="宋体"/>
          <w:sz w:val="200"/>
          <w:color w:val="FF0000"/>
        </w:rPr>
        <w:t>[16]</w:t>
      </w:r>
      <w:r>
        <w:footnoteReference w:id="16"/>
      </w:r>
    </w:p>
    <w:p w14:paraId="12E79D3F">
      <w:pPr>
        <w:pStyle w:val="6"/>
        <w:spacing w:before="120" w:after="60" w:line="360" w:lineRule="auto"/>
        <w:ind w:firstLine="420" w:firstLineChars="0"/>
        <w:jc w:val="center"/>
        <w:outlineLvl w:val="2"/>
        <w:rPr>
          <w:color w:val="auto"/>
        </w:rPr>
      </w:pPr>
      <w:bookmarkStart w:id="78" w:name="_Toc1618475847"/>
      <w:bookmarkStart w:id="79" w:name="_Toc1994370104"/>
      <w:r>
        <w:rPr>
          <w:rFonts w:ascii="Times New Roman" w:hAnsi="Times New Roman" w:eastAsia="黑体"/>
          <w:b w:val="0"/>
          <w:bCs/>
          <w:color w:val="auto"/>
          <w:sz w:val="28"/>
          <w:szCs w:val="28"/>
        </w:rPr>
        <w:t>三、乱世伦理的道教建构与世俗认同</w:t>
      </w:r>
      <w:bookmarkEnd w:id="78"/>
      <w:bookmarkEnd w:id="79"/>
    </w:p>
    <w:p w14:paraId="3FAF964D">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唐末五代的社会动荡，让传统的儒家伦理秩序崩塌，民众陷入对秩序、正义与道德的精神渴求之中，杜光庭在《虬髯客传》中，以道教的天命观、自然观为内核，结合乱世的社会需求，构建了一套兼具道教内涵与世俗特质的乱世伦理体系，实现了道教伦理与世俗伦理的深度融合，进而获得了世俗社会的广泛认同。这套乱世伦理体系，首先体现为“顺天应命的政治伦理”。杜光庭通过虬髯客与李世民的命运对比，传递出“天下兴亡由天命所定”的政治理念，认为违背天命的争权夺利只会带来社会动荡，而顺应天命、辅佐真主，实现天下一统，才是符合天道、造福百姓的正确选择。这一政治伦理既源于道教的天命观，又契合了唐末五代民众渴望安定、期盼统一的世俗诉求，为世俗社会的政治秩序建构提供了精神指引。其次，体现为“重义轻利的人际伦理”。“风尘三侠”的交往过程，是重义轻利伦理的生动体现。红拂女慧眼识英雄，毅然私奔李靖，体现的是对人才的赏识与对情义的坚守；虬髯客与李靖、红拂女结为异姓兄妹，慷慨赠予家财让其辅佐李世民，体现的是对知己的信任与对大义的追求。杜光庭将道教“积善累德”的修仙理念世俗化，把重义轻利视为契合天道的行为，认为重义轻利不仅是为人处世的根本，更是实现身心和谐的重要路径。这一人际伦理填补了乱世中儒家伦理崩塌后的道德真空，为世俗民众的人际交往提供了可遵循的行为规范。最后，体现为“知人善任、各尽其才的社会伦理”。虬髯客认清自己非天命所归后，并未执着于争权，而是选择远走海东，同时将自己的资源赠予李靖，让其发挥才能辅佐真主；李靖凭借自身的谋略与才能，辅佐李世民兴唐立业，实现了自身的价值。杜光庭通过这一叙事，传递出“知人善任、各尽其才”的社会伦理，认为每个人都应认清自身的定位，顺应自身的天命，在适合自己的位置上发挥价值，这一伦理既源于道教“顺应自然”的核心思想，又契合了乱世中人才渴望施展抱负、社会渴望人尽其才的现实需求。杜光庭通过《虬髯客传》实现了道教神圣叙事的世俗化，让道教的意象与思想通过传奇小说这一通俗载体，深入世俗社会的精神生活。该文本不仅成为唐代传奇的经典之作，更成为道教文化世俗传播的重要范本，其将宗教思想与世俗伦理相结合的创作方式，为后世道教世俗文学的发展奠定了基础。</w:t>
      </w:r>
    </w:p>
    <w:p w14:paraId="330BA725">
      <w:pPr>
        <w:pStyle w:val="5"/>
        <w:spacing w:before="240" w:after="60" w:line="360" w:lineRule="auto"/>
        <w:ind w:firstLine="0"/>
        <w:jc w:val="center"/>
        <w:outlineLvl w:val="1"/>
        <w:rPr>
          <w:color w:val="auto"/>
        </w:rPr>
      </w:pPr>
      <w:bookmarkStart w:id="80" w:name="_Toc1695687627"/>
      <w:bookmarkStart w:id="81" w:name="_Toc1453575552"/>
      <w:r>
        <w:rPr>
          <w:rFonts w:ascii="Times New Roman" w:hAnsi="Times New Roman" w:eastAsia="黑体"/>
          <w:b w:val="0"/>
          <w:bCs/>
          <w:color w:val="auto"/>
          <w:sz w:val="30"/>
          <w:szCs w:val="30"/>
        </w:rPr>
        <w:t>第二节  青词、步虚词的文体定式与神圣意境的生成</w:t>
      </w:r>
      <w:bookmarkEnd w:id="80"/>
      <w:bookmarkEnd w:id="81"/>
    </w:p>
    <w:p w14:paraId="27AE331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青词”与“步虚词”是道教仪式文学的核心体裁，是道教斋醮仪式中沟通人神、表达祈愿、营造神圣氛围的重要载体，兼具宗教性、文学性与仪式性。在杜光庭之前，青词、步虚词的创作虽已出现，但尚未形成统一的文体规范，内容零散、形式多样，其仪式功能与审美价值未能得到充分发挥，也难以成为道教文化传播的稳定载体。杜光庭以道教科仪的实践需求为核心，对青词、步虚词的文体格式、语言风格、意境营造进行了系统性的规范与创新，完成了仪式文学的典范化建构，使其成为道教斋醮仪式中不可或缺的组成部分。同时，杜光庭通过独特的道教意象运用与艺术手法创作，让青词、步虚词生成了独具特色的神圣意境，既强化了道教仪式的神圣性，又让仪式文学突破了科仪的局限，成为道教文化传播的重要文本，实现了道教仪式文化的规范化与传播化。</w:t>
      </w:r>
    </w:p>
    <w:p w14:paraId="1883368D">
      <w:pPr>
        <w:pStyle w:val="6"/>
        <w:spacing w:before="120" w:after="60" w:line="360" w:lineRule="auto"/>
        <w:ind w:firstLine="420" w:firstLineChars="0"/>
        <w:jc w:val="center"/>
        <w:outlineLvl w:val="2"/>
        <w:rPr>
          <w:color w:val="auto"/>
        </w:rPr>
      </w:pPr>
      <w:bookmarkStart w:id="82" w:name="_Toc166467652"/>
      <w:bookmarkStart w:id="83" w:name="_Toc470334192"/>
      <w:r>
        <w:rPr>
          <w:rFonts w:ascii="Times New Roman" w:hAnsi="Times New Roman" w:eastAsia="黑体"/>
          <w:b w:val="0"/>
          <w:bCs/>
          <w:color w:val="auto"/>
          <w:sz w:val="28"/>
          <w:szCs w:val="28"/>
        </w:rPr>
        <w:t>一、仪式文学典范化的时代动因与宗教需求</w:t>
      </w:r>
      <w:bookmarkEnd w:id="82"/>
      <w:bookmarkEnd w:id="83"/>
    </w:p>
    <w:p w14:paraId="39AD206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唐末五代时期，道教斋醮仪式成为国家与民间社会的重要宗教活动，上至皇室的国家大醮，下至民间的祈福消灾，都离不开斋醮仪式的开展。而青词、步虚词作为斋醮仪式的核心文本，其创作质量与规范程度直接影响着仪式的效果与道教的形象。在杜光庭之前，由于道派众多、地域差异，青词、步虚词的创作呈现出明显的零散化特征：不同道派、不同地域的道士创作的仪式文学，在文体格式、语言风格上差异较大，部分创作甚至流于粗俗，难以实现“上达天听”的仪式功能，也不利于道教科仪的标准化与统一化。作为道教科仪整合的核心人物，杜光庭在文本中反复强调仪式文学的重要性，其将青词、步虚词的典范化建构与道教科仪的体系化整合相结合，将仪式文学的规范视为科仪规范化的重要组成部分。从宗教需求来看，青词、步虚词的典范化具有双重价值：一者，仪式功能的价值。统一、规范的仪式文学能够让斋醮仪式的流程更加标准化，让道士在仪式中能够准确、规范地表达祈愿，实现人神沟通的仪式目标；二者，文化传播的价值。典雅、规范的仪式文学能够提升道教的文化品位，吸引世俗文人与民众的关注，让道教的科仪文化与思想理念通过仪式文学得到传播。此外，唐末五代的皇室对道教斋醮仪式的推崇，也对仪式文学的规范化提出了要求，杜光庭作为皇室御用的道教大师，其创作的青词、步虚词需要兼顾宗教的神圣性与皇室的审美需求，这也成为仪式文学典范化的重要推动因素。</w:t>
      </w:r>
    </w:p>
    <w:p w14:paraId="1B40E322">
      <w:pPr>
        <w:pStyle w:val="6"/>
        <w:spacing w:before="120" w:after="60" w:line="360" w:lineRule="auto"/>
        <w:ind w:firstLine="420" w:firstLineChars="0"/>
        <w:jc w:val="center"/>
        <w:outlineLvl w:val="2"/>
        <w:rPr>
          <w:color w:val="auto"/>
        </w:rPr>
      </w:pPr>
      <w:bookmarkStart w:id="84" w:name="_Toc1798118770"/>
      <w:bookmarkStart w:id="85" w:name="_Toc19460337"/>
      <w:r>
        <w:rPr>
          <w:rFonts w:ascii="Times New Roman" w:hAnsi="Times New Roman" w:eastAsia="黑体"/>
          <w:b w:val="0"/>
          <w:bCs/>
          <w:color w:val="auto"/>
          <w:sz w:val="28"/>
          <w:szCs w:val="28"/>
        </w:rPr>
        <w:t>二、青词文体定式的建构与神俗沟通的语言规范</w:t>
      </w:r>
      <w:bookmarkEnd w:id="84"/>
      <w:bookmarkEnd w:id="85"/>
    </w:p>
    <w:p w14:paraId="50DF25B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李肇《翰林志》云：“凡太清宫道观荐告词文，用青藤纸朱字，谓之'青词'。”“青词”，又称绿章，是道教斋醮仪式中上奏天帝、神仙的表文，其核心功能是沟通人神，向上天表达祭祀者的祈愿、汇报功德，是连接世俗人间与神圣天界的重要语言载体。杜光庭认为，“青词”作为人神沟通的桥梁，其文体格式与语言表达必须契合道教的神圣性要求，方能实现“上达天听”的仪式效果。基于此，他对青词的文体进行了严格的定式建构，从结构、体例、语言三个方面确立了青词的创作规范，让青词成为标准化、规范化的道教仪式文学体裁。在结构上，杜光庭确立了“启奏-述愿-祈福-谢恩”的固定叙事结构，这一结构与道教斋醮仪式的流程相契合，形成了完整的人神沟通逻辑。启奏部分为开篇，需明确祭祀的天帝、神仙名号，表明祭祀者的身份（皇室、官府、道士、民间信众）与祭祀的缘由，如“维某年月日，某官某谨以清酌庶羞之奠，敢昭告于三清玉皇上帝”，以庄重的表述开启人神沟通；述愿部分为核心，需清晰、具体地阐述祭祀的祈愿内容，根据祭祀主体的不同，祈愿内容各有侧重，皇室的青词多为国祈福、安邦定国，民间的青词多为消灾解厄、祈福纳祥，道士的青词多为修道升仙、护持道统，述愿部分要求言辞恳切、条理清晰；祈福部分以道教的吉祥意象为依托，表达对上天庇佑的期盼，如“愿天垂福，地赐嘉祥，四海安宁，五谷丰登”，强化仪式的祈福效果；谢恩部分为结尾，表达对天帝、神仙的敬畏与感恩之情，以“谨奏”作结，完成人神沟通的叙事闭环。这一四段结构恰好体现了杜光庭“以道统摄”的整合理念：启奏对应道的本体（沟通对象的确立），述愿与祈福对应道的妙用（在人间与天界之间建立感应），谢恩对应道的回归（人神关系在感恩中达成统一），四段结构的内在逻辑正是从道出发、经过道的运作、最终回归于道的完整循环。这一固定结构让青词的创作有章可循，确保了其在仪式中的功能性表达，无论祭祀主体与祈愿内容如何变化，都能遵循统一的结构规范，实现有效的人神沟通。青词四段结构与儒释仪式文书的比较分析值得注意的是，杜光庭所确立的青词四段结构，与儒家表文、佛教疏文在仪式功能上形成了有趣的对照。儒家的表文（如臣民上呈皇帝的奏表）同样遵循“启奏-陈情-请愿-谢恩”的程序化结构，但其沟通对象是世俗的政治权力（皇帝），其功能是建立臣民与君主之间的政治沟通。佛教的疏文（如梁武帝时代发展起来的佛教斋会疏文）同样具有四段式的结构特征，但其核心功能是建立信徒与佛陀之间的宗教忏悔关系。杜光庭的青词四段结构在形式上与二者有相似之处——都遵循“启→述→祈→谢”的叙事逻辑——但其独特性在于：青词的沟通对象是道教的至高神灵（三清、玉皇），沟通中介是具有专业训练的道士（而非儒家的官僚系统或佛教的僧团），沟通的目的是建立“天-道-人”的神圣感应关系。这意味着，杜光庭的青词规范既是道教仪式的内部需求，也是对当时社会中仪式文书体例的积极回应——唐代的官方文书制度（如翰林学士的制诰文书）对骈文体例、程序化结构的高度重视，以及唐代科举考试中对骈文写作能力的强调，都为杜光庭的青词规范化提供了文体参照。杜光庭的青词选择骈文体例、追求对仗工整、辞藻典雅，与唐代科举骈文风尚之间存在着值得进一步探讨的互文关系。在体例上，杜光庭规定青词需采用骈文的体例，同时遵循道教的文书体例规范。骈文讲究对仗工整、声律和谐、辞藻典雅，具有鲜明的审美价值与韵律美，在念诵过程中能够营造出庄重肃穆的宗教氛围，契合道教斋醮仪式的神圣性要求；同时，杜光庭在骈文的体例中融入了道教的文书规范，使用特定的宗教称谓与格式，如对天帝称“圣尊”“玉皇大天尊”，对神仙称“仙真”“真君”，祭祀者自称“臣”“弟子”，这种体例规范既强化了青词的宗教神圣性，又让其区别于世俗的骈文创作，成为独具道教特色的仪式文学。在语言上，杜光庭对青词的语言表达提出了“典雅庄重、简洁凝练、意象鲜明”的三重要求。其一，典雅庄重，避免世俗化的口语表达，使用古雅的书面语，契合人神沟通的神圣性。如用“宸居”代指皇宫，用“黎元”代指百姓；其二，简洁凝练，避免冗长繁琐的表述，要求言辞精炼、表意明确，让上天能够清晰感知祭祀者的祈愿；其三，意象鲜明，广泛融入道教核心意象。如“三清”“紫微”“金丹”“云篆”“洞天”等，通过道教意象的运用，强化青词的宗教内涵，让青词不仅是祈愿的载体，更是道教思想的表达。杜光庭对青词文体定式的建构，让青词从零散的祈愿文书成为标准化、规范化的道教仪式文学体裁。在国家斋醮仪式中，规范化的青词成为朝廷向上天表达祈愿、论证皇权合法性的重要工具，杜光庭为唐僖宗、前蜀王建创作的青词，既契合了皇室的政治需求，又彰显了道教的神圣性，实现了神权与皇权的双向赋能；在民间斋醮仪式中，标准化的青词让普通民众能够通过固定的形式与上天沟通，降低了神俗沟通的门槛，推动了道教斋醮仪式的民间化传播。同时，青词的文体规范也被后世道教所继承，成为道教青词创作的固定范式，影响至今。</w:t>
      </w:r>
      <w:r>
        <w:rPr>
          <w:rFonts w:ascii="宋体" w:hAnsi="宋体"/>
          <w:color w:val="FF0000"/>
          <w:sz w:val="24"/>
          <w:rFonts w:eastAsia="宋体" w:ascii="宋体" w:hAnsi="宋体"/>
          <w:sz w:val="240"/>
          <w:color w:val="FF0000"/>
        </w:rPr>
        <w:t>（李肇. 翰林志[M]//影印文渊阁四库全书: 第596册. 台北: 台湾商务印书馆, 1986: 12.）</w:t>
      </w:r>
      <w:r>
        <w:rPr>
          <w:rFonts w:ascii="宋体" w:hAnsi="宋体"/>
          <w:color w:val="FF0000"/>
          <w:sz w:val="20"/>
          <w:vertAlign w:val="superscript"/>
          <w:rFonts w:eastAsia="宋体" w:ascii="宋体" w:hAnsi="宋体"/>
          <w:sz w:val="200"/>
          <w:color w:val="FF0000"/>
        </w:rPr>
        <w:t>[17]</w:t>
      </w:r>
      <w:r>
        <w:footnoteReference w:id="17"/>
      </w:r>
    </w:p>
    <w:p w14:paraId="24D9E3C1">
      <w:pPr>
        <w:pStyle w:val="6"/>
        <w:spacing w:before="120" w:after="60" w:line="360" w:lineRule="auto"/>
        <w:ind w:firstLine="420" w:firstLineChars="0"/>
        <w:jc w:val="center"/>
        <w:outlineLvl w:val="2"/>
        <w:rPr>
          <w:color w:val="auto"/>
        </w:rPr>
      </w:pPr>
      <w:bookmarkStart w:id="86" w:name="_Toc1592286806"/>
      <w:bookmarkStart w:id="87" w:name="_Toc652369615"/>
      <w:r>
        <w:rPr>
          <w:rFonts w:ascii="Times New Roman" w:hAnsi="Times New Roman" w:eastAsia="黑体"/>
          <w:b w:val="0"/>
          <w:bCs/>
          <w:color w:val="auto"/>
          <w:sz w:val="28"/>
          <w:szCs w:val="28"/>
        </w:rPr>
        <w:t>三、步虚词格律规范与神圣意境的营造</w:t>
      </w:r>
      <w:bookmarkEnd w:id="86"/>
      <w:bookmarkEnd w:id="87"/>
    </w:p>
    <w:p w14:paraId="2A890F75">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步虚词是道教斋醮仪式中配合“步虚仪式”念诵的诗歌，是道教仪式文学中最具文学性与审美性的体裁。步虚仪式是道教斋醮仪式中的核心环节，道士手持笏板，缓步绕坛，念诵步虚词，旨在通过特定的步伐与念诵，营造出“步虚蹑空”的神圣氛围，让诵经者与祭祀者进入与神沟通的精神状态。在杜光庭之前，步虚词的创作多为民间道士的随性之作，格律混乱、内容零散，缺乏统一的规范，难以与步虚仪式相契合，也难以营造出统一的神圣意境。杜光庭对步虚词进行了系统性的格律规范，同时通过道教意象的巧妙运用与虚实结合的艺术手法，让步虚词生成了独具道教特色的神圣意境，完成了步虚词的典范化建构，使其成为道教斋醮仪式中营造神圣氛围的核心载体。在格律上，杜光庭确立了步虚词“五言律诗”的核心格律规范，同时根据步虚仪式的节奏，确定了诗歌的篇幅与句数。五言律诗具有平仄协调、押韵严格、对仗工整的特点，读来朗朗上口，具有鲜明的韵律感与节奏感，与步虚仪式中道士缓步绕坛的节奏相契合，道士在念诵过程中，能够实现步伐与念诵的同步，营造出庄重肃穆的仪式氛围。杜光庭规定步虚词的篇幅以八句、十六句为基本范式，篇幅适中，既适合步虚仪式的流程，又能充分表达道教的思想内涵。此外，杜光庭还对步虚词的押韵进行了严格规范，要求一韵到底，押平声韵，避免押韵杂乱影响念诵效果，如其《步虚词·九》：“太极分高厚，轻清上属天。人能修至道，身乃作真仙。行溢三千数，时丁四万年。丹台开宝笈，金口为流传。”全诗押平声韵，韵律和谐，念诵时具有强烈的音乐美。在内容与意象上，杜光庭的步虚词以“天界想象”为核心内容，广泛融入道教的天界意象与神仙意象，构建出虚无缥缈、超凡脱俗的神圣天界图景。其步虚词中充满了“三清境”“玉皇阙”“云路”“仙槎”“瑶台”“紫府”等道教天界意象，以及“玉皇”“老君”“仙宾”“圣众”等神仙意象，如“高步三清境，超登九重天”“玉皇开紫府，金母降瑶台”，通过对这些意象的组合运用，将抽象的道教天界具象化，让诵经者与祭祀者在念诵过程中，仿佛置身于神圣的天界，实现了精神层面的“步虚蹑空”。同时，杜光庭的步虚词并非单纯的天界景象描绘，而是将道教的思想理念融入其中，如“清静无为理，逍遥自在身”“修道归真一，凝神入太虚”，让步虚词既具有意境营造的功能，又具有传递道教“清静无为”“修道归真”思想的价值，实现了审美性与宗教性的统一。在神圣意境的营造上，杜光庭运用“虚实结合”的艺术手法，将天界的“虚”想象与斋醮仪式的“实”场景相融合，让祭祀者产生“身入天界、与神同行”的沉浸式体验，实现了精神层面的人神沟通。步虚词中描绘的天界景象是“虚”的，是道教的想象与建构；而斋醮仪式中的祭坛、香烛、旌旗、道士的念诵与步伐是“实”的，是世俗的仪式场景。杜光庭通过虚实结合的手法，让虚的天界想象与实的仪式场景相互呼应、相互交融，如步虚词中说的：</w:t>
      </w:r>
    </w:p>
    <w:p w14:paraId="1ECCE5A5">
      <w:pPr>
        <w:spacing w:before="0" w:after="0" w:line="360" w:lineRule="auto"/>
        <w:ind w:firstLine="420"/>
        <w:rPr>
          <w:rFonts w:hint="eastAsia" w:ascii="楷体" w:hAnsi="楷体" w:eastAsia="楷体" w:cs="楷体"/>
          <w:sz w:val="24"/>
          <w:szCs w:val="24"/>
        </w:rPr>
      </w:pPr>
      <w:r>
        <w:rPr>
          <w:rFonts w:hint="eastAsia" w:ascii="楷体" w:hAnsi="楷体" w:eastAsia="楷体" w:cs="楷体"/>
          <w:sz w:val="24"/>
          <w:szCs w:val="24"/>
        </w:rPr>
        <w:t>“高真明道德，垂世五千言。解释惭凉薄，殚诚测妙元。軿霓旌严教典，羽唱彻云。瑞鹤仪空际，祥风拂暑烦。穹窿兹响应，宝祚亿斯年”。</w:t>
      </w:r>
      <w:r>
        <w:rPr>
          <w:rStyle w:val="140"/>
          <w:rFonts w:hint="eastAsia" w:ascii="楷体" w:hAnsi="楷体" w:eastAsia="楷体" w:cs="楷体"/>
          <w:sz w:val="24"/>
          <w:szCs w:val="24"/>
        </w:rPr>
        <w:footnoteReference w:id="22"/>
      </w:r>
      <w:r>
        <w:rPr>
          <w:rFonts w:ascii="宋体" w:hAnsi="宋体"/>
          <w:color w:val="FF0000"/>
          <w:sz w:val="24"/>
          <w:rFonts w:eastAsia="宋体" w:ascii="宋体" w:hAnsi="宋体"/>
          <w:sz w:val="240"/>
          <w:color w:val="FF0000"/>
        </w:rPr>
        <w:t>（杜光庭. 道门科范大全集（卷三）[M]//道藏: 第31册. 北京: 文物出版社, 1988: 45.）</w:t>
      </w:r>
      <w:r>
        <w:rPr>
          <w:rFonts w:ascii="宋体" w:hAnsi="宋体"/>
          <w:color w:val="FF0000"/>
          <w:sz w:val="20"/>
          <w:vertAlign w:val="superscript"/>
          <w:rFonts w:eastAsia="宋体" w:ascii="宋体" w:hAnsi="宋体"/>
          <w:sz w:val="200"/>
          <w:color w:val="FF0000"/>
        </w:rPr>
        <w:t>[18]</w:t>
      </w:r>
    </w:p>
    <w:p w14:paraId="4DE0695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词中描绘的“霓旌绛节”与仪式中的旌旗相呼应，“仙宾降圣”与仪式中的道士诵经相呼应，让祭祀者在视觉、听觉的双重体验中，突破世俗空间的限制，进入神圣的天界意境，实现了与神的精神沟通。这种沉浸式的神圣意境，不仅强化了道教斋醮仪式的宗教效果，也让祭祀者能够直观地感受道教的文化内涵，实现了道教思想的潜移默化传播。</w:t>
      </w:r>
    </w:p>
    <w:p w14:paraId="75ECFE5D">
      <w:pPr>
        <w:pStyle w:val="6"/>
        <w:spacing w:before="120" w:after="60" w:line="360" w:lineRule="auto"/>
        <w:ind w:firstLine="420" w:firstLineChars="0"/>
        <w:jc w:val="center"/>
        <w:outlineLvl w:val="2"/>
        <w:rPr>
          <w:color w:val="auto"/>
        </w:rPr>
      </w:pPr>
      <w:bookmarkStart w:id="88" w:name="_Toc1770623175"/>
      <w:bookmarkStart w:id="89" w:name="_Toc1472101370"/>
      <w:r>
        <w:rPr>
          <w:rFonts w:ascii="Times New Roman" w:hAnsi="Times New Roman" w:eastAsia="黑体"/>
          <w:b w:val="0"/>
          <w:bCs/>
          <w:color w:val="auto"/>
          <w:sz w:val="28"/>
          <w:szCs w:val="28"/>
        </w:rPr>
        <w:t>四、仪式文学典范化的道教文化传播意义</w:t>
      </w:r>
      <w:bookmarkEnd w:id="88"/>
      <w:bookmarkEnd w:id="89"/>
    </w:p>
    <w:p w14:paraId="11C198A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对青词、步虚词的典范化建构，不仅完善了道教科仪的体系，提升了道教斋醮仪式的神圣性与规范化程度，更推动了道教文化的多层次、多维度传播，成为道教文化世俗传播的重要路径，其传播意义主要体现在三个方面。</w:t>
      </w:r>
    </w:p>
    <w:p w14:paraId="19863F1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lang w:val="en-US" w:eastAsia="zh-CN"/>
        </w:rPr>
        <w:t>一是</w:t>
      </w:r>
      <w:r>
        <w:rPr>
          <w:rFonts w:hint="eastAsia" w:ascii="宋体" w:hAnsi="宋体" w:eastAsia="宋体" w:cs="宋体"/>
          <w:sz w:val="24"/>
          <w:szCs w:val="24"/>
        </w:rPr>
        <w:t>推动了道教科仪文化的标准化与统一化传播青词、步虚词的典范化，与杜光庭的道教科仪整合相呼应，成为道教科仪体系化的重要组成部分。统一的文体规范与格律要求，让各地的道教宫观、道士能够按照统一的标准创作与念诵青词、步虚词，避免了仪式文学的地域化与碎片化，推动了道教科仪文化在全国范围内的标准化传播，强化了道教组织的文化认同。</w:t>
      </w:r>
    </w:p>
    <w:p w14:paraId="55E00F05">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二是提升了道教的文化品位，吸引了世俗文化阶层的关注在杜光庭的规范下，青词、步虚词从原本的零散粗俗之作，成为兼具宗教性与文学性的经典文本，其典雅的语言、工整的格律、优美的意境，契合了世俗文人的审美需求。许多世俗文人开始关注并创作青词、步虚词，如宋代的苏轼、王安石等都有青词作品传世，世俗文人的参与，让道教的仪式文学走出了宗教圈层，进入了世俗的文学领域，实现了道教文化与世俗文学的交流融合，提升了道教的文化影响力。</w:t>
      </w:r>
    </w:p>
    <w:p w14:paraId="621817C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lang w:val="en-US" w:eastAsia="zh-CN"/>
        </w:rPr>
        <w:t>三是</w:t>
      </w:r>
      <w:r>
        <w:rPr>
          <w:rFonts w:hint="eastAsia" w:ascii="宋体" w:hAnsi="宋体" w:eastAsia="宋体" w:cs="宋体"/>
          <w:sz w:val="24"/>
          <w:szCs w:val="24"/>
        </w:rPr>
        <w:t>实现了道教思想的仪式化与生活化传播青词、步虚词并非单纯的文学文本，而是道教思想的重要载体，其内容中蕴含着道教的天命观、神仙信仰、清静无为思想、积善累德理念等核心内涵。在道教斋醮仪式成为国家与民间重要活动的唐末五代，青词、步虚词的念诵与传播，让道教思想通过仪式的形式，融入了皇室的政治生活、民间的日常生活，如民间的婚丧嫁娶、祈福消灾都离不开道教斋醮仪式，而青词、步虚词则成为民众接触道教思想的重要途径，实现了道教思想的仪式化与生活化传播。</w:t>
      </w:r>
    </w:p>
    <w:p w14:paraId="0FE02478">
      <w:pPr>
        <w:pStyle w:val="5"/>
        <w:spacing w:before="240" w:after="60" w:line="360" w:lineRule="auto"/>
        <w:ind w:firstLine="0"/>
        <w:jc w:val="center"/>
        <w:outlineLvl w:val="1"/>
        <w:rPr>
          <w:color w:val="auto"/>
        </w:rPr>
      </w:pPr>
      <w:bookmarkStart w:id="90" w:name="_Toc1182805746"/>
      <w:bookmarkStart w:id="91" w:name="_Toc448628503"/>
      <w:r>
        <w:rPr>
          <w:rFonts w:ascii="Times New Roman" w:hAnsi="Times New Roman" w:eastAsia="黑体"/>
          <w:b w:val="0"/>
          <w:bCs/>
          <w:color w:val="auto"/>
          <w:sz w:val="30"/>
          <w:szCs w:val="30"/>
        </w:rPr>
        <w:t>第三节  《录异记》与巴蜀道教圣地文化景观的建构</w:t>
      </w:r>
      <w:bookmarkEnd w:id="90"/>
      <w:bookmarkEnd w:id="91"/>
    </w:p>
    <w:p w14:paraId="2FB0B14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巴蜀地区是道教的发源地之一，拥有悠久的道教文化传统与独特的地方知识体系，青城山、鹤鸣山、峨眉山等名山更是道教的重要圣地。唐末五代时期，巴蜀地区因地理阻隔成为相对安定的文化沃土，吸引了大量文人与道士入蜀，杜光庭入蜀后，便将巴蜀作为其道教文化实践的核心阵地，深耕巴蜀道教文化。《录异记》是杜光庭极具代表性的志怪笔记，共八卷，记载了唐末五代时期巴蜀地区的各类异闻传说、山水风物、神仙事迹、奇人异事等地方知识。杜光庭在该文本中并非单纯的记录地方知识，而是进行了“圣化书写”——将巴蜀的地方知识与道教的神仙信仰、天命观、洞天福地理念相联结，为地方异闻、山水风物赋予道教的神圣内涵，进而建构起独具特色的巴蜀道教圣地文化景观，推动了道教文化与巴蜀地方文化的深度融合，让道教文化在巴蜀地区实现了本土化、扎根化传播，同时也让巴蜀地方文化在道教的赋能下，成为中国道教文化的重要组成部分。</w:t>
      </w:r>
    </w:p>
    <w:p w14:paraId="182CACAB">
      <w:pPr>
        <w:pStyle w:val="6"/>
        <w:spacing w:before="120" w:after="60" w:line="360" w:lineRule="auto"/>
        <w:ind w:firstLine="420" w:firstLineChars="0"/>
        <w:jc w:val="center"/>
        <w:outlineLvl w:val="2"/>
        <w:rPr>
          <w:color w:val="auto"/>
        </w:rPr>
      </w:pPr>
      <w:bookmarkStart w:id="92" w:name="_Toc160052743"/>
      <w:bookmarkStart w:id="93" w:name="_Toc284165304"/>
      <w:r>
        <w:rPr>
          <w:rFonts w:ascii="Times New Roman" w:hAnsi="Times New Roman" w:eastAsia="黑体"/>
          <w:b w:val="0"/>
          <w:bCs/>
          <w:color w:val="auto"/>
          <w:sz w:val="28"/>
          <w:szCs w:val="28"/>
        </w:rPr>
        <w:t>一、巴蜀地方知识圣化书写的时代背景与地域动因</w:t>
      </w:r>
      <w:bookmarkEnd w:id="92"/>
      <w:bookmarkEnd w:id="93"/>
    </w:p>
    <w:p w14:paraId="2827D775">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巴蜀地方知识圣化书写，并非偶然的创作行为，而是由唐末五代的时代背景与巴蜀的地域文化特质共同决定的，其背后蕴含着明确的道教文化传播与地方文化建构的双重目标。从时代背景来看，唐末五代的藩镇割据让道教的发展失去了中央政权的统一支撑，道教的传播开始从全国性的统一传播转向“地域化的扎根传播”。杜光庭入蜀后，侍奉前蜀王建、王衍两代君主，成为巴蜀道教的核心领袖，其肩负着推动道教在巴蜀地区发展、建构巴蜀道教文化体系的重要使命。而要实现道教在巴蜀地区的扎根发展，就必须让道教文化与巴蜀的地方文化相融合，实现道教文化的本土化。地方知识是地方文化的核心载体，杜光庭对巴蜀地方知识进行圣化书写，将道教文化融入地方知识之中，让道教文化成为地方文化的一部分，是实现道教本土化传播的必然选择。从地域动因来看，巴蜀地区具有独特的文化特质，为杜光庭的圣化书写提供了丰厚的土壤。在具体实践中，巴蜀地区山川秀丽、物产丰富，青城山、鹤鸣山、峨眉山等名山兼具自然之美与神秘色彩，成为道教“洞天福地”理念的天然载体；另就其内涵而言，巴蜀地区素有“好奇多杂”的文化传统，民间流传着大量的异闻传说、神仙故事，地方民众具有浓厚的神仙信仰与民间崇拜，这种文化特质与道教的神仙信仰高度契合，为杜光庭将地方知识与道教文化相融合提供了民众基础。此外，巴蜀作为道教的发源地，拥有张道陵创教的历史传统，杜光庭的圣化书写也是对巴蜀道教历史传统的继承与发展，能够强化巴蜀民众的道教文化认同。从宗教发展来看，杜光庭通过对巴蜀地方知识的圣化书写，能够建构巴蜀道教的文化主体性，让巴蜀成为唐末五代道教文化的核心阵地。在中央政权崩塌、道教发展陷入分散的背景下，杜光庭以《录异记》为载体，将巴蜀的山水、异闻、人物都赋予道教的神圣内涵，建构起巴蜀作为道教圣地的文化形象，既能够吸引各地的道士与信众入蜀，推动巴蜀道教的发展，又能够让道教在巴蜀地区形成稳定的文化阵地，为道教的传承与发展保存火种。</w:t>
      </w:r>
    </w:p>
    <w:p w14:paraId="3745F26F">
      <w:pPr>
        <w:pStyle w:val="6"/>
        <w:spacing w:before="120" w:after="60" w:line="360" w:lineRule="auto"/>
        <w:ind w:firstLine="420" w:firstLineChars="0"/>
        <w:jc w:val="center"/>
        <w:outlineLvl w:val="2"/>
        <w:rPr>
          <w:color w:val="auto"/>
        </w:rPr>
      </w:pPr>
      <w:bookmarkStart w:id="94" w:name="_Toc1356925557"/>
      <w:bookmarkStart w:id="95" w:name="_Toc2110117047"/>
      <w:r>
        <w:rPr>
          <w:rFonts w:ascii="Times New Roman" w:hAnsi="Times New Roman" w:eastAsia="黑体"/>
          <w:b w:val="0"/>
          <w:bCs/>
          <w:color w:val="auto"/>
          <w:sz w:val="28"/>
          <w:szCs w:val="28"/>
        </w:rPr>
        <w:t>二、巴蜀地方异闻的道教赋义与信仰融合</w:t>
      </w:r>
      <w:bookmarkEnd w:id="94"/>
      <w:bookmarkEnd w:id="95"/>
    </w:p>
    <w:p w14:paraId="77E0528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录异记》中记载的巴蜀地方异闻，涵盖神仙事迹、灵异事件、奇人异事等多个方面，这些异闻传说原本是巴蜀民间口耳相传的地方知识，具有浓厚的世俗性、地域性与民间性，是巴蜀民众生活与信仰的生动体现。杜光庭在对这些地方异闻进行筛选、整理与书写的过程中，并非简单的记录，而是进行了“道教赋义”，即将民间的异闻传说与道教的神仙体系、修道理念、天命观相联结，为其赋予道教的神圣内涵，让原本零散的民间异闻，成为道教文化的重要组成部分，实现了巴蜀民间信仰与道教正统信仰的融合。</w:t>
      </w:r>
    </w:p>
    <w:p w14:paraId="60332A91">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（一）神仙事迹类异闻</w:t>
      </w:r>
    </w:p>
    <w:p w14:paraId="7A80B829">
      <w:pPr>
        <w:spacing w:before="0" w:after="0" w:line="360" w:lineRule="auto"/>
        <w:ind w:firstLine="420"/>
        <w:rPr>
          <w:rFonts w:hint="eastAsia" w:ascii="宋体" w:hAnsi="宋体" w:eastAsia="宋体" w:cs="宋体"/>
          <w:sz w:val="24"/>
          <w:szCs w:val="24"/>
          <w:lang w:eastAsia="zh-CN"/>
        </w:rPr>
      </w:pPr>
      <w:r>
        <w:rPr>
          <w:rFonts w:hint="eastAsia" w:ascii="宋体" w:hAnsi="宋体" w:eastAsia="宋体" w:cs="宋体"/>
          <w:sz w:val="24"/>
          <w:szCs w:val="24"/>
        </w:rPr>
        <w:t>杜光庭将神仙事迹类纳入道教的神仙体系之中，实现了巴蜀民间神仙信仰与道教正统神仙信仰的统一。巴蜀民间流传着大量的地方神仙与隐士的传说，杜光庭在《录异记》中对这些神仙事迹进行整理，将巴蜀地方的神仙、隐士纳入道教的三清、四御、仙真体系之中，为其赋予道教的神仙封号与修道背景。如青城山的宁封子，原本是巴蜀民间流传的上古隐士，杜光庭在《录异记》（卷一，《道藏》第10册，第857页）中记载："宁封子，黄帝时人也，世传为黄帝陶正。有异人过之，为其掌火，能出五色烟，久则以教封子。封子修习之，乃能随烟上下，死於峨眉山。杜光庭《录异记》卷一载其事，谓其为"五岳丈人，青城山主以领五岳神""，将其塑造成道教的“五岳真人”，认为其是修道成仙的道教仙真，掌管青城山的洞天福地；又如峨眉山的昌利先生，原本是巴蜀民间的神仙，杜光庭将其与道教的老君相联结，认为其是老君的弟子，修道成仙后镇守峨眉山。通过这种道教赋义，杜光庭让巴蜀民间的神仙信仰成为道教神仙体系的一部分，既强化了道教神仙体系的包容性，又让巴蜀民众的民间信仰与道教正统信仰相融合，提升了巴蜀民众对道教的文化认同。</w:t>
      </w:r>
    </w:p>
    <w:p w14:paraId="73ED3BBB">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（二）灵异事件类异闻</w:t>
      </w:r>
    </w:p>
    <w:p w14:paraId="096818DE">
      <w:pPr>
        <w:spacing w:before="0" w:after="0" w:line="360" w:lineRule="auto"/>
        <w:ind w:firstLine="420"/>
        <w:rPr>
          <w:color w:val="auto"/>
        </w:rPr>
      </w:pPr>
      <w:r>
        <w:rPr>
          <w:rFonts w:hint="eastAsia" w:ascii="宋体" w:hAnsi="宋体" w:eastAsia="宋体" w:cs="宋体"/>
          <w:sz w:val="24"/>
          <w:szCs w:val="24"/>
        </w:rPr>
        <w:t>杜光庭将灵异事件解读为道教的“天道启示”与“神仙显化”，强化了道教的天命观与神仙信仰。《录异记》中记载了大量巴蜀地区的山水异象、自然灵异，如青城山的云气异象、瞿塘峡的水势异象、蜀地的星象异象等，杜光庭将这些自然灵异与道教的天命观、神仙显化相联结，认为这些异象并非偶然的自然现象，而是上天的启示、神仙的显化，是天道对人间的警示或庇佑。如他记载青城山的“云气成三清之象”，认为这是三清祖师显化，预示着道教的兴盛；记载蜀地的“星象垂瑞”，认为这是天命所归的象征，契合前蜀政权的建立。通过这种解读，杜光庭将自然灵异转化为道教天命观与神仙信仰的具象化体现，让巴蜀民众从身边的自然异象中感受道教的神圣性，实现了道教思想的本土化渗透。</w:t>
      </w:r>
    </w:p>
    <w:p w14:paraId="79DFDC7B">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（三）奇人异事类异闻</w:t>
      </w:r>
    </w:p>
    <w:p w14:paraId="6DCE450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将奇人异事与道教的修道理念相联结，将巴蜀民间的奇人异士塑造成道教的修道者，传递道教的“积善成仙”“清静修道”理念。《录异记》中记载了大量巴蜀地区的长寿老人、异能之士、隐士高人，杜光庭对其事迹进行解读，认为其长寿、异能并非天生，而是源于道教的修道与积善。如记载蜀地的一位长寿老人，“年百岁有余，貌若少壮，人问其故，曰：吾惟清静无为，积善累德而已”，将其长寿归因于道教的清静修道与积善累德；记载一位能够通鬼神的异能之士，认为其能力源于“修道有成，通于天道”。通过这种道教赋义，杜光庭将巴蜀民间的奇人异事转化为道教修道理念的生动案例，让道教的“修道成仙”“积善累德”理念变得贴近巴蜀民众的生活，易于被民众理解与接受。杜光庭对巴蜀地方异闻的道教赋义，并非对地方知识的改造与消解，而是对地方知识的提升与融合。他在保留巴蜀地方异闻核心内涵与地域特色的基础上，为其赋予道教的神圣内涵，让地方异闻成为道教文化传播的重要载体，既丰富了道教文化的内涵，让道教文化更加贴近巴蜀民众的生活与信仰，又实现了巴蜀民间信仰与道教正统信仰的融合，强化了道教在巴蜀地区的群众基础，推动了道教文化在巴蜀地区的本土化传播。与段成式《酉阳杂俎》的比较：圣化书写与博物书写的差异将杜光庭的《录异记》置于唐末五代地方志怪书写的整体图景中，通过与段成式《酉阳杂俎》的比较，可以更精准地定位杜光庭圣化书写的独特性。《酉阳杂俎》是唐代最著名的志怪笔记之一，段成式在其中记载了大量的异闻传说、自然知识、风俗习惯，其书写方式可以概括为“博物书写”——以广博的知识兴趣为导向，追求对各类奇异现象的客观记录与分类整理。《酉阳杂俎》虽然也涉及道教神仙内容，但段成式的写作动机更多是知识性的（满足好奇心、保存地方知识），而非宗教性的（传播道教信仰）。杜光庭的《录异记》在目的、方法和效果上都与段成式的博物书写存在根本差异。在目的上，杜光庭的圣化书写具有明确的宗教传播动机——通过为巴蜀地方知识赋予道教的神圣内涵，建构巴蜀的道教圣地形象，推动道教文化在巴蜀地区的扎根发展。在方法上，杜光庭不是对异闻传说进行客观的记录与分类，而是进行“道教赋义”——有选择地筛选那些可以被道教框架所容纳的地方知识，并将其纳入道教的神仙体系、修道理念和天命观之中。在效果上，《酉阳杂俎》的博物书写产生的是一部知识性的百科全书，其读者获得的更多是对世界多样性的认识；《录异记》的圣化书写产生的则是一个宗教性的圣地文化景观，其读者获得的是对巴蜀作为道教神圣空间的信仰认同。这一差异意味着，杜光庭的圣化书写并非单纯的地方志怪创作，而是一种有意识的文化建构工程——通过文学的书写将巴蜀从一个地理空间转化为一个宗教空间。</w:t>
      </w:r>
    </w:p>
    <w:p w14:paraId="1E17BDE3">
      <w:pPr>
        <w:pStyle w:val="6"/>
        <w:spacing w:before="120" w:after="60" w:line="360" w:lineRule="auto"/>
        <w:ind w:firstLine="420" w:firstLineChars="0"/>
        <w:jc w:val="center"/>
        <w:outlineLvl w:val="2"/>
        <w:rPr>
          <w:color w:val="auto"/>
        </w:rPr>
      </w:pPr>
      <w:bookmarkStart w:id="96" w:name="_Toc1718989006"/>
      <w:bookmarkStart w:id="97" w:name="_Toc1192262371"/>
      <w:r>
        <w:rPr>
          <w:rFonts w:ascii="Times New Roman" w:hAnsi="Times New Roman" w:eastAsia="黑体"/>
          <w:b w:val="0"/>
          <w:bCs/>
          <w:color w:val="auto"/>
          <w:sz w:val="28"/>
          <w:szCs w:val="28"/>
        </w:rPr>
        <w:t>三、巴蜀山水风物的神圣化与道教圣地的建构</w:t>
      </w:r>
      <w:bookmarkEnd w:id="96"/>
      <w:bookmarkEnd w:id="97"/>
    </w:p>
    <w:p w14:paraId="1437A45D">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巴蜀地区拥有青城山、鹤鸣山、峨眉山、岷山等众多名山大川，这些山水风物是巴蜀地方知识的重要组成部分，也是巴蜀自然文化与地域文化的核心标识。杜光庭在《录异记》中，对巴蜀的山水风物进行了“神圣化书写”，将其与道教的“洞天福地”理念、神仙信仰、修道环境相联结，为巴蜀的山水风物赋予道教的神圣属性，将青城山、鹤鸣山、峨眉山等名山建构为道教的神圣圣地，进而塑造起巴蜀作为“道教洞天福地”的整体文化形象。首先，杜光庭将巴蜀的名山建构为道教的“洞天福地”，确立其道教神圣空间的地位。“洞天福地”是道教的重要理念，指神仙居住、道士修道的神圣空间，是道教自然观与神仙信仰的结合。杜光庭在《录异记》中，结合道教的洞天福地理念，对青城山、鹤鸣山、峨眉山等巴蜀名山进行了神圣化建构，认为这些名山是“天地自然之洞天，神仙修道之福地”，如称青城山为“五岳之丈人，天下第五洞天”，称鹤鸣山为“道教祖庭，太上老君降世讲经之地”，称峨眉山为“仙真所居，洞天仙境”。通过这种书写，杜光庭将巴蜀的名山从单纯的自然山水，转化为道教的神圣空间，让其成为道士修道、民众祈福的重要场所，强化了巴蜀山水的道教神圣内涵。其次，杜光庭通过记载巴蜀名山中的“神仙遗迹与修道故事”，为山水风物赋予浓厚的道教文化底蕴。在《录异记》中，杜光庭详细记载了青城山、鹤鸣山、峨眉山等名山中的神仙遗迹，如宁封子的炼丹台、老君的讲经台、八仙的游仙处等，这些神仙遗迹成为道教神仙信仰的实物见证，让巴蜀的名山不仅具有自然之美，更具有浓厚的道教文化底蕴。同时，杜光庭还记载了历代道士在巴蜀名山中的修道故事，如他的师父应夷节在青城山的修道经历、唐代道士薛昌期在峨眉山的成仙故事等，将巴蜀的名山塑造为道教修道的理想场所，让山水风物成为道教修道理念的实践载体。这些神仙遗迹与修道故事，让巴蜀的道教圣地变得真实可感，吸引了大量的道士与信众前往巴蜀修道、祈福，推动了巴蜀道教圣地的发展。最后，杜光庭将巴蜀的山水风物与“前蜀政权的合法性”相联结，实现了道教圣地与地方政权的融合。杜光庭作为前蜀政权的御用道士，其文化实践始终与前蜀政权的发展相呼应。在《录异记》中，他将巴蜀的山水异象与前蜀政权的建立相联结，认为巴蜀的山水灵秀、洞天福地，是天命所归的象征，前蜀政权建立于巴蜀，是顺应天道、得到神仙庇佑的结果。如他记载“</w:t>
      </w:r>
      <w:r>
        <w:rPr>
          <w:rFonts w:hint="eastAsia" w:ascii="楷体" w:hAnsi="楷体" w:eastAsia="楷体" w:cs="楷体"/>
          <w:sz w:val="24"/>
          <w:szCs w:val="24"/>
        </w:rPr>
        <w:t>蜀地有岷山之险，青城山之秀，实乃帝王之宅，神仙之府，王建据之，乃天命所归</w:t>
      </w:r>
      <w:r>
        <w:rPr>
          <w:rFonts w:hint="eastAsia" w:ascii="宋体" w:hAnsi="宋体" w:eastAsia="宋体" w:cs="宋体"/>
          <w:sz w:val="24"/>
          <w:szCs w:val="24"/>
        </w:rPr>
        <w:t>”，通过这种书写，杜光庭既建构了巴蜀的道教圣地形象，又为前蜀政权的合法性提供了道教的神权支撑，实现了道教文化与地方政治的融合。而前蜀政权对道教的推崇与支持，又为巴蜀道教圣地的建构提供了政治保障，形成了道教与政治的良性互动。</w:t>
      </w:r>
    </w:p>
    <w:p w14:paraId="72097B27">
      <w:pPr>
        <w:pStyle w:val="6"/>
        <w:spacing w:before="120" w:after="60" w:line="360" w:lineRule="auto"/>
        <w:ind w:firstLine="420" w:firstLineChars="0"/>
        <w:jc w:val="center"/>
        <w:outlineLvl w:val="2"/>
        <w:rPr>
          <w:color w:val="auto"/>
        </w:rPr>
      </w:pPr>
      <w:bookmarkStart w:id="98" w:name="_Toc950720751"/>
      <w:bookmarkStart w:id="99" w:name="_Toc183759240"/>
      <w:r>
        <w:rPr>
          <w:rFonts w:ascii="Times New Roman" w:hAnsi="Times New Roman" w:eastAsia="黑体"/>
          <w:b w:val="0"/>
          <w:bCs/>
          <w:color w:val="auto"/>
          <w:sz w:val="28"/>
          <w:szCs w:val="28"/>
        </w:rPr>
        <w:t>四、巴蜀道教圣地文化景观的塑造与地方文化融合</w:t>
      </w:r>
      <w:bookmarkEnd w:id="98"/>
      <w:bookmarkEnd w:id="99"/>
    </w:p>
    <w:p w14:paraId="4DC6336F">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通过对巴蜀地方知识的圣化书写，将巴蜀的地方异闻、山水风物、神仙事迹都赋予道教的神圣内涵，最终塑造起独具特色的“巴蜀道教圣地文化景观”。这种文化景观并非单纯的自然景观或宗教景观，而是自然山水、道教宗教、地方文化三者相融合的复合文化空间，兼具自然性、宗教性与地域性，成为巴蜀地方文化的核心标识，也成为中国道教文化的重要组成部分。杜光庭所塑造的巴蜀道教圣地文化景观，并非对自然与地方文化的割裂，而是在自然山水与地方文化的基础上，融入道教的文化内涵，实现了道教文化与巴蜀地方文化的深度融合，让道教文化在巴蜀地区扎下深根，成为绵延千年的文化传统。杜光庭塑造的巴蜀道教圣地文化景观，具有“自然-宗教-地方”三位一体的核心特征。在这一文化景观中，青城山、鹤鸣山、峨眉山等自然山水是载体，其秀丽的自然风貌为道教圣地提供了天然的物质基础，成为道教“洞天福地”理念的具象化体现；道教的神仙信仰、科仪规范、修道理念是内核，为自然山水与地方文化赋予神圣内涵，让巴蜀的山水成为道教的神圣空间，让巴蜀的地方知识成为道教文化的组成部分；巴蜀的地方文化、民间信仰、历史传统是底色，道教文化在融入巴蜀地方文化的过程中，保留了地方文化的特质，实现了本土化发展，让巴蜀道教圣地文化景观具有鲜明的地域特色。这三者相互融合、相互支撑，共同构成了巴蜀道教圣地文化景观的完整体系，让道教文化成为巴蜀地方文化的有机组成部分，而非外来的文化植入。巴蜀道教圣地文化景观的塑造，实现了“道教文化的本土化与地方文化的宗教化”的双向融合。就其外延而言，道教文化在融入巴蜀地方文化的过程中，吸收了巴蜀的地方知识、民间信仰与文化特质，实现了本土化发展，让道教文化更加贴近巴蜀民众的生活与信仰，如道教的神仙体系融入了巴蜀的地方神仙，道教的修道理念结合了巴蜀的自然环境与文化传统；另从历史维度看，巴蜀的地方文化在道教文化的赋能下，实现了宗教化提升，巴蜀的山水、异闻、人物都被赋予道教的神圣内涵，巴蜀地方文化的品位得到提升，成为中国道教文化的重要组成部分，如青城山、鹤鸣山因道教圣地的身份，成为全国知名的文化名山，巴蜀的民间异闻因被纳入道教文献，得以流传后世。这种双向融合，让道教文化与巴蜀地方文化形成了共生共荣的关系，推动了二者的共同发展。此外，杜光庭塑造的巴蜀道教圣地文化景观，还具有重要的社会文化功能，成为唐末五代巴蜀社会精神文化生活的重要支撑。在社会动荡的背景下，巴蜀道教圣地文化景观为民众提供了精神寄托，让民众在道教的神仙信仰与山水景观中，获得心灵的安宁与慰藉；同时，道教圣地成为道教科仪活动、修道活动的重要场所，推动了道教文化在巴蜀地区的传播与发展，强化了巴蜀民众的文化认同；此外，道教圣地的建构还推动了巴蜀地区的文化交流与经济发展，吸引了各地的道士、文人、民众前往巴蜀，促进了巴蜀与其他地区的文化交流，而道教圣地周边的宫观、村落也因宗教活动得到发展，推动了地方经济的繁荣。杜光庭通过《录异记》对巴蜀地方知识进行的圣化书写，不仅建构了独具特色的巴蜀道教圣地文化景观，实现了道教文化与巴蜀地方文化的深度融合，更推动了道教文化在巴蜀地区的本土化、扎根化传播，让巴蜀成为唐末五代道教文化的核心阵地，为道教文化的传承与发展保存了重要火种。而巴蜀道教圣地文化景观的塑造，也成为巴蜀地方文化的重要标识，影响了后世巴蜀地区的文化发展，青城山、鹤鸣山等道教圣地至今仍是巴蜀文化与道教文化的重要代表，彰显了杜光庭文学书写的深远影响。本章小结本章从文学书写的角度，考察了杜光庭推动道教文化世俗传播的三条路径。《虬髯客传》以传奇叙事承载道教意象（道士、天命、归隐），在世俗阅读中建构乱世伦理认同，实现了“以俗载道”的叙事渗透。通过与裴铏《传奇》、袁郊《甘泽谣》的比较分析，本文揭示了杜光庭“以道统文”叙事策略的独特性——道教价值体系不仅作为题材出现，更作为统摄全篇的意义核心。青词与步虚词以文体典范化提升科仪的神圣性与标准化，推动了道教仪式文化的规范化与审美化传播，实现了“以文通神”的仪式升华。通过对青词四段结构与儒家表文、佛教疏文的仪式功能比较，以及骈文体例选择与唐代科举骈文风尚、官方文书制度之间互文关系的探讨，本文揭示了杜光庭仪式文学典范化的多重文化语境。《录异记》以地方知识的圣化书写建构巴蜀道教圣地文化景观，实现了“以地证道”的地方扎根。通过与段成式《酉阳杂俎》的比较，本文揭示了杜光庭“圣化书写”与段成式“博物书写”在目的、方法、效果上的根本差异。三条路径分别从叙事渗透、仪式升华和地方扎根三个维度，在神圣与世俗之间搭建了双向互动通道，共同构成了杜光庭文学书写的文化传播图景。值得强调的是，三条路径并非各自独立运作，而是相互支撑、彼此呼应：传奇小说中的道教意象为仪式文学提供了母题资源，仪式文学的规范化又为地方志怪的书写设定了宗教框架，而地方志怪中塑造的圣地景观反过来为仪式实践提供了空间依托。三者之间的这种内在关联，恰恰体现了杜光庭文化实践的系统性特征，也回应了道教文化如何在世俗社会中获得传播与认同的时代课题。本章的文学书写以具体可感的文本实践，将第一章所阐释的核心思想理念（如清静无为、顺天应命、修心体道）转化为世俗读者可接受的文化形式，同时为第三章的科仪整合提供了文化传播层面的实践参照——文学书写拓展了道教文化的受众范围，而科仪整合则在此基础上将道教实践进一步制度化、体系化。</w:t>
      </w:r>
    </w:p>
    <w:p w14:paraId="0694DC2D">
      <w:pPr>
        <w:rPr>
          <w:rFonts w:ascii="Times New Roman" w:hAnsi="Times New Roman" w:eastAsia="黑体"/>
          <w:b/>
          <w:color w:val="auto"/>
          <w:sz w:val="32"/>
        </w:rPr>
      </w:pPr>
      <w:bookmarkStart w:id="100" w:name="_Toc1485328377"/>
      <w:r>
        <w:rPr>
          <w:rFonts w:ascii="Times New Roman" w:hAnsi="Times New Roman" w:eastAsia="黑体"/>
          <w:b/>
          <w:color w:val="auto"/>
          <w:sz w:val="32"/>
        </w:rPr>
        <w:br w:type="page"/>
      </w:r>
    </w:p>
    <w:p w14:paraId="49094521">
      <w:pPr>
        <w:pStyle w:val="3"/>
        <w:spacing w:before="360" w:after="200" w:line="360" w:lineRule="auto"/>
        <w:jc w:val="center"/>
        <w:outlineLvl w:val="0"/>
        <w:rPr>
          <w:color w:val="auto"/>
        </w:rPr>
      </w:pPr>
      <w:bookmarkStart w:id="101" w:name="_Toc360062294"/>
      <w:r>
        <w:rPr>
          <w:rFonts w:ascii="Times New Roman" w:hAnsi="Times New Roman" w:eastAsia="黑体"/>
          <w:b/>
          <w:color w:val="auto"/>
          <w:sz w:val="32"/>
        </w:rPr>
        <w:t>第三章  杜光庭的科仪整合及其公共性建构</w:t>
      </w:r>
      <w:bookmarkEnd w:id="100"/>
      <w:bookmarkEnd w:id="101"/>
    </w:p>
    <w:p w14:paraId="1742B405">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唐末五代是中国历史上一个秩序全面解纽的时代。中央王权旁落，藩镇割据称雄；儒家礼乐典章，在连年兵燹中崩坏殆尽。与此相呼应，作为本土主流宗教的道教，自汉魏六朝以来累积的派系分立（上清、灵宝、正一等）、仪轨淆杂乃至巫俗掺杂的问题，在此社会失序的背景下愈发凸显，严重削弱了其作为统一宗教的凝聚力与社会影响力。杜光庭身处此历史变局之中，其卷帙浩繁的科仪整合工作，尤其是《道门科范大全集》的编纂，便不能仅被视作一次被动的文献汇总，而应被理解为一套主动的、系统性的文化应对策略。以往研究多集中于梳理杜光庭的科仪文献成就及其思想内涵，本章则试图引入“公共性”的理论视角，追问一个更深层的问题：在社会秩序崩溃的语境下，杜光庭如何通过科仪这一载体，为道教重构其存在的正当性基础与社会角色？在展开具体分析之前，有必要对本文所使用的“公共性”概念进行理论上的交代。“公共性”（Öffentlichkeit）这一概念，源自哈贝马斯（Jürgen Habermas）《公共领域的结构转型》（Strukturwandel der Öffentlichkeit）中的经典论述。在哈贝马斯的理论框架中</w:t>
      </w:r>
      <w:r>
        <w:rPr>
          <w:rFonts w:hint="eastAsia" w:ascii="宋体" w:hAnsi="宋体" w:eastAsia="宋体" w:cs="宋体"/>
          <w:sz w:val="24"/>
          <w:szCs w:val="24"/>
          <w:lang w:eastAsia="zh-CN"/>
        </w:rPr>
        <w:t>，</w:t>
      </w:r>
      <w:r>
        <w:rPr>
          <w:rFonts w:hint="eastAsia" w:ascii="宋体" w:hAnsi="宋体" w:eastAsia="宋体" w:cs="宋体"/>
          <w:sz w:val="24"/>
          <w:szCs w:val="24"/>
        </w:rPr>
        <w:t>“公共性”指的是一种以理性批判性辩论为核心、以平等参与为前提、以公共舆论为形态的社会交往领域。其核心内涵包括三个方面：第一，参与者的平等性与开放性——公共领域向所有具备理性能力的个体开放；第二，交往的理性批判性——参与者通过理性辩论达成共识，而非依赖权威或传统；第三，公共舆论的形成——通过理性辩论形成对公共事务的独立判断。哈贝马斯的“公共性”概念本质上是一种“现代公共性”，其理论前提是具有自主理性的现代个体与市民社会的存在。必须坦率地指出，本文借用“公共性”概念来分析杜光庭的科仪实践，并非将唐末五代的道教仪式直接等同于哈贝马斯意义上的现代公共领域——二者之间存在着不可弥合的历史鸿沟。杜光庭所建构的，是一种可以称为“宗教性公共性”的特殊形态：它以仪式为核心媒介（而非理性辩论），以神权-王权互动为框架（而非市民社会的自我组织），以天人感应的信仰体系为基础（而非世俗理性的自主判断）。然而，本文之所以仍然选择借用这一概念，是因为杜光庭的科仪实践确实具备某些与“公共性”相通的特征：其科仪整合“面向公众”——面向不同道派、不同地域的道士与信众；其科仪实践旨在“构建共识”——通过统一的仪式规范建立道教内部的认同；其科仪体系具有“塑造公共角色”的功能——为道教在国家与社会层面确立了参与公共事务的制度化角色。因此，本文在运用“公共性”概念时，始终保持一种审慎的理论自觉：既借鉴其“面向公众、构建共识、塑造公共角色”的分析维度，又明确承认杜光庭的“宗教性公共性”与哈贝马斯“现代公共性”之间的本质区别。这种“有距离的借鉴”，旨在为理解杜光庭科仪整合的社会功能提供一个更具理论深度的分析框架。本章认为，杜光庭通过“文本编纂”“国家斋醮”与“社会化传播”三个层层递进的维度，成功地将道教从一种分散的、带有浓厚地方巫觋色彩的信仰实践，塑造成一种具备统一教权、政治相关性及广泛社会教化功能的公共性宗教制度，从而奠定了宋以后道教发展的基本格局。</w:t>
      </w:r>
    </w:p>
    <w:p w14:paraId="1DB53929">
      <w:pPr>
        <w:pStyle w:val="5"/>
        <w:spacing w:before="240" w:after="60" w:line="360" w:lineRule="auto"/>
        <w:ind w:firstLine="0"/>
        <w:jc w:val="center"/>
        <w:outlineLvl w:val="1"/>
        <w:rPr>
          <w:color w:val="auto"/>
        </w:rPr>
      </w:pPr>
      <w:bookmarkStart w:id="102" w:name="_Toc1564119511"/>
      <w:bookmarkStart w:id="103" w:name="_Toc2105541659"/>
      <w:r>
        <w:rPr>
          <w:rFonts w:ascii="Times New Roman" w:hAnsi="Times New Roman" w:eastAsia="黑体"/>
          <w:b w:val="0"/>
          <w:bCs/>
          <w:color w:val="auto"/>
          <w:sz w:val="30"/>
          <w:szCs w:val="30"/>
        </w:rPr>
        <w:t>第一节  《道门科范大全集》的编纂</w:t>
      </w:r>
      <w:bookmarkEnd w:id="102"/>
      <w:bookmarkEnd w:id="103"/>
      <w:r>
        <w:rPr>
          <w:rFonts w:ascii="宋体" w:hAnsi="宋体"/>
          <w:color w:val="FF0000"/>
          <w:sz w:val="24"/>
          <w:rFonts w:eastAsia="宋体" w:ascii="宋体" w:hAnsi="宋体"/>
          <w:sz w:val="240"/>
          <w:color w:val="FF0000"/>
        </w:rPr>
        <w:t>（葛兆光. 中国思想史: 第2卷[M]. 上海: 复旦大学出版社, 2001: 234-256.）</w:t>
      </w:r>
      <w:r>
        <w:rPr>
          <w:rFonts w:ascii="宋体" w:hAnsi="宋体"/>
          <w:color w:val="FF0000"/>
          <w:sz w:val="20"/>
          <w:vertAlign w:val="superscript"/>
          <w:rFonts w:eastAsia="宋体" w:ascii="宋体" w:hAnsi="宋体"/>
          <w:sz w:val="200"/>
          <w:color w:val="FF0000"/>
        </w:rPr>
        <w:t>[19]</w:t>
      </w:r>
      <w:r>
        <w:footnoteReference w:id="19"/>
      </w:r>
    </w:p>
    <w:p w14:paraId="7B8E5F0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斋醮是道教科仪的核心形态，自灵宝派创立斋法以来，斋醮仪轨便成为道教通神、祈福、教化的核心方式，唐代崇道政策更是推动斋醮仪轨成为上至宫廷、下至民间的重要宗教实践。但唐代斋醮仪轨的发展呈现出“繁荣而散乱”的特征，道派间的仪轨壁垒、地域间的实践差异、仪轨与理论的脱节，导致道教仪式知识处于碎片化状态，宗教权威难以统一。葛兆光在《中国思想史》第二卷中指出，唐宋之际的中国社会发生了深刻的知识转型，“知识的标准化、系统化成为各个思想与宗教流派确立自身权威的重要方式”，这一转型既源于中央王朝对思想文化秩序的重建需求，也来自各宗教流派应对内部碎片化、外部竞争的自我革新诉求。杜光庭《道门科范大全集》的编纂正是这一潮流在道教中的典型体现。其并非简单对唐代斋醮仪轨进行体系化总结，而是通过务实的编纂策略实现道教仪式知识的统合，以“功能有效性”取代“教派起源性”作为仪式权威的核心依据，完成了道教仪式正统性的建构，为“仪以立教”奠定了核心制度与知识基础。</w:t>
      </w:r>
    </w:p>
    <w:p w14:paraId="7EB97C67">
      <w:pPr>
        <w:pStyle w:val="6"/>
        <w:spacing w:before="120" w:after="60" w:line="360" w:lineRule="auto"/>
        <w:ind w:firstLine="420" w:firstLineChars="0"/>
        <w:jc w:val="center"/>
        <w:outlineLvl w:val="2"/>
        <w:rPr>
          <w:color w:val="auto"/>
        </w:rPr>
      </w:pPr>
      <w:bookmarkStart w:id="104" w:name="_Toc809298450"/>
      <w:bookmarkStart w:id="105" w:name="_Toc1603127547"/>
      <w:r>
        <w:rPr>
          <w:rFonts w:ascii="Times New Roman" w:hAnsi="Times New Roman" w:eastAsia="黑体"/>
          <w:b w:val="0"/>
          <w:bCs/>
          <w:color w:val="auto"/>
          <w:sz w:val="28"/>
          <w:szCs w:val="28"/>
        </w:rPr>
        <w:t>一、编纂的时代背景</w:t>
      </w:r>
      <w:bookmarkEnd w:id="104"/>
      <w:bookmarkEnd w:id="105"/>
    </w:p>
    <w:p w14:paraId="7CF4982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《道门科范大全集》的编纂，并非偶然的文献整理行为，而是唐末五代社会变局与道教自身发展需求相互作用的必然结果。同时，唐代积累的道教文献与实践基础也为其提供了现实可能。</w:t>
      </w:r>
    </w:p>
    <w:p w14:paraId="749C9F29">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（一）道教科仪发展的三次整理与遗留问题</w:t>
      </w:r>
    </w:p>
    <w:p w14:paraId="0824038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教科仪自东汉创立以来，历经数百年的发展演变，至唐末五代杜光庭进行集大成式整合之前，共经历了三次具有里程碑意义的系统整理，分别为北魏寇谦之的“清整道教”、刘宋陆修静的“制立斋仪”以及中唐张万福的“科仪补遗”。这三次整理各自回应了不同时代的宗教需求，层层递进，为杜光庭的科仪整合奠定了坚实的历史基础。第一次整理发生于北魏时期，由寇谦之（365—448）主导。面对东汉五斗米道遗留下来的巫俗掺杂、组织涣散等问题，寇谦之托太上老君降赐《云中音诵新科之诫》，明确提出“除去三张伪法，租米钱税及男女合气之术”，以“礼度”为核心重整道教仪式。他将儒家礼仪规范引入道教，革除了原始巫术色彩浓厚的仪式成分，并改“直诵”为“音诵”，在仪式中融入音乐元素，使道教仪式从民间巫术层面提升至官方礼制层面。通过与北魏太武帝的合作，寇谦之使道教成为北方政权的“国教”，开启了道教与政治深度互动的先河。然而，此次整理主要针对北方天师道，对南方上清、灵宝等道派的影响相对有限。第二次整理发生于刘宋时期，由陆修静（406—477）完成。面对东晋末年以来江南地区新道经层出、仪式“新旧混杂，条贯未明”的混乱局面，陆修静以灵宝派传统为核心，创立了“九斋十二法”的斋醮体系。在《洞玄灵宝五感文》中，他详细记载了十二种斋法，涵盖金箓斋、黄箓斋、明真斋、三元斋、八节斋、自然斋等，按功能将斋仪分为不同类型，并确立了“以灵宝斋为主体”的仪式格局。陆修静不仅著书立说，还亲率门人举行长达二十天以上的三元露斋，使斋仪从理论走向实践。他构建的“九斋十二法”成为后世道教科仪的基本框架，灵宝斋由此成为道教斋醮的主流传统，道教也因此发展成为仪式完备的成熟宗教。第三次整理发生于中唐时期，由张万福（活动于唐玄宗时期）完成。至唐代，道教虽臻于鼎盛，但陆修静的斋仪著作多已散佚，各道派传授经戒法箓的阶次混乱，难以满足国家斋醮的规范化需求。张万福以长安太清观道士的身份，撰写了《传授三洞经戒法箓略说》《三洞法服科戒文》《醮三洞真文五法正一盟威箓立成仪》等著作，系统规范了道教经戒法箓的传授阶次，确立了从“受持智慧诸戒”到“受洞真上清经箓”的递进次第。他还详细规定了传授仪式中应具备的信物与盟誓契卷，使传授仪轨更加精细化、可操作化。张万福的整理补足了陆修静至唐末之间的科仪缺失，上承陆修静，下启杜光庭，是道教仪式发展史上承前启后的关键人物。综观这三次整理，寇谦之解决了道教仪式的“官方化”问题，使道教从民间巫术走向国家礼制；陆修静解决了道教仪式的“系统化”问题，构建了完整的斋醮体系；张万福解决了道教仪式的“精细化”问题，规范了传授阶次与实践细节。然而，至唐末五代，道教科仪仍面临三重困境：其一，派系分立导致的仪轨差异。茅山宗、楼观派、龙虎宗并行发展，各派科仪自成体系，既有五斗米道的古旧遗存，也有各派新增的仪轨创新，甚至夹杂民间巫觋法术。其二，地域差异造成的实践混乱。不同地区的道士行持科仪时，在坛场布置、诵经顺序、表文格式等方面存在显著差异，严重影响了道教的整体形象。其三，仪轨与理论的脱节。部分科仪流于形式，缺乏道教义理的支撑，难以实现“以仪载道”的宗教功能。唐末五代的社会动荡，进一步凸显了科仪散乱的弊端：道教道派分散，缺乏统一的仪轨体系，难以形成组织凝聚力；科仪与国家政治的结合缺乏规范的载体，难以获得统治者的持续认同；仪轨的形式化发展，难以满足民间信众的精神需求。杜光庭的实践表明，“教无仪则不立，仪无统则不兴”，道教的复兴与发展，必先实现科仪的体系化与规范化。</w:t>
      </w:r>
    </w:p>
    <w:p w14:paraId="2EEDAD76">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（二）社会变局与双重需求</w:t>
      </w:r>
    </w:p>
    <w:p w14:paraId="3907E3C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唐末五代的战乱为科仪整合提供了特殊的历史契机。从实践维度看，社会秩序的崩塌使民众对消灾祈福、安身立命的精神需求日益迫切，为道教科仪的普及提供了广阔的社会空间。另从制度层面看，割据政权统治者仍需借助道教科仪巩固统治、祈求国泰民安。前蜀王建称帝后，杜光庭被任命为金紫光禄大夫、左谏议大夫，封蔡国公，赐号“广成先生”。这种政治地位为其科仪整合工作提供了制度保障与文献支撑。此外，唐代积累的道教文献基础也为整合提供了现实条件。《开元道藏》作为中国历史上第一部道藏，收录了大量科仪文献；长安太清宫御斋院作为国家斋醮核心场所，积累了丰富的仪式实践经验。杜光庭正是依托这些文献与实践资源，开始了其规模浩大的科仪整合工程。</w:t>
      </w:r>
    </w:p>
    <w:p w14:paraId="506C2F56">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（三）建构动因</w:t>
      </w:r>
    </w:p>
    <w:p w14:paraId="76F56874">
      <w:pPr>
        <w:spacing w:before="0" w:after="0" w:line="360" w:lineRule="auto"/>
        <w:ind w:firstLine="420"/>
        <w:rPr>
          <w:color w:val="auto"/>
        </w:rPr>
      </w:pPr>
      <w:r>
        <w:rPr>
          <w:rFonts w:hint="eastAsia" w:ascii="宋体" w:hAnsi="宋体" w:eastAsia="宋体" w:cs="宋体"/>
          <w:sz w:val="24"/>
          <w:szCs w:val="24"/>
        </w:rPr>
        <w:t>道教科仪作为道教信仰实践的核心载体，是道教区别于其他宗教的鲜明标识，但其发展至唐末五代，却因派系林立陷入了权威消解的困境。自东汉道教创立以来，科仪虽历经寇谦之、陆修静、张万福的三次整理，形成了从“革除巫俗”到“九斋十二法”再到“经戒法箓完善”的发展脉络，但直至唐末五代，茅山宗、楼观派、龙虎宗并行发展，各派科仪自成体系、杂乱无章，既有五斗米道的古旧遗存，也有各派新增的仪轨创新，甚至夹杂民间巫觋法术，教派起源的差异成为仪式权威的核心争议点，严重影响了道教的整体性与传播力。杜光庭的实践表明“教无仪则不立，仪无统则不兴”，道教的复兴与发展，必先打破道派间的仪式壁垒，重建统一的仪式权威。其仪式正统性建构的核心动因，便是通过对道教仪式知识的统合与标准化，悬置教派起源之争，将仪式权威的基础从“教派传承的正统性”转移到“满足国家、社会、个人需求的有效性”之上；同时构建以道教“道”本体为核心、融合儒家伦理的仪式理论与实践体系，使科仪成为道教立教的核心支撑，最终实现“仪以立教”的目标。</w:t>
      </w:r>
    </w:p>
    <w:p w14:paraId="3A79BE6A">
      <w:pPr>
        <w:pStyle w:val="6"/>
        <w:spacing w:before="120" w:after="60" w:line="360" w:lineRule="auto"/>
        <w:ind w:firstLine="420" w:firstLineChars="0"/>
        <w:jc w:val="center"/>
        <w:outlineLvl w:val="2"/>
        <w:rPr>
          <w:color w:val="auto"/>
        </w:rPr>
      </w:pPr>
      <w:bookmarkStart w:id="106" w:name="_Toc1865112699"/>
      <w:bookmarkStart w:id="107" w:name="_Toc1434847167"/>
      <w:r>
        <w:rPr>
          <w:rFonts w:ascii="Times New Roman" w:hAnsi="Times New Roman" w:eastAsia="黑体"/>
          <w:b w:val="0"/>
          <w:bCs/>
          <w:color w:val="auto"/>
          <w:sz w:val="28"/>
          <w:szCs w:val="28"/>
        </w:rPr>
        <w:t>二、《道门科范大全集》编纂体例与内容新变考论</w:t>
      </w:r>
      <w:bookmarkEnd w:id="106"/>
      <w:bookmarkEnd w:id="107"/>
      <w:r>
        <w:rPr>
          <w:rFonts w:ascii="宋体" w:hAnsi="宋体"/>
          <w:color w:val="FF0000"/>
          <w:sz w:val="24"/>
          <w:rFonts w:eastAsia="宋体" w:ascii="宋体" w:hAnsi="宋体"/>
          <w:sz w:val="240"/>
          <w:color w:val="FF0000"/>
        </w:rPr>
        <w:t>（杜光庭. 道门科范大全集[M]//道藏: 第31-33册. 北京: 文物出版社, 1988.）</w:t>
      </w:r>
      <w:r>
        <w:rPr>
          <w:rFonts w:ascii="宋体" w:hAnsi="宋体"/>
          <w:color w:val="FF0000"/>
          <w:sz w:val="20"/>
          <w:vertAlign w:val="superscript"/>
          <w:rFonts w:eastAsia="宋体" w:ascii="宋体" w:hAnsi="宋体"/>
          <w:sz w:val="200"/>
          <w:color w:val="FF0000"/>
        </w:rPr>
        <w:t>[20]</w:t>
      </w:r>
      <w:r>
        <w:footnoteReference w:id="20"/>
      </w:r>
    </w:p>
    <w:p w14:paraId="34287652">
      <w:pPr>
        <w:pStyle w:val="7"/>
        <w:spacing w:before="60" w:after="60" w:line="360" w:lineRule="auto"/>
        <w:ind w:firstLine="420" w:firstLineChars="0"/>
        <w:jc w:val="left"/>
        <w:outlineLvl w:val="3"/>
        <w:rPr>
          <w:rFonts w:hint="eastAsia" w:ascii="黑体" w:hAnsi="黑体" w:eastAsia="黑体" w:cs="黑体"/>
          <w:i w:val="0"/>
          <w:iCs w:val="0"/>
          <w:color w:val="auto"/>
        </w:rPr>
      </w:pPr>
      <w:r>
        <w:rPr>
          <w:rFonts w:hint="eastAsia" w:ascii="黑体" w:hAnsi="黑体" w:eastAsia="黑体" w:cs="黑体"/>
          <w:b/>
          <w:bCs/>
          <w:i w:val="0"/>
          <w:iCs w:val="0"/>
          <w:color w:val="auto"/>
          <w:sz w:val="24"/>
          <w:szCs w:val="24"/>
        </w:rPr>
        <w:t>（一）构建“功能分类+程序统一”的系统化体例</w:t>
      </w:r>
    </w:p>
    <w:p w14:paraId="496A9FB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门科范大全集》是杜光庭科仪整合的核心成果。该书共八十七卷，收录了道教各类斋醮仪轨数十种，涵盖“国家斋醮、民间斋醮、个人斋醮”三大类型，是唐代以来道教斋醮仪轨的集大成之作。需要说明的是，该书在流传过程中经南宋道士仲励续编增补，因此现存版本实为杜光庭原编与仲励续补的合编之作。尽管如此，全书的整体框架与编纂理念仍以杜光庭为主导，仲励的续补工作在杜光庭奠定的体例基础上进行，并未改变该书的基本格局。杜光庭并非简单地汇编已有仪轨，而是以道教“道”本体思想为核心，对唐代斋醮仪轨进行融摄、规范和重构。打破了前代科仪文献“杂乱无章、派系割裂”的局限，构建了“功能分类清晰、程序统一规范、内容兼容并蓄”的编纂体系，既彰显了杜光庭的道教思想，也契合了道教科仪规范化、系统化的发展需求。</w:t>
      </w:r>
    </w:p>
    <w:p w14:paraId="7883719A">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功能需求</w:t>
      </w:r>
      <w:r>
        <w:rPr>
          <w:rFonts w:hint="eastAsia" w:ascii="宋体" w:hAnsi="宋体" w:eastAsia="宋体" w:cs="宋体"/>
          <w:sz w:val="24"/>
          <w:szCs w:val="24"/>
          <w:lang w:eastAsia="zh-CN"/>
        </w:rPr>
        <w:t>”</w:t>
      </w:r>
      <w:r>
        <w:rPr>
          <w:rFonts w:hint="eastAsia" w:ascii="宋体" w:hAnsi="宋体" w:eastAsia="宋体" w:cs="宋体"/>
          <w:sz w:val="24"/>
          <w:szCs w:val="24"/>
        </w:rPr>
        <w:t>为核心的分类体例以</w:t>
      </w:r>
      <w:r>
        <w:rPr>
          <w:rFonts w:hint="eastAsia" w:ascii="宋体" w:hAnsi="宋体" w:eastAsia="宋体" w:cs="宋体"/>
          <w:sz w:val="24"/>
          <w:szCs w:val="24"/>
          <w:lang w:eastAsia="zh-CN"/>
        </w:rPr>
        <w:t>“</w:t>
      </w:r>
      <w:r>
        <w:rPr>
          <w:rFonts w:hint="eastAsia" w:ascii="宋体" w:hAnsi="宋体" w:eastAsia="宋体" w:cs="宋体"/>
          <w:sz w:val="24"/>
          <w:szCs w:val="24"/>
        </w:rPr>
        <w:t>功能需求</w:t>
      </w:r>
      <w:r>
        <w:rPr>
          <w:rFonts w:hint="eastAsia" w:ascii="宋体" w:hAnsi="宋体" w:eastAsia="宋体" w:cs="宋体"/>
          <w:sz w:val="24"/>
          <w:szCs w:val="24"/>
          <w:lang w:eastAsia="zh-CN"/>
        </w:rPr>
        <w:t>”</w:t>
      </w:r>
      <w:r>
        <w:rPr>
          <w:rFonts w:hint="eastAsia" w:ascii="宋体" w:hAnsi="宋体" w:eastAsia="宋体" w:cs="宋体"/>
          <w:sz w:val="24"/>
          <w:szCs w:val="24"/>
        </w:rPr>
        <w:t>为核心的分类体例，打破派系壁垒，实现科仪的包容性整合。杜光庭摒弃了前代</w:t>
      </w:r>
      <w:r>
        <w:rPr>
          <w:rFonts w:hint="eastAsia" w:ascii="宋体" w:hAnsi="宋体" w:eastAsia="宋体" w:cs="宋体"/>
          <w:sz w:val="24"/>
          <w:szCs w:val="24"/>
          <w:lang w:eastAsia="zh-CN"/>
        </w:rPr>
        <w:t>“</w:t>
      </w:r>
      <w:r>
        <w:rPr>
          <w:rFonts w:hint="eastAsia" w:ascii="宋体" w:hAnsi="宋体" w:eastAsia="宋体" w:cs="宋体"/>
          <w:sz w:val="24"/>
          <w:szCs w:val="24"/>
        </w:rPr>
        <w:t>以派系划分科仪</w:t>
      </w:r>
      <w:r>
        <w:rPr>
          <w:rFonts w:hint="eastAsia" w:ascii="宋体" w:hAnsi="宋体" w:eastAsia="宋体" w:cs="宋体"/>
          <w:sz w:val="24"/>
          <w:szCs w:val="24"/>
          <w:lang w:eastAsia="zh-CN"/>
        </w:rPr>
        <w:t>”</w:t>
      </w:r>
      <w:r>
        <w:rPr>
          <w:rFonts w:hint="eastAsia" w:ascii="宋体" w:hAnsi="宋体" w:eastAsia="宋体" w:cs="宋体"/>
          <w:sz w:val="24"/>
          <w:szCs w:val="24"/>
        </w:rPr>
        <w:t>的传统，立足道教实践的核心需求，构建完整的斋醮仪轨体系，涵盖道教实践的所有场景。如</w:t>
      </w:r>
      <w:r>
        <w:rPr>
          <w:rFonts w:hint="eastAsia" w:ascii="宋体" w:hAnsi="宋体" w:eastAsia="宋体" w:cs="宋体"/>
          <w:sz w:val="24"/>
          <w:szCs w:val="24"/>
          <w:lang w:eastAsia="zh-CN"/>
        </w:rPr>
        <w:t>“</w:t>
      </w:r>
      <w:r>
        <w:rPr>
          <w:rFonts w:hint="eastAsia" w:ascii="宋体" w:hAnsi="宋体" w:eastAsia="宋体" w:cs="宋体"/>
          <w:sz w:val="24"/>
          <w:szCs w:val="24"/>
        </w:rPr>
        <w:t>延生类科仪</w:t>
      </w:r>
      <w:r>
        <w:rPr>
          <w:rFonts w:hint="eastAsia" w:ascii="宋体" w:hAnsi="宋体" w:eastAsia="宋体" w:cs="宋体"/>
          <w:sz w:val="24"/>
          <w:szCs w:val="24"/>
          <w:lang w:eastAsia="zh-CN"/>
        </w:rPr>
        <w:t>”</w:t>
      </w:r>
      <w:r>
        <w:rPr>
          <w:rFonts w:hint="eastAsia" w:ascii="宋体" w:hAnsi="宋体" w:eastAsia="宋体" w:cs="宋体"/>
          <w:sz w:val="24"/>
          <w:szCs w:val="24"/>
        </w:rPr>
        <w:t>，主要用于祈求长寿、安康，如南北二斗同坛延生醮仪、北斗延生清醮仪、生日本命仪等，贴合民众对健康长寿的精神需求，其中南北二斗同坛延生醮仪等还保留了五斗米道的古宗教习俗，体现了对道教传统的传承。</w:t>
      </w:r>
      <w:r>
        <w:rPr>
          <w:rFonts w:hint="eastAsia" w:ascii="宋体" w:hAnsi="宋体" w:eastAsia="宋体" w:cs="宋体"/>
          <w:sz w:val="24"/>
          <w:szCs w:val="24"/>
          <w:lang w:eastAsia="zh-CN"/>
        </w:rPr>
        <w:t>“</w:t>
      </w:r>
      <w:r>
        <w:rPr>
          <w:rFonts w:hint="eastAsia" w:ascii="宋体" w:hAnsi="宋体" w:eastAsia="宋体" w:cs="宋体"/>
          <w:sz w:val="24"/>
          <w:szCs w:val="24"/>
        </w:rPr>
        <w:t>消灾类科仪</w:t>
      </w:r>
      <w:r>
        <w:rPr>
          <w:rFonts w:hint="eastAsia" w:ascii="宋体" w:hAnsi="宋体" w:eastAsia="宋体" w:cs="宋体"/>
          <w:sz w:val="24"/>
          <w:szCs w:val="24"/>
          <w:lang w:eastAsia="zh-CN"/>
        </w:rPr>
        <w:t>”</w:t>
      </w:r>
      <w:r>
        <w:rPr>
          <w:rFonts w:hint="eastAsia" w:ascii="宋体" w:hAnsi="宋体" w:eastAsia="宋体" w:cs="宋体"/>
          <w:sz w:val="24"/>
          <w:szCs w:val="24"/>
        </w:rPr>
        <w:t>，主要用于消除灾祸、化解危难，如消灾星曜仪、消灾道场仪、灵宝太一祈雨醮仪、祈求雨雪道场仪等，涵盖消灾、祈雨、求雪、安宅等各类场景，其中灵宝太一祈雨醮仪、祈求雨雪道场仪等还被纳入唐代国家祭祀体系，成为官方祈雨、祈雪的核心仪轨；</w:t>
      </w:r>
      <w:r>
        <w:rPr>
          <w:rFonts w:hint="eastAsia" w:ascii="宋体" w:hAnsi="宋体" w:eastAsia="宋体" w:cs="宋体"/>
          <w:sz w:val="24"/>
          <w:szCs w:val="24"/>
          <w:lang w:eastAsia="zh-CN"/>
        </w:rPr>
        <w:t>“</w:t>
      </w:r>
      <w:r>
        <w:rPr>
          <w:rFonts w:hint="eastAsia" w:ascii="宋体" w:hAnsi="宋体" w:eastAsia="宋体" w:cs="宋体"/>
          <w:sz w:val="24"/>
          <w:szCs w:val="24"/>
        </w:rPr>
        <w:t>济度类科仪</w:t>
      </w:r>
      <w:r>
        <w:rPr>
          <w:rFonts w:hint="eastAsia" w:ascii="宋体" w:hAnsi="宋体" w:eastAsia="宋体" w:cs="宋体"/>
          <w:sz w:val="24"/>
          <w:szCs w:val="24"/>
          <w:lang w:eastAsia="zh-CN"/>
        </w:rPr>
        <w:t>”</w:t>
      </w:r>
      <w:r>
        <w:rPr>
          <w:rFonts w:hint="eastAsia" w:ascii="宋体" w:hAnsi="宋体" w:eastAsia="宋体" w:cs="宋体"/>
          <w:sz w:val="24"/>
          <w:szCs w:val="24"/>
        </w:rPr>
        <w:t>，主要用于超度亡灵、救济幽阴，如东岳济度拜章大醮仪、上清升化仙度迁神道场仪等，延续了道教</w:t>
      </w:r>
      <w:r>
        <w:rPr>
          <w:rFonts w:hint="eastAsia" w:ascii="宋体" w:hAnsi="宋体" w:eastAsia="宋体" w:cs="宋体"/>
          <w:sz w:val="24"/>
          <w:szCs w:val="24"/>
          <w:lang w:eastAsia="zh-CN"/>
        </w:rPr>
        <w:t>“</w:t>
      </w:r>
      <w:r>
        <w:rPr>
          <w:rFonts w:hint="eastAsia" w:ascii="宋体" w:hAnsi="宋体" w:eastAsia="宋体" w:cs="宋体"/>
          <w:sz w:val="24"/>
          <w:szCs w:val="24"/>
        </w:rPr>
        <w:t>济人利物</w:t>
      </w:r>
      <w:r>
        <w:rPr>
          <w:rFonts w:hint="eastAsia" w:ascii="宋体" w:hAnsi="宋体" w:eastAsia="宋体" w:cs="宋体"/>
          <w:sz w:val="24"/>
          <w:szCs w:val="24"/>
          <w:lang w:eastAsia="zh-CN"/>
        </w:rPr>
        <w:t>”</w:t>
      </w:r>
      <w:r>
        <w:rPr>
          <w:rFonts w:hint="eastAsia" w:ascii="宋体" w:hAnsi="宋体" w:eastAsia="宋体" w:cs="宋体"/>
          <w:sz w:val="24"/>
          <w:szCs w:val="24"/>
        </w:rPr>
        <w:t>的核心教义，其中黄箓斋相关济度科仪还广泛流传于民间，成为民众超度先祖的主要方式；</w:t>
      </w:r>
      <w:r>
        <w:rPr>
          <w:rFonts w:hint="eastAsia" w:ascii="宋体" w:hAnsi="宋体" w:eastAsia="宋体" w:cs="宋体"/>
          <w:sz w:val="24"/>
          <w:szCs w:val="24"/>
          <w:lang w:eastAsia="zh-CN"/>
        </w:rPr>
        <w:t>“</w:t>
      </w:r>
      <w:r>
        <w:rPr>
          <w:rFonts w:hint="eastAsia" w:ascii="宋体" w:hAnsi="宋体" w:eastAsia="宋体" w:cs="宋体"/>
          <w:sz w:val="24"/>
          <w:szCs w:val="24"/>
        </w:rPr>
        <w:t>修真类科仪</w:t>
      </w:r>
      <w:r>
        <w:rPr>
          <w:rFonts w:hint="eastAsia" w:ascii="宋体" w:hAnsi="宋体" w:eastAsia="宋体" w:cs="宋体"/>
          <w:sz w:val="24"/>
          <w:szCs w:val="24"/>
          <w:lang w:eastAsia="zh-CN"/>
        </w:rPr>
        <w:t>”</w:t>
      </w:r>
      <w:r>
        <w:rPr>
          <w:rFonts w:hint="eastAsia" w:ascii="宋体" w:hAnsi="宋体" w:eastAsia="宋体" w:cs="宋体"/>
          <w:sz w:val="24"/>
          <w:szCs w:val="24"/>
        </w:rPr>
        <w:t>，主要用于道士修行、谢罪，如道士修真谢罪仪等，贴合道士修行的核心需求，规范了道士的修行仪轨，提升了道教的宗教规范性。这种分类体例，以实践需求为核心，打破了上清派、灵宝派、天师道等各派的壁垒，将各派有价值的科仪纳入对应类别，实现了道教科仪的包容性整合，既兼顾了民众的精神需求，也兼顾了道教自身的发展需求，彰显了杜光庭</w:t>
      </w:r>
      <w:r>
        <w:rPr>
          <w:rFonts w:hint="eastAsia" w:ascii="宋体" w:hAnsi="宋体" w:eastAsia="宋体" w:cs="宋体"/>
          <w:sz w:val="24"/>
          <w:szCs w:val="24"/>
          <w:lang w:eastAsia="zh-CN"/>
        </w:rPr>
        <w:t>“</w:t>
      </w:r>
      <w:r>
        <w:rPr>
          <w:rFonts w:hint="eastAsia" w:ascii="宋体" w:hAnsi="宋体" w:eastAsia="宋体" w:cs="宋体"/>
          <w:sz w:val="24"/>
          <w:szCs w:val="24"/>
        </w:rPr>
        <w:t>兼容并蓄、承古启新</w:t>
      </w:r>
      <w:r>
        <w:rPr>
          <w:rFonts w:hint="eastAsia" w:ascii="宋体" w:hAnsi="宋体" w:eastAsia="宋体" w:cs="宋体"/>
          <w:sz w:val="24"/>
          <w:szCs w:val="24"/>
          <w:lang w:eastAsia="zh-CN"/>
        </w:rPr>
        <w:t>”</w:t>
      </w:r>
      <w:r>
        <w:rPr>
          <w:rFonts w:hint="eastAsia" w:ascii="宋体" w:hAnsi="宋体" w:eastAsia="宋体" w:cs="宋体"/>
          <w:sz w:val="24"/>
          <w:szCs w:val="24"/>
        </w:rPr>
        <w:t>的编纂理念。</w:t>
      </w:r>
    </w:p>
    <w:p w14:paraId="74163D8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确立</w:t>
      </w:r>
      <w:r>
        <w:rPr>
          <w:rFonts w:hint="eastAsia" w:ascii="宋体" w:hAnsi="宋体" w:eastAsia="宋体" w:cs="宋体"/>
          <w:sz w:val="24"/>
          <w:szCs w:val="24"/>
          <w:lang w:eastAsia="zh-CN"/>
        </w:rPr>
        <w:t>“</w:t>
      </w:r>
      <w:r>
        <w:rPr>
          <w:rFonts w:hint="eastAsia" w:ascii="宋体" w:hAnsi="宋体" w:eastAsia="宋体" w:cs="宋体"/>
          <w:sz w:val="24"/>
          <w:szCs w:val="24"/>
        </w:rPr>
        <w:t>统一程序</w:t>
      </w:r>
      <w:r>
        <w:rPr>
          <w:rFonts w:hint="eastAsia" w:ascii="宋体" w:hAnsi="宋体" w:eastAsia="宋体" w:cs="宋体"/>
          <w:sz w:val="24"/>
          <w:szCs w:val="24"/>
          <w:lang w:eastAsia="zh-CN"/>
        </w:rPr>
        <w:t>”</w:t>
      </w:r>
      <w:r>
        <w:rPr>
          <w:rFonts w:hint="eastAsia" w:ascii="宋体" w:hAnsi="宋体" w:eastAsia="宋体" w:cs="宋体"/>
          <w:sz w:val="24"/>
          <w:szCs w:val="24"/>
        </w:rPr>
        <w:t>的规范体例</w:t>
      </w:r>
      <w:r>
        <w:rPr>
          <w:rFonts w:hint="eastAsia" w:ascii="宋体" w:hAnsi="宋体" w:eastAsia="宋体" w:cs="宋体"/>
          <w:sz w:val="24"/>
          <w:szCs w:val="24"/>
          <w:lang w:eastAsia="zh-CN"/>
        </w:rPr>
        <w:t>“</w:t>
      </w:r>
      <w:r>
        <w:rPr>
          <w:rFonts w:hint="eastAsia" w:ascii="宋体" w:hAnsi="宋体" w:eastAsia="宋体" w:cs="宋体"/>
          <w:sz w:val="24"/>
          <w:szCs w:val="24"/>
        </w:rPr>
        <w:t>统一程序</w:t>
      </w:r>
      <w:r>
        <w:rPr>
          <w:rFonts w:hint="eastAsia" w:ascii="宋体" w:hAnsi="宋体" w:eastAsia="宋体" w:cs="宋体"/>
          <w:sz w:val="24"/>
          <w:szCs w:val="24"/>
          <w:lang w:eastAsia="zh-CN"/>
        </w:rPr>
        <w:t>”</w:t>
      </w:r>
      <w:r>
        <w:rPr>
          <w:rFonts w:hint="eastAsia" w:ascii="宋体" w:hAnsi="宋体" w:eastAsia="宋体" w:cs="宋体"/>
          <w:sz w:val="24"/>
          <w:szCs w:val="24"/>
        </w:rPr>
        <w:t>的规范体例实现科仪的标准化，提升实践可操作性。在分类清晰的基础上，杜光庭对每一类科仪的程序进行了统一规范，确立了</w:t>
      </w:r>
      <w:r>
        <w:rPr>
          <w:rFonts w:hint="eastAsia" w:ascii="宋体" w:hAnsi="宋体" w:eastAsia="宋体" w:cs="宋体"/>
          <w:sz w:val="24"/>
          <w:szCs w:val="24"/>
          <w:lang w:eastAsia="zh-CN"/>
        </w:rPr>
        <w:t>“</w:t>
      </w:r>
      <w:r>
        <w:rPr>
          <w:rFonts w:hint="eastAsia" w:ascii="宋体" w:hAnsi="宋体" w:eastAsia="宋体" w:cs="宋体"/>
          <w:sz w:val="24"/>
          <w:szCs w:val="24"/>
        </w:rPr>
        <w:t>启坛—早朝—午朝—晚朝—散坛</w:t>
      </w:r>
      <w:r>
        <w:rPr>
          <w:rFonts w:hint="eastAsia" w:ascii="宋体" w:hAnsi="宋体" w:eastAsia="宋体" w:cs="宋体"/>
          <w:sz w:val="24"/>
          <w:szCs w:val="24"/>
          <w:lang w:eastAsia="zh-CN"/>
        </w:rPr>
        <w:t>”</w:t>
      </w:r>
      <w:r>
        <w:rPr>
          <w:rFonts w:hint="eastAsia" w:ascii="宋体" w:hAnsi="宋体" w:eastAsia="宋体" w:cs="宋体"/>
          <w:sz w:val="24"/>
          <w:szCs w:val="24"/>
        </w:rPr>
        <w:t>的核心程序，每一个程序都有明确的仪轨要求，包括上香、诵经、礼拜、上表、奏乐、步虚、散花、送神等具体环节，确保不同地区、不同派系的道士都能按照统一的程序举行科仪，实现了道教科仪的标准化与规范化。例如，该书对每一种科仪的坛场布置、法具安置、道士服饰、诵经顺序、上表格式等都做了详细规定，甚至对每一句诵经、每一个礼拜动作都有明确要求，避免了科仪实践中的随意性。同时，杜光庭还确立了</w:t>
      </w:r>
      <w:r>
        <w:rPr>
          <w:rFonts w:hint="eastAsia" w:ascii="宋体" w:hAnsi="宋体" w:eastAsia="宋体" w:cs="宋体"/>
          <w:sz w:val="24"/>
          <w:szCs w:val="24"/>
          <w:lang w:eastAsia="zh-CN"/>
        </w:rPr>
        <w:t>“</w:t>
      </w:r>
      <w:r>
        <w:rPr>
          <w:rFonts w:hint="eastAsia" w:ascii="宋体" w:hAnsi="宋体" w:eastAsia="宋体" w:cs="宋体"/>
          <w:sz w:val="24"/>
          <w:szCs w:val="24"/>
        </w:rPr>
        <w:t>先斋后醮</w:t>
      </w:r>
      <w:r>
        <w:rPr>
          <w:rFonts w:hint="eastAsia" w:ascii="宋体" w:hAnsi="宋体" w:eastAsia="宋体" w:cs="宋体"/>
          <w:sz w:val="24"/>
          <w:szCs w:val="24"/>
          <w:lang w:eastAsia="zh-CN"/>
        </w:rPr>
        <w:t>”</w:t>
      </w:r>
      <w:r>
        <w:rPr>
          <w:rFonts w:hint="eastAsia" w:ascii="宋体" w:hAnsi="宋体" w:eastAsia="宋体" w:cs="宋体"/>
          <w:sz w:val="24"/>
          <w:szCs w:val="24"/>
        </w:rPr>
        <w:t>的仪式程序，将斋法的洁净禁戒与醮法的祭神祈福相结合，使斋与醮形成有机整体，改变了前代斋、醮分离的局面，这一程序此后被后世道教一直沿用，成为道教科仪的核心程序规范。这种统一的程序规范，不仅提升了道教科仪的严肃性与规范性，也降低了科仪的传播难度，为道教科仪的广泛传播奠定了基础。</w:t>
      </w:r>
    </w:p>
    <w:p w14:paraId="41F128D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以上“功能分类+程序统一”的体例，侧重于从宏观结构层面分析《道门科范大全集》的编纂策略——即杜光庭如何通过体系化的体例设计消解派系壁垒、实现仪式知识的标准化整合。下文则转入对该书具体内容层面的考察，分析杜光庭如何在文本内容上实现传统传承与时代创新的有机统一，二者分别从结构框架与内容取向两个互补的维度，共同揭示了该书编纂的完整策略。与陆修静“九斋十二法”的结构性比较在此，有必要将杜光庭的编纂体例与陆修静的“九斋十二法”进行结构性比较，以揭示杜光庭在陆修静基础上的核心推进。陆修静的“九斋十二法”是南朝道教科仪的集大成之作，其分类逻辑本质上是“教派导向”的——以灵宝派传统为核心，将各种斋法按照灵宝派的教义体系进行分类和排列，金箓斋、黄箓斋等斋法的名称和功能设定都根植于灵宝派的经典体系。这种分类逻辑的优势在于保持了教义的纯粹性和传承的连贯性，但其局限也恰恰在于此：当不同道派的传统需要被纳入同一体系时，“教派导向”的分类逻辑往往会制造壁垒而非消除壁垒。杜光庭的核心推进，在于将科仪分类的逻辑从“教派导向”转变为“功能导向”。</w:t>
      </w:r>
    </w:p>
    <w:p w14:paraId="781966B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在《道门科范大全集》中，科仪不再按照其教派来源（上清、灵宝、天师道）进行分类，而是按照其社会功能（延生、消灾、济度、修真）进行编排。这一转变的意义是深远的：它意味着仪式权威的标准不再取决于“这一仪轨来自哪个教派”，而取决于“这一仪轨能够满足何种需求”。通过以功能取代教派作为分类依据，杜光庭在理论上悬置了困扰道教数百年的教派正统性之争——各派科仪不再因为其教派归属而被接受或排斥，而是因为其对国家、社会、个人需求的实际有效性而获得其地位。从陆修静的“教派导向”到杜光庭的“功能导向”，这一分类逻辑的转变不仅是一种编纂技术的改进，更折射出道教从“多元教派并存”向“统一宗教制度”转型的深层趋势。</w:t>
      </w:r>
    </w:p>
    <w:p w14:paraId="4390C2E8">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（二）承古启新，兼顾传统传承与时代适配的内容创新</w:t>
      </w:r>
    </w:p>
    <w:p w14:paraId="4404B60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门科范大全集》在内容上的创新，体现在“承古”与“启新”的有机结合，既保留了道教科仪的核心传统，又结合时代需求进行了合理革新，摒弃了其中的糟粕，补充了新的内容，使道教科仪更加贴合社会发展与民众需求。传承道教核心传统，保留科仪的文化基因杜光庭在编纂过程中，高度重视对道教传统科仪的传承，保留了汉魏至唐代道教科仪的核心元素，尤其是对五斗米道、灵宝派、上清派等各派科仪的精华进行了全面吸收。例如，该书保留了五斗米道“三官手书”“拜斗”等古俗遗存，在南北二斗同坛延生醮仪、北斗延生清醮仪等科仪中，详细记载了拜斗的仪轨与内涵，延续了道教对星辰崇拜的传统；传承了灵宝派“斋醮合一”的理念，将灵宝斋的洁净禁戒与醮法的祭神祈福相结合，完善了灵宝斋法的仪轨；吸收了上清派“存想、服气”等修行元素，将其融入修真类科仪，丰富了道士修行的方式与内涵。同时，该书还保留了大量唐代道教科仪的原始文本，如唐代投龙仪式的相关仪轨、金箓大斋的上表格式等，为研究唐代道教科仪提供了珍贵的原始资料，彰显了对道教文化传统的尊重与传承。值得注意的是，杜光庭在传承传统的同时，也完成了对道教神灵谱系的整合。在其编纂的科仪中，请神部分皆首请三清，称道德天尊为“太圣祖高上大道金阙玄元天皇大帝太上老君”。这一称谓将唐代对老子的尊崇（唐皇室以老子为始祖，追尊“玄元皇帝”封号）与道教传统的神灵体系相结合，体现了对唐代崇道政策的继承。剔除巫俗糟粕，提升科仪的宗教性与规范性汉魏以来，道教科仪中一直夹杂着大量民间巫觋法术的糟粕，如巫术诅咒、低俗祭祀等，不仅影响了道教的社会形象，也违背了道教“清静无为、济人利物”的核心教义。杜光庭在编纂过程中，对这些巫俗糟粕进行了大胆剔除，重点保留科仪中“敬天法祖、修身养性、济人利物”的核心内涵，提升了道教科仪的宗教性与规范性。例如，剔除了前代科仪中“巫术诅咒”“血腥祭祀”等低俗内容，强调科仪的“洁净性”与“严肃性”，要求举行科仪时，道士必须清心寡欲、洁净身心，坛场必须整洁规范，体现了道教“清静无为”的核心教义；同时，将科仪与道教教义、伦理道德相结合，在科仪中融入“忠孝仁义”“善恶有报”等理念，使科仪不仅具有宗教仪式功能，还具有道德教化功能，提升了道教的社会价值，这也是对唐代道教“儒道融合”思想的延续与发展。贴合时代需求，补充新的科仪内容，增强实践价值杜光庭与仲励在编纂过程中，始终立足时代需求，结合唐末五代至南宋的社会文化背景，补充了大量贴合时代的科仪内容，增强了该书的实践价值。此处须对仲励加以说明：仲励为南宋道士，对杜光庭原编的《道门科范大全集》做了续编补充工作，新增了若干适应南宋社会需求的斋醮仪轨。因此，该书现存版本实为杜光庭原编与仲励续补的合编之作。杜光庭结合唐末战乱频繁、民众流离失所的社会现状，新增了大量消灾、济度类科仪，如消灾道场仪、东岳济度拜章大醮仪等，贴合民众对消除灾祸、超度亡灵的精神需求；结合唐代科举制度的兴盛，新增文昌注禄拜章道场仪，贴合士子应举求名的需求，成为宋代文昌信仰兴起的重要铺垫。仲励则结合南宋社会的时代特征，新增真武灵应大醮仪，结合宋代真武信仰的兴起，详细记载了真武显灵的事迹与相关仪轨，贴合宋代民众对真武大帝的信仰需求；同时，补充了誓火禳灾仪、安宅解犯仪等贴合民间生活的科仪，进一步丰富了该书的内容，提升了其在民间的传播力与实践价值。此外，该书还将唐代国家祭祀中的投龙仪式、祈雨仪轨等纳入其中，实现了国家礼仪与民间科仪的有机整合，拓展了道教科仪的应用场景。</w:t>
      </w:r>
    </w:p>
    <w:p w14:paraId="59318D6C">
      <w:pPr>
        <w:pStyle w:val="5"/>
        <w:spacing w:before="240" w:after="60" w:line="360" w:lineRule="auto"/>
        <w:ind w:firstLine="0"/>
        <w:jc w:val="center"/>
        <w:outlineLvl w:val="1"/>
        <w:rPr>
          <w:color w:val="auto"/>
        </w:rPr>
      </w:pPr>
      <w:bookmarkStart w:id="108" w:name="_Toc130336834"/>
      <w:bookmarkStart w:id="109" w:name="_Toc1382463606"/>
      <w:r>
        <w:rPr>
          <w:rFonts w:ascii="Times New Roman" w:hAnsi="Times New Roman" w:eastAsia="黑体"/>
          <w:b w:val="0"/>
          <w:bCs/>
          <w:color w:val="auto"/>
          <w:sz w:val="30"/>
          <w:szCs w:val="30"/>
        </w:rPr>
        <w:t>第二节  国家斋醮中的神权论证与权力展演</w:t>
      </w:r>
      <w:bookmarkEnd w:id="108"/>
      <w:bookmarkEnd w:id="109"/>
    </w:p>
    <w:p w14:paraId="4043DE5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科仪整合，并非单纯的宗教内部实践，而是始终围绕“道教与国家政治的互动”展开。在唐末五代藩镇割据、王权合法性缺失的历史背景下，杜光庭以《道门科范大全集》的规范化科仪为载体，推动道教斋醮仪轨进入国家政治生活，成为国家层面的公共仪式。其通过国家斋醮的政治实践，实现了“神权对王权的合法性论证”与“王权对神权的政治支撑”，二者相互依存、相互展演，使道教科仪成为连接神权、王权与社会的公共纽带，确立了道教在国家层面的公共性，即道教获得国家政治的认可，成为参与国家公共生活、服务于国家治理的宗教形态。</w:t>
      </w:r>
    </w:p>
    <w:p w14:paraId="5C502F28">
      <w:pPr>
        <w:pStyle w:val="6"/>
        <w:spacing w:before="120" w:after="60" w:line="360" w:lineRule="auto"/>
        <w:ind w:firstLine="420" w:firstLineChars="0"/>
        <w:jc w:val="center"/>
        <w:outlineLvl w:val="2"/>
        <w:rPr>
          <w:color w:val="auto"/>
        </w:rPr>
      </w:pPr>
      <w:bookmarkStart w:id="110" w:name="_Toc137849098"/>
      <w:bookmarkStart w:id="111" w:name="_Toc1440249149"/>
      <w:r>
        <w:rPr>
          <w:rFonts w:ascii="Times New Roman" w:hAnsi="Times New Roman" w:eastAsia="黑体"/>
          <w:b w:val="0"/>
          <w:bCs/>
          <w:color w:val="auto"/>
          <w:sz w:val="28"/>
          <w:szCs w:val="28"/>
        </w:rPr>
        <w:t>一、唐末五代的政治语境与国家对神权合法性的需求</w:t>
      </w:r>
      <w:bookmarkEnd w:id="110"/>
      <w:bookmarkEnd w:id="111"/>
    </w:p>
    <w:p w14:paraId="4AC3E35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唐末黄巢起义后，唐王朝的中央集权彻底崩溃，藩镇割据成为社会主流，各地藩镇纷纷称王称帝，形成了“天子力微，藩镇自强”的政治格局。至五代十国，政权更迭频繁，“梁唐晋汉周，更替如传舍”，统治者的统治缺乏稳定的政治基础与合法性支撑。这一时期，统治者面临着两大核心政治困境：其一，王权的天命合法性缺失。中国传统政治的核心是“君权神授”，统治者的统治需获得“天命”的认可，才能形成政治合法性。而唐末五代的藩镇割据与政权更迭，打破了“天命唯归一姓”的传统，新的统治者难以通过传统的政治方式证明其统治的天命合法性，亟需神权为其统治提供“天命所归”的论证。其二，社会秩序的崩溃与治理需求。唐末五代的长期战乱，导致社会经济凋敝、水旱灾害频发、兵戈之祸不断，百姓流离失所，社会秩序彻底崩溃。统治者不仅需要维护自身的统治，更需要应对各种社会危机，稳定社会秩序。而传统的政治治理方式在战乱中失效，统治者亟需借助宗教的力量，实现对社会的精神整合与危机应对。道教作为中国本土宗教，自东汉以来便与政治有着密切的互动，其“天人感应”“君权神授”的思想，能够为统治者提供天命合法性论证；其祈福、禳灾、消灾的斋醮仪轨，能够应对社会危机，满足国家的治理需求。唐末五代的崇道传统，更为道教与国家政治的互动奠定了基础。杜光庭正是抓住了这一政治语境，以规范化的斋醮仪轨为载体，推动道教成为统治者构建王权合法性、维护社会秩序的重要力量。</w:t>
      </w:r>
    </w:p>
    <w:p w14:paraId="23892050">
      <w:pPr>
        <w:pStyle w:val="6"/>
        <w:spacing w:before="120" w:after="60" w:line="360" w:lineRule="auto"/>
        <w:ind w:firstLine="420" w:firstLineChars="0"/>
        <w:jc w:val="center"/>
        <w:outlineLvl w:val="2"/>
        <w:rPr>
          <w:color w:val="auto"/>
        </w:rPr>
      </w:pPr>
      <w:bookmarkStart w:id="112" w:name="_Toc1842418620"/>
      <w:bookmarkStart w:id="113" w:name="_Toc1979261906"/>
      <w:r>
        <w:rPr>
          <w:rFonts w:ascii="Times New Roman" w:hAnsi="Times New Roman" w:eastAsia="黑体"/>
          <w:b w:val="0"/>
          <w:bCs/>
          <w:color w:val="auto"/>
          <w:sz w:val="28"/>
          <w:szCs w:val="28"/>
        </w:rPr>
        <w:t>二、为王权提供“天命”与治理的宗教支撑</w:t>
      </w:r>
      <w:bookmarkEnd w:id="112"/>
      <w:bookmarkEnd w:id="113"/>
    </w:p>
    <w:p w14:paraId="6694743A">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一生先后为前蜀王建、王衍父子服务，任前蜀金紫光禄大夫、左谏议大夫、崇真馆大学士，主持前蜀宫廷的国家斋醮仪轨，其《广成集》中收录的青词、表文、斋醮文告，多为其为前蜀统治者所作的国家斋醮文书。杜光庭通过国家斋醮的仪轨实践，从天命合法性与国家治理两个层面，为前蜀王权提供神权支撑，实现了神权对王权的合法性论证。从文化层面看，通过国家斋醮仪轨，宣扬“天命所归”，为前蜀统治者的统治提供天命合法性论证。杜光庭在为王建所作的《罗天醮太一词》《金箓斋词》等斋醮文书中，多次强调王建的统治是“天命所归”，“伏闻天鉴孔昭，命历有归，惟德是辅，惟贤是择”，宣称王建“积德累功，顺天应人”，其称王称帝是上天的旨意，消解了王建作为藩镇的“僭越”性质，为其统治提供了天命合法性。同时，杜光庭在国家斋醮仪轨中，以“道士”为中介，构建了“天—道—王”的沟通体系：统治者以“天子”的身份参与斋醮，通过道士的上表、诵经，与上天沟通，接受上天的庇佑，使统治者的统治与“天命”直接挂钩，强化了王权的神权合法性。另从社会层面看，通过国家斋醮仪轨，应对社会危机，为国家治理提供神道支撑。唐末五代水旱灾害、兵戈之祸、瘟疫频发，成为统治者治理的重要难题。杜光庭根据前蜀的社会危机，主持相应的国家斋醮：遇水旱灾害，主持祈雨、祈晴斋醮，“祷于上天，以消灾沴，以安百姓”；遇兵戈之祸，主持禳兵斋醮，祈求上天止戈息兵，稳定社会秩序；遇瘟疫，主持消灾斋醮，祈求上天祛除瘟疫，护佑百姓。杜光庭将国家的治理诉求转化为宗教仪式，通过斋醮仪轨将统治者的“勤政爱民”传递给上天，同时向百姓展示统治者“顺天应人”的治理理念，使道教科仪成为国家治理的辅助力量，既缓解了社会危机，又增强了统治者的民望。与佛教国家斋会的比较分析将杜光庭的国家斋醮置于唐末五代国家宗教仪式的整体图景中，通过与佛教国家斋会的比较，可以更精确地把握道教国家斋醮的独特功能。唐代佛教的国家斋会以“仁王护国斋会”最为典型。根据《仁王护国般若波罗蜜多经》的记载，仁王护国斋会的核心功能是通过诵读《仁王经》、设斋供养来祈求佛菩萨护佑国家、消除灾祸。在仪式功能上，道教国家斋醮与佛教国家斋会具有相似性——二者都旨在通过仪式为国家安全与统治合法性提供宗教支持。但在政治合法性论证方式上，二者存在根本差异。佛教仁王护国斋会的合法性论证逻辑是“因果-功德”型的：统治者通过设斋供养、诵读佛经积累功德，以此感召佛菩萨的护佑，其实质是一种“功德交换”——以供养换取护佑。道教国家斋醮的合法性论证逻辑则是“天命-感应”型的：统治者的合法性来自“天命”，道教科仪的核心功能是通过“天人感应”机制确认和强化这种天命关系——统治者是“天子”，道士是沟通天人的中介，斋醮仪轨是实现天人沟通的仪式载体。这一差异意味着：佛教的合法性论证更依赖于统治者的个人修行与功德积累，而道教的合法性论证则更依赖于“天命”这一超越性的宇宙秩序——统治者的合法性来自天命的赋予而非个人功德的证明，斋醮仪轨的功能不是“为统治者赚取功德”，而是“确认和宣示天命所归”。因此，道教国家斋醮在政治合法性论证上的独特贡献在于：它将合法性论证从个人层面提升到宇宙论层面，使统治者的合法性不再取决于个体的修行成就，而取决于宇宙秩序（天命）的赋予。</w:t>
      </w:r>
    </w:p>
    <w:p w14:paraId="55D5C4D1">
      <w:pPr>
        <w:pStyle w:val="6"/>
        <w:spacing w:before="120" w:after="60" w:line="360" w:lineRule="auto"/>
        <w:ind w:firstLine="420" w:firstLineChars="0"/>
        <w:jc w:val="center"/>
        <w:outlineLvl w:val="2"/>
        <w:rPr>
          <w:color w:val="auto"/>
        </w:rPr>
      </w:pPr>
      <w:bookmarkStart w:id="114" w:name="_Toc963040247"/>
      <w:bookmarkStart w:id="115" w:name="_Toc933162112"/>
      <w:r>
        <w:rPr>
          <w:rFonts w:ascii="Times New Roman" w:hAnsi="Times New Roman" w:eastAsia="黑体"/>
          <w:b w:val="0"/>
          <w:bCs/>
          <w:color w:val="auto"/>
          <w:sz w:val="28"/>
          <w:szCs w:val="28"/>
        </w:rPr>
        <w:t>三、神权与王权的互动及公共仪式的建构</w:t>
      </w:r>
      <w:bookmarkEnd w:id="114"/>
      <w:bookmarkEnd w:id="115"/>
    </w:p>
    <w:p w14:paraId="175C388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国家斋醮不仅是神权对王权的合法性论证，更是神权与王权的权力展演，以及道教国家公共仪式的建构。杜光庭主持的前蜀国家斋醮，规模宏大，由统治者主导，朝廷百官参与，成为前蜀国家公共生活的重要组成部分。神权与王权的互动展演在国家斋醮仪轨中，形成了清晰的权力互动结构——“上天为最高的神权主体”，掌握着天命与祸福的决定权；道士为神权与王权的中介，负责通神达道，传递上天的旨意与统治者的诉求；统治者为人间的王权主体，代表人间接受上天的庇佑，同时承担着“顺天应人、治理天下”的责任。在斋醮仪式中，统治者向天地神明行跪拜之礼，彰显对神权的敬畏；上天通过道士的“降神”“托梦”等方式，为统治者赋予天命，彰显神权对王权的认可。神权与王权相互依存、相互展演，使二者形成了“神权支撑王权，王权尊崇神权”的良性互动关系。王权权威的公共展演国家斋醮由统治者主导，仪式的规格、规模、参与人员均由统治者决定，是统治者王权权威的公共展演。杜光庭主持的罗天醮、金箓大斋等国家斋醮，均为前蜀最高规格的宗教仪式，朝廷文武百官皆需参与，百姓亦可观礼。通过这种大规模的公共仪式，统治者向百官与百姓展示其对上天的敬畏、对百姓的关怀，同时彰显其作为“天子”的权威，强化百官与百姓对王权的认同，实现社会的精神整合。道教国家公共仪式的建构杜光庭以规范化的斋醮仪轨为载体，将道教科仪从民间信仰层面提升至“国家公共仪式”层面，使道教科仪成为国家祭祀体系的重要组成部分。国家斋醮不再是单纯的宗教仪式，而是兼具宗教性与政治性的国家公共仪式：其宗教性体现在“通神达道、天人感应”，其政治性体现在“构建王权合法性、维护社会秩序”。通过国家公共仪式的建构，道教获得了国家政治的正式认可，成为参与国家公共生活的重要宗教形态，其国家层面的公共性正式确立。</w:t>
      </w:r>
    </w:p>
    <w:p w14:paraId="10E81099">
      <w:pPr>
        <w:pStyle w:val="7"/>
        <w:spacing w:before="60" w:after="60" w:line="360" w:lineRule="auto"/>
        <w:ind w:firstLine="420" w:firstLineChars="0"/>
        <w:jc w:val="left"/>
        <w:outlineLvl w:val="3"/>
        <w:rPr>
          <w:i w:val="0"/>
          <w:iCs w:val="0"/>
          <w:color w:val="auto"/>
        </w:rPr>
      </w:pPr>
      <w:r>
        <w:rPr>
          <w:rFonts w:ascii="Times New Roman" w:hAnsi="Times New Roman" w:eastAsia="黑体"/>
          <w:b/>
          <w:bCs/>
          <w:i w:val="0"/>
          <w:iCs w:val="0"/>
          <w:color w:val="auto"/>
          <w:sz w:val="24"/>
          <w:szCs w:val="24"/>
        </w:rPr>
        <w:t>（四）科仪政治实践的历史意义</w:t>
      </w:r>
    </w:p>
    <w:p w14:paraId="79784A3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科仪政治实践，是道教发展史上一次重要的公共性跨越，使道教从民间信仰走向国家宗教，确立了道教在国家政治层面的公共性。其历史意义主要体现在两个方面：其一，为道教争取到了国家层面的公共仪式空间，扩大了道教的政治影响力。杜光庭通过将道教科仪与国家政治结合，使道教斋醮成为国家公共仪式的重要组成部分，道教获得了统治者的正式认可与政治支撑，从“民间宗教”提升为“国家宗教”，其政治地位与社会影响力得到极大提升。前蜀统治者对杜光庭的尊崇与对道教的扶持，便是道教政治影响力提升的直接体现。其二，构建了道教与国家政治互动的经典范式，为后世道教与政治的互动奠定了基础。杜光庭所构建的“神权论证王权，王权支撑道教”的互动范式，以及将道教科仪纳入国家祭祀体系的实践，为后世宋、元、明、清的道教与政治互动提供了经典模板。后世历代统治者均借鉴杜光庭的实践，将道教斋醮仪轨作为构建王权合法性、维护社会秩序的重要方式，道教也因此长期成为中国传统社会的主流宗教之一。</w:t>
      </w:r>
    </w:p>
    <w:p w14:paraId="4B7BDFCF">
      <w:pPr>
        <w:pStyle w:val="5"/>
        <w:spacing w:before="240" w:after="60" w:line="360" w:lineRule="auto"/>
        <w:ind w:firstLine="0"/>
        <w:jc w:val="center"/>
        <w:outlineLvl w:val="1"/>
        <w:rPr>
          <w:color w:val="auto"/>
        </w:rPr>
      </w:pPr>
      <w:bookmarkStart w:id="116" w:name="_Toc233183890"/>
      <w:bookmarkStart w:id="117" w:name="_Toc582542343"/>
      <w:r>
        <w:rPr>
          <w:rFonts w:ascii="Times New Roman" w:hAnsi="Times New Roman" w:eastAsia="黑体"/>
          <w:b w:val="0"/>
          <w:bCs/>
          <w:color w:val="auto"/>
          <w:sz w:val="30"/>
          <w:szCs w:val="30"/>
        </w:rPr>
        <w:t>第三节  科仪统一对道教组织化与社会教化的推动作用</w:t>
      </w:r>
      <w:bookmarkEnd w:id="116"/>
      <w:bookmarkEnd w:id="117"/>
    </w:p>
    <w:p w14:paraId="2C32661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科仪整合，在完成斋醮仪轨的体系化与政治实践的基础上，进一步向社会层面延伸。科仪的规范化，不仅消解了道教内部的道派与地域差异，建构起道教组织的统一性，形成了道教的组织公共性；此外，杜光庭将儒家道德、社会秩序、民间精神需求融入科仪体系，使道教科仪从单纯的宗教仪式，转化为社会教化的重要载体，实现了科仪的社会化，确立了道教在社会层面的公共性——即道教融入世俗社会的公共生活，成为兼具宗教信仰、道德教化、心理疏导功能的公共文化形态。</w:t>
      </w:r>
    </w:p>
    <w:p w14:paraId="6A6AC81A">
      <w:pPr>
        <w:pStyle w:val="6"/>
        <w:spacing w:before="120" w:after="60" w:line="360" w:lineRule="auto"/>
        <w:ind w:firstLine="420" w:firstLineChars="0"/>
        <w:jc w:val="center"/>
        <w:outlineLvl w:val="2"/>
        <w:rPr>
          <w:color w:val="auto"/>
        </w:rPr>
      </w:pPr>
      <w:bookmarkStart w:id="118" w:name="_Toc2111467102"/>
      <w:bookmarkStart w:id="119" w:name="_Toc411212128"/>
      <w:r>
        <w:rPr>
          <w:rFonts w:ascii="Times New Roman" w:hAnsi="Times New Roman" w:eastAsia="黑体"/>
          <w:b w:val="0"/>
          <w:bCs/>
          <w:color w:val="auto"/>
          <w:sz w:val="28"/>
          <w:szCs w:val="28"/>
        </w:rPr>
        <w:t>一、科仪规范化与道教组织统一性的建构</w:t>
      </w:r>
      <w:bookmarkEnd w:id="118"/>
      <w:bookmarkEnd w:id="119"/>
    </w:p>
    <w:p w14:paraId="3CABD9B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道教自东汉创立以来，始终面临着道派分散、组织松散的问题，上清、灵宝、正一等道派各自为政，缺乏统一的组织体系，这是制约道教发展的重要因素。科仪作为道教的核心宗教实践，其规范化成为道教组织统一性建构的核心抓手。杜光庭通过科仪的规范化，从“身份标识、神职人员、组织层级”三个方面，建构起道教的组织统一性，形成了道教的组织公共性。统一的科仪成为道教组织的共同身份标识科仪是道教区别于其他宗教的核心特征，也是道教内部不同道派、不同地域道士的共同宗教实践。杜光庭构建的统一、规范的斋醮仪轨体系，使上清、灵宝、正一等道派的道士，以及不同地域的道士，都遵循相同的科仪规范，形成了共同的宗教身份。这种统一性的形成，关键在于杜光庭以“功能需求”取代“教派起源”作为科仪分类的依据。前代科仪文献多以道派划分仪轨，如上清斋仪、灵宝斋仪各自成书；杜光庭则按延生、消灾、济度等功能重新分类，将各派有价值的科仪纳入同一体系。这一编纂策略的深层效果是：道士无论属于哪个道派、来自哪个地域，只要按照《道门科范大全集》的规范行持斋醮，便是道教的合法神职人员。统一的科仪标识，消解了道派与地域的隔阂，使道教从分散的道派集合成为具有共同身份认同的宗教组织。科仪规范化推动了道教神职人员的专业化发展杜光庭在《道门科范大全集》（卷一）中，对行持科仪的道士的素养、技能、职责做出了严格的规范：要求道士必须精通道教经典、熟练掌握科仪流程、具备存思通神的能力、恪守道士的清规戒律；对科仪中的高功、监斋、都讲等不同神职的职责做出了明确的划分，高功主祭、监斋督礼、都讲诵经，各司其职。需要指出的是，高功、监斋、都讲等职分并非杜光庭的首创，前代道教科仪中已有类似的角色分工，但杜光庭在整合前代制度的基础上对其进行了系统性的规范化完善，使三者的职责边界更加清晰、分工协作更加有序，从而将此前较为松散的神职实践确立为稳定传承的制度化规范。科仪的规范化，推动了道士群体的专业化发展。道士必须经过系统的科仪训练，才能胜任斋醮仪轨的行持，这使得道教形成了一支专业的神职人员队伍，成为道教组织的核心支撑。同时，杜光庭通过主持宫廷斋醮，培养了一批精通科仪的道士，形成了道教科仪的传承体系，为道教神职人员的专业化发展奠定了基础。科仪规范化构建了道教组织的层级体系杜光庭在科仪仪轨中，根据道士的素养、技能、道阶，划分了不同的科仪操作权限：高道大德可主持金箓大斋、罗天醮等最高规格的国家斋醮；普通道士可主持民间斋醮与个人斋醮；初入道的道士则负责科仪中的辅助工作。这种科仪操作权限的划分，与道教的道阶体系相结合，构建起了层级分明、职责清晰的道教组织层级体系。不同等级的道士在科仪中承担不同的职责，形成了有序的组织秩序，增强了道教组织的凝聚力与向心力。科仪规范化所建构的道教组织统一性，使道教从分散的道派实践，成为具有“统一身份标识、专业神职人员、层级组织体系”的成熟宗教组织，其组织公共性正式确立。这种组织公共性，不仅增强了道教的内部凝聚力，更为道教的社会传播与教化提供了组织支撑。</w:t>
      </w:r>
      <w:r>
        <w:rPr>
          <w:rFonts w:ascii="宋体" w:hAnsi="宋体"/>
          <w:color w:val="FF0000"/>
          <w:sz w:val="24"/>
          <w:rFonts w:eastAsia="宋体" w:ascii="宋体" w:hAnsi="宋体"/>
          <w:sz w:val="240"/>
          <w:color w:val="FF0000"/>
        </w:rPr>
        <w:t>（杜光庭. 道门科范大全集（卷一）[M]//道藏: 第31册. 北京: 文物出版社, 1988: 1-5.）</w:t>
      </w:r>
      <w:r>
        <w:rPr>
          <w:rFonts w:ascii="宋体" w:hAnsi="宋体"/>
          <w:color w:val="FF0000"/>
          <w:sz w:val="20"/>
          <w:vertAlign w:val="superscript"/>
          <w:rFonts w:eastAsia="宋体" w:ascii="宋体" w:hAnsi="宋体"/>
          <w:sz w:val="200"/>
          <w:color w:val="FF0000"/>
        </w:rPr>
        <w:t>[21]</w:t>
      </w:r>
    </w:p>
    <w:p w14:paraId="04394A17">
      <w:pPr>
        <w:pStyle w:val="6"/>
        <w:spacing w:before="120" w:after="60" w:line="360" w:lineRule="auto"/>
        <w:ind w:firstLine="420" w:firstLineChars="0"/>
        <w:jc w:val="center"/>
        <w:outlineLvl w:val="2"/>
        <w:rPr>
          <w:color w:val="auto"/>
        </w:rPr>
      </w:pPr>
      <w:bookmarkStart w:id="120" w:name="_Toc260316639"/>
      <w:bookmarkStart w:id="121" w:name="_Toc639859250"/>
      <w:r>
        <w:rPr>
          <w:rFonts w:ascii="Times New Roman" w:hAnsi="Times New Roman" w:eastAsia="黑体"/>
          <w:b w:val="0"/>
          <w:bCs/>
          <w:color w:val="auto"/>
          <w:sz w:val="28"/>
          <w:szCs w:val="28"/>
        </w:rPr>
        <w:t>二、科仪的社会化与道教社会教化功能的释放</w:t>
      </w:r>
      <w:bookmarkEnd w:id="120"/>
      <w:bookmarkEnd w:id="121"/>
    </w:p>
    <w:p w14:paraId="1820CBC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完成科仪的体系化与组织化建构后，进一步推动科仪的社会化，将道教科仪从宫廷与道观，推广至民间社会，成为民间百姓的重要宗教实践。同时，杜光庭将“儒家道德规范、社会秩序理念、民间精神需求”融入科仪体系，使道教科仪成为社会教化的重要载体，释放出强大的社会教化功能，确立了道教在社会层面的公共性。道教科仪的社会教化功能，主要体现在道德教化、秩序教化、心理疏导与文化传播四个方面。融摄儒家伦理于科仪实践杜光庭在文本中反复强调，道教的发展必须融入中国传统社会的主流道德体系，而儒家道德是中国传统社会的核心道德规范。其在科仪整合中，将儒家的五常、忠孝、礼义廉耻等道德理念融入斋醮仪轨，使科仪成为儒家道德的宗教化传播载体。如在黄箓度亡斋中，杜光庭将“孝道”作为核心内涵，宣扬“百善孝为先”，要求信众恪守孝道，追思先人；在祈福斋醮中，宣扬“积德行善、助人为乐”，认为只有积德行善，才能获得上天的庇佑；在解厄斋醮中，宣扬“诚实守信、知恩图报”，认为诚信是为人之本。杜光庭通过科仪的仪式化实践，将儒家道德规范转化为民间信众的宗教信仰与行为准则，使科仪成为民间道德教化的重要方式，弥补了传统儒家道德教化在民间社会的不足。</w:t>
      </w:r>
      <w:r>
        <w:rPr>
          <w:rFonts w:ascii="宋体" w:hAnsi="宋体"/>
          <w:color w:val="FF0000"/>
          <w:sz w:val="24"/>
          <w:rFonts w:eastAsia="宋体" w:ascii="宋体" w:hAnsi="宋体"/>
          <w:sz w:val="240"/>
          <w:color w:val="FF0000"/>
        </w:rPr>
        <w:t>（杜光庭. 道门科范大全集（卷五）[M]//道藏: 第31册. 北京: 文物出版社, 1988: 78-82.）</w:t>
      </w:r>
      <w:r>
        <w:rPr>
          <w:rFonts w:ascii="宋体" w:hAnsi="宋体"/>
          <w:color w:val="FF0000"/>
          <w:sz w:val="20"/>
          <w:vertAlign w:val="superscript"/>
          <w:rFonts w:eastAsia="宋体" w:ascii="宋体" w:hAnsi="宋体"/>
          <w:sz w:val="200"/>
          <w:color w:val="FF0000"/>
        </w:rPr>
        <w:t>[22]</w:t>
      </w:r>
    </w:p>
    <w:p w14:paraId="56C7DCB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具体而言，在《道门科范大全集》所载黄箓斋仪中，“发愿”环节要求斋主及与会信众“上为国王帝王、师尊父母，下及一切众生”依次忏悔发愿，将儒家“忠孝”伦理直接嵌入斋醮仪轨的核心环节。又如“三元五腊”等民间斋醮，杜光庭在仪轨中增设“礼谢君亲”之科，要求信众在斋醮中面向君亲之位行礼，将社会伦理中的尊卑秩序转化为仪式规范，使科仪成为儒家道德宗教化传播的具体实践。与儒家地方教化的比较分析：科仪教化与乡饮酒礼的互补与竞争杜光庭科仪教化的社会功能，可以进一步通过与儒家地方教化实践的比较来加以定位。儒家的地方教化以“乡饮酒礼”为典型代表——通过定期举行的仪式化宴饮，儒家将尊卑有序、长幼有别的伦理规范以仪式表演的方式渗透到地方社会。乡饮酒礼的社会功能与道教科仪的社会教化功能存在明显的相似性：二者都通过仪式化的实践来强化社会伦理规范，都面向地方社会的公众，都旨在弥补正式制度教化在基层社会的不足。</w:t>
      </w:r>
    </w:p>
    <w:p w14:paraId="32CEF40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然而，二者在教化路径上也存在重要差异。乡饮酒礼的教化逻辑是“世俗伦理的仪式化”——将儒家伦理（尊卑、长幼、忠孝）通过礼仪形式加以强化，其教化内容完全来自儒家的世俗伦理体系。杜光庭科仪教化的逻辑则是“宗教伦理的世俗化”——将道教的宗教教义（积善累德、清静无为、善恶有报）通过仪式实践转化为民间信众的日常行为准则，同时融入儒家的世俗伦理。这意味着道教科仪的教化路径具有更广泛的包容性——它不仅能承载儒家的伦理规范，还能为民间社会提供精神慰藉（通过祈福、禳灾、度亡等仪式功能满足心理需求）和宇宙论解释（通过“天人感应”“天道承负”等观念为善行提供超越性的报偿机制）。在功能互补方面，唐末五代儒家教化体系因战乱而严重削弱，杜光庭的科仪教化在一定程度上填补了儒家地方教化留下的真空——科仪以宗教仪式的形式承担了儒家“礼教”的教化功能。在功能竞争方面，道教科仪教化的“超越性报偿”机制（善行→上天庇佑→福报）与儒家教化的“内在性约束”机制（善行→良心安宁→社会和谐）形成了不同路径的吸引力，民间信众在二者之间的选择，也反映了唐末五代宗教与儒学在基层社会中此消彼长的复杂格局。通过仪式实践强化社会秩序意识唐末五代社会秩序崩溃，尊卑无序、礼崩乐坏成为社会常态。</w:t>
      </w:r>
    </w:p>
    <w:p w14:paraId="4E1EFA8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科仪中，将道教的“天人合一”思想与儒家的“尊卑有序”理念相结合，宣扬“天人同构、尊卑有别”的社会秩序，通过仪式实践强化信众的社会秩序意识。在斋醮仪轨中，严格区分上下、尊卑、贵贱：对天地神明行最高规格的礼仪，对帝王、长辈行尊崇之礼，对百姓、晚辈行规范之礼。通过这种仪式化的秩序展演，向信众传递“天地有秩序，人间亦有秩序”的理念，要求信众恪守社会秩序，做到君仁臣忠、父慈子孝、兄友弟恭。科仪的秩序教化，在社会动荡的背景下，起到了稳定社会公共秩序、整合社会精神的重要作用。满足民间精神需求，缓解社会焦虑唐末五代的长期战乱，使民间百姓面临着生存危机、死亡焦虑、灾害恐惧等多重精神压力，亟需精神慰藉与心理疏导。杜光庭将道教科仪推广至民间，通过祈福、禳灾、度亡、解厄等斋醮仪轨，满足民间百姓的精神需求：为遭遇灾害的百姓主持禳灾斋醮，缓解其灾害恐惧；为失去亲人的百姓主持度亡斋醮，抚慰其丧亲之痛；为身处困境的百姓主持解厄斋醮，给予其生活希望。道教科仪以“天人感应”为核心，为百姓提供了一种“通过仪式改变命运”的精神寄托，使百姓在战乱与苦难中获得心理慰藉，缓解心理焦虑，成为民间社会的重要精神支撑。这种心理疏导功能，使道教科仪深入民间，成为民间公共生活的重要组成部分。科仪作为多元文化的融合载体道教科仪并非单纯的宗教仪式，而是融合了道教经典、文学、音乐、舞蹈、书法等多元文化元素的综合文化形态：科仪中的诵经，是道教经典的传播；科仪中的青词、表文，是道教文学的重要形式；科仪中的步虚、赞咏，是道教音乐的核心内容；科仪中的禹步、手诀，是道教舞蹈的雏形；科仪中的表文、符箓书写，是道教书法的体现。杜光庭在科仪规范化的过程中，对这些文化元素进行了整理与规范，使科仪成为多元文化的融合体。通过科仪的民间传播，这些文化元素被传递到民间社会，丰富了民间百姓的公共文化生活，使道教文化成为中国传统民间公共文化的重要组成部分。</w:t>
      </w:r>
    </w:p>
    <w:p w14:paraId="7DEAFC22">
      <w:pPr>
        <w:pStyle w:val="6"/>
        <w:spacing w:before="120" w:after="60" w:line="360" w:lineRule="auto"/>
        <w:ind w:firstLine="420" w:firstLineChars="0"/>
        <w:jc w:val="center"/>
        <w:outlineLvl w:val="2"/>
        <w:rPr>
          <w:color w:val="auto"/>
        </w:rPr>
      </w:pPr>
      <w:bookmarkStart w:id="122" w:name="_Toc717562734"/>
      <w:bookmarkStart w:id="123" w:name="_Toc1663794221"/>
      <w:r>
        <w:rPr>
          <w:rFonts w:ascii="Times New Roman" w:hAnsi="Times New Roman" w:eastAsia="黑体"/>
          <w:b w:val="0"/>
          <w:bCs/>
          <w:color w:val="auto"/>
          <w:sz w:val="28"/>
          <w:szCs w:val="28"/>
        </w:rPr>
        <w:t>三、道教社会公共性的最终确立</w:t>
      </w:r>
      <w:bookmarkEnd w:id="122"/>
      <w:bookmarkEnd w:id="123"/>
    </w:p>
    <w:p w14:paraId="2BCB747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推动的科仪社会化，使道教科仪从宫廷与道观的专属仪式，成为上至帝王、下至百姓都参与的社会公共仪式，道教也因此融入世俗社会的公共生活，其社会层面的公共性最终确立。这一历史意义，不仅体现在道教自身的发展，更体现在其对中国传统社会的影响。</w:t>
      </w:r>
    </w:p>
    <w:p w14:paraId="5CEC76F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其一，使道教成为中国传统民间社会的主流宗教信仰。科仪的社会化，使道教斋醮成为民间百姓的日常宗教实践，祈福、禳灾、度亡等斋醮仪轨深入民间，道教的信仰群体得到极大拓展，从上层社会的贵族与士大夫，延伸至底层社会的百姓，成为中国传统民间社会的主流宗教信仰。</w:t>
      </w:r>
    </w:p>
    <w:p w14:paraId="0083D66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其二，使道教成为中国传统社会社会教化的重要载体。杜光庭将儒家道德、社会秩序融入科仪体系，使道教科仪成为连接官方道德教化与民间道德实践的重要桥梁，弥补了官方道德教化在民间社会的不足，成为中国传统社会社会教化的重要组成部分，对中国传统民间道德体系与社会秩序的建构产生了深远影响。</w:t>
      </w:r>
    </w:p>
    <w:p w14:paraId="3F91F54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其三，使道教文化成为中国传统民间公共文化的核心元素。科仪中融合的多元文化元素，通过民间传播，成为民间公共文化的重要组成部分，道教的音乐、文学、舞蹈、书法等文化形式，深入民间，丰富了民间公共文化生活，成为中国传统民间文化的重要源头之一。</w:t>
      </w:r>
    </w:p>
    <w:p w14:paraId="5BE68728">
      <w:pPr>
        <w:spacing w:before="0" w:after="0" w:line="360" w:lineRule="auto"/>
        <w:ind w:firstLine="420"/>
        <w:jc w:val="center"/>
        <w:rPr>
          <w:rFonts w:hint="eastAsia" w:ascii="Times New Roman" w:hAnsi="Times New Roman" w:eastAsia="黑体" w:cstheme="majorBidi"/>
          <w:b w:val="0"/>
          <w:bCs/>
          <w:color w:val="auto"/>
          <w:sz w:val="28"/>
          <w:szCs w:val="28"/>
          <w:lang w:val="en-US" w:eastAsia="en-US" w:bidi="ar-SA"/>
        </w:rPr>
      </w:pPr>
      <w:r>
        <w:rPr>
          <w:rFonts w:hint="eastAsia" w:ascii="Times New Roman" w:hAnsi="Times New Roman" w:eastAsia="黑体" w:cstheme="majorBidi"/>
          <w:b w:val="0"/>
          <w:bCs/>
          <w:color w:val="auto"/>
          <w:sz w:val="28"/>
          <w:szCs w:val="28"/>
          <w:lang w:val="en-US" w:eastAsia="zh-CN" w:bidi="ar-SA"/>
        </w:rPr>
        <w:t>四、</w:t>
      </w:r>
      <w:r>
        <w:rPr>
          <w:rFonts w:hint="eastAsia" w:ascii="Times New Roman" w:hAnsi="Times New Roman" w:eastAsia="黑体" w:cstheme="majorBidi"/>
          <w:b w:val="0"/>
          <w:bCs/>
          <w:color w:val="auto"/>
          <w:sz w:val="28"/>
          <w:szCs w:val="28"/>
          <w:lang w:val="en-US" w:eastAsia="en-US" w:bidi="ar-SA"/>
        </w:rPr>
        <w:t>本章小结</w:t>
      </w:r>
    </w:p>
    <w:p w14:paraId="492D65BD">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本章以“公共性”为理论视角，从“文本编纂—国家斋醮—社会化传播”三个层面考察了杜光庭科仪整合的文化实践逻辑。在理论层面，本文明确界定了杜光庭所建构的“宗教性公共性”与哈贝马斯</w:t>
      </w:r>
      <w:r>
        <w:rPr>
          <w:rFonts w:hint="eastAsia" w:ascii="宋体" w:hAnsi="宋体" w:eastAsia="宋体" w:cs="宋体"/>
          <w:sz w:val="24"/>
          <w:szCs w:val="24"/>
          <w:lang w:eastAsia="zh-CN"/>
        </w:rPr>
        <w:t>“</w:t>
      </w:r>
      <w:r>
        <w:rPr>
          <w:rFonts w:hint="eastAsia" w:ascii="宋体" w:hAnsi="宋体" w:eastAsia="宋体" w:cs="宋体"/>
          <w:sz w:val="24"/>
          <w:szCs w:val="24"/>
        </w:rPr>
        <w:t>现代公共性”的本质区别：前者以仪式为核心媒介、以神权-王权互动为框架、以天人感应的信仰体系为基础，后者以理性批判性辩论为核心、以市民社会的自我组织为前提、以世俗理性的自主判断为基础。二者之间的本质区别在于“理性交往”与“仪式感应”的根本分野，但杜光庭的科仪实践在“面向公众、构建共识、塑造公共角色”三个维度上确实具备了“公共性”的可分析特征，因此本文的“公共性”视角是在保持理论距离的前提下对杜光庭科仪整合社会功能的一种阐释性借用。在文本编纂层面，杜光庭通过《道门科范大全集》的编纂，构建了“功能分类+程序统一”的系统化体例。通过与陆修静“九斋十二法”的结构性比较，本文揭示了杜光庭从“教派导向”到“功能导向”的分类逻辑转变——这一转变不仅是一种编纂技术的改进，更折射出道教从多元教派并存向统一宗教制度转型的深层趋势。在国家政治层面，杜光庭以规范化的斋醮仪轨为载体，构建了“神权论证王权，王权支撑道教”的互动范式。通过与佛教仁王护国斋会的比较，本文揭示了道教国家斋醮以“天命-感应”为核心、佛教国家斋会以“因果-功德”为核心的合法性论证差异。在道教组织与社会层面，科仪的规范化消解了道派与地域的隔阂，建构起统一身份标识、专业神职队伍与层级组织体系；科仪的社会化则将儒家道德、社会秩序理念融入仪式实践。通过与儒家乡饮酒礼的比较，本文揭示了科仪教化与儒家地方教化之间的互补与竞争关系。三个层面层层递进，共同揭示了一个核心命题：杜光庭的科仪整合并非被动的文献整理，而是一套主动的、系统性的文化应对策略——在社会秩序全面崩溃的历史语境下，通过仪式的重建，为道教重构其存在的正当性基础与社会角色，最终奠定了宋以后道教发展的基本格局。</w:t>
      </w:r>
    </w:p>
    <w:p w14:paraId="3336CA00">
      <w:pPr>
        <w:pStyle w:val="3"/>
        <w:spacing w:before="360" w:after="200" w:line="360" w:lineRule="auto"/>
        <w:jc w:val="center"/>
        <w:outlineLvl w:val="0"/>
        <w:rPr>
          <w:color w:val="auto"/>
        </w:rPr>
      </w:pPr>
      <w:bookmarkStart w:id="124" w:name="_Toc1956192433"/>
      <w:bookmarkStart w:id="125" w:name="_Toc1004904760"/>
      <w:r>
        <w:rPr>
          <w:rFonts w:ascii="Times New Roman" w:hAnsi="Times New Roman" w:eastAsia="黑体"/>
          <w:b/>
          <w:color w:val="auto"/>
          <w:sz w:val="32"/>
        </w:rPr>
        <w:t>结论</w:t>
      </w:r>
      <w:bookmarkEnd w:id="124"/>
      <w:bookmarkEnd w:id="125"/>
    </w:p>
    <w:p w14:paraId="00B3E3A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本文以杜光庭的文化实践为研究对象，从思想阐释、文学书写、科仪整合三个维度系统考察了其文化实践的具体内容、核心特质及其内在关联，并对其历史贡献与当代意义进行了综合评价。在思想阐释层面，杜光庭以《道德真经广圣义》为核心文本，以重玄思想为旨归，提出"理身理国"的同构理念与"修道即修心"的核心命题，凝练出"清静自正"的心性智慧，完成了唐代道教义学的系统总结与三教融合的哲理深化。在文学书写层面，其文学创作以"神圣与世俗的双向互动"为核心特质，通过传奇小说、仪式文学与地方志怪三条路径——"以俗载道""以文通神""以地证道"——构建了道教文化的世俗传播体系。在科仪整合层面，杜光庭以《道门科范大全集》的编纂为核心，从"功能分类+程序统一"的体例设计与"承古启新"的内容创新两个维度，完成了唐代斋醮仪轨的体系化建构，并通过国家斋醮的政治实践与社会化传播，确立了道教的国家公共性、组织公共性与社会公共性。</w:t>
      </w:r>
      <w:bookmarkStart w:id="126" w:name="_Toc1899069508"/>
      <w:bookmarkStart w:id="127" w:name="_Toc729848602"/>
    </w:p>
    <w:p w14:paraId="3CB65DCC">
      <w:pPr>
        <w:spacing w:before="0" w:after="0" w:line="360" w:lineRule="auto"/>
        <w:ind w:left="0" w:leftChars="0" w:firstLine="0" w:firstLineChars="0"/>
        <w:jc w:val="center"/>
        <w:rPr>
          <w:rFonts w:hint="eastAsia" w:ascii="宋体" w:hAnsi="宋体" w:eastAsia="宋体" w:cs="宋体"/>
          <w:bCs w:val="0"/>
          <w:color w:val="auto"/>
          <w:sz w:val="24"/>
          <w:szCs w:val="24"/>
          <w:lang w:val="en-US" w:eastAsia="en-US" w:bidi="ar-SA"/>
        </w:rPr>
      </w:pPr>
      <w:r>
        <w:rPr>
          <w:rFonts w:hint="eastAsia" w:ascii="黑体" w:hAnsi="黑体" w:eastAsia="黑体" w:cs="黑体"/>
          <w:b w:val="0"/>
          <w:bCs/>
          <w:color w:val="auto"/>
          <w:sz w:val="28"/>
          <w:szCs w:val="28"/>
        </w:rPr>
        <w:t>一、三个维度文化实践的系统性关联</w:t>
      </w:r>
      <w:r>
        <w:rPr>
          <w:rFonts w:hint="eastAsia" w:ascii="黑体" w:hAnsi="黑体" w:eastAsia="黑体" w:cs="黑体"/>
          <w:b w:val="0"/>
          <w:bCs/>
          <w:color w:val="auto"/>
          <w:sz w:val="28"/>
          <w:szCs w:val="28"/>
        </w:rPr>
        <w:br w:type="textWrapping"/>
      </w:r>
      <w:r>
        <w:rPr>
          <w:rFonts w:hint="eastAsia" w:ascii="黑体" w:hAnsi="黑体" w:eastAsia="黑体" w:cs="黑体"/>
          <w:b w:val="0"/>
          <w:bCs/>
          <w:color w:val="auto"/>
          <w:sz w:val="28"/>
          <w:szCs w:val="28"/>
          <w:lang w:val="en-US" w:eastAsia="zh-CN"/>
        </w:rPr>
        <w:t xml:space="preserve">    </w:t>
      </w:r>
      <w:r>
        <w:rPr>
          <w:rFonts w:hint="eastAsia" w:ascii="宋体" w:hAnsi="宋体" w:eastAsia="宋体" w:cs="宋体"/>
          <w:bCs w:val="0"/>
          <w:color w:val="auto"/>
          <w:sz w:val="24"/>
          <w:szCs w:val="24"/>
          <w:lang w:val="en-US" w:eastAsia="en-US" w:bidi="ar-SA"/>
        </w:rPr>
        <w:t>三个维度的文化实践并非彼此孤立，而是构成了一个以"道"为内核、以"文化整合"为方法的有机整体。思想阐释为文学书写与科仪整合提供了形而上的理论基础——"修道即修心"的心性论不仅塑造了杜光庭文学作品中"于世俗中见神圣"的精神气质，也为其科仪整合中剔除巫俗糟粕、提升仪式宗教性提供了义理依据。文学书写是思想阐释的通俗化表达与科仪整合的文化延伸——传奇小说将道教思想转化为世俗叙事，仪式文学为科仪实践提供文学化的文本规范，地方志怪则将科仪的仪式空间扎根于具体的地理景观之中。科仪整合则是思想与文学的制度化落实——它将抽象的"道"本体转化为可操作的仪式程序，将文学书写中的宗教意象规范化为仪式实践，并通过国家与社会</w:t>
      </w:r>
    </w:p>
    <w:p w14:paraId="6829259A">
      <w:pPr>
        <w:spacing w:before="0" w:after="0" w:line="360" w:lineRule="auto"/>
        <w:ind w:left="720" w:leftChars="0" w:hanging="720" w:hangingChars="300"/>
        <w:jc w:val="left"/>
        <w:rPr>
          <w:rFonts w:hint="eastAsia" w:ascii="宋体" w:hAnsi="宋体" w:eastAsia="宋体" w:cs="宋体"/>
          <w:bCs w:val="0"/>
          <w:color w:val="auto"/>
          <w:sz w:val="24"/>
          <w:szCs w:val="24"/>
          <w:lang w:val="en-US" w:eastAsia="en-US" w:bidi="ar-SA"/>
        </w:rPr>
      </w:pPr>
      <w:r>
        <w:rPr>
          <w:rFonts w:hint="eastAsia" w:ascii="宋体" w:hAnsi="宋体" w:eastAsia="宋体" w:cs="宋体"/>
          <w:bCs w:val="0"/>
          <w:color w:val="auto"/>
          <w:sz w:val="24"/>
          <w:szCs w:val="24"/>
          <w:lang w:val="en-US" w:eastAsia="en-US" w:bidi="ar-SA"/>
        </w:rPr>
        <w:t>两个层面赋予道教以公共性的制度形态。</w:t>
      </w:r>
    </w:p>
    <w:p w14:paraId="48E2D12C">
      <w:pPr>
        <w:spacing w:before="0" w:after="0" w:line="360" w:lineRule="auto"/>
        <w:ind w:left="0" w:leftChars="0" w:firstLine="480" w:firstLineChars="200"/>
        <w:jc w:val="left"/>
        <w:rPr>
          <w:rFonts w:hint="eastAsia" w:ascii="宋体" w:hAnsi="宋体" w:eastAsia="宋体" w:cs="宋体"/>
          <w:bCs w:val="0"/>
          <w:color w:val="auto"/>
          <w:sz w:val="24"/>
          <w:szCs w:val="24"/>
          <w:lang w:val="en-US" w:eastAsia="en-US" w:bidi="ar-SA"/>
        </w:rPr>
      </w:pPr>
      <w:r>
        <w:rPr>
          <w:rFonts w:hint="eastAsia" w:ascii="宋体" w:hAnsi="宋体" w:eastAsia="宋体" w:cs="宋体"/>
          <w:bCs w:val="0"/>
          <w:color w:val="auto"/>
          <w:sz w:val="24"/>
          <w:szCs w:val="24"/>
          <w:lang w:val="en-US" w:eastAsia="en-US" w:bidi="ar-SA"/>
        </w:rPr>
        <w:t>三者之间的转化机制值得更细致地考察。以"清静无为"这一核心理念为例：在思想</w:t>
      </w:r>
    </w:p>
    <w:p w14:paraId="237721C3">
      <w:pPr>
        <w:spacing w:before="0" w:after="0" w:line="360" w:lineRule="auto"/>
        <w:ind w:left="0" w:leftChars="0" w:firstLine="0" w:firstLineChars="0"/>
        <w:jc w:val="left"/>
        <w:rPr>
          <w:rFonts w:hint="eastAsia" w:ascii="宋体" w:hAnsi="宋体" w:eastAsia="宋体" w:cs="宋体"/>
          <w:bCs w:val="0"/>
          <w:color w:val="auto"/>
          <w:sz w:val="24"/>
          <w:szCs w:val="24"/>
          <w:lang w:val="en-US" w:eastAsia="en-US" w:bidi="ar-SA"/>
        </w:rPr>
      </w:pPr>
      <w:r>
        <w:rPr>
          <w:rFonts w:hint="eastAsia" w:ascii="宋体" w:hAnsi="宋体" w:eastAsia="宋体" w:cs="宋体"/>
          <w:bCs w:val="0"/>
          <w:color w:val="auto"/>
          <w:sz w:val="24"/>
          <w:szCs w:val="24"/>
          <w:lang w:val="en-US" w:eastAsia="en-US" w:bidi="ar-SA"/>
        </w:rPr>
        <w:t>阐释层面，"清静无为"被确立为道的核心属性与修道的终极原则；在文学书写层面，"清静无为"通过《虬髯客传》中虬髯客"功成身退"的叙事转化为世俗可理解的人生智慧，通过步虚词中"清静无为理，逍遥自在身"的诗句转化为审美化可感知的精神意境；在科仪整合层面，"清静无为"则通过科仪中的"守静"环节转化为道士与信众可践行的身体实践——在斋醮仪轨中，"守静"要求行持者在仪式过程中"内绝思虑，外息纷扰"，将"</w:t>
      </w:r>
      <w:r>
        <w:rPr>
          <w:rFonts w:hint="eastAsia" w:ascii="宋体" w:hAnsi="宋体" w:eastAsia="宋体" w:cs="宋体"/>
          <w:bCs w:val="0"/>
          <w:color w:val="auto"/>
          <w:sz w:val="24"/>
          <w:szCs w:val="24"/>
          <w:lang w:val="en-US" w:eastAsia="zh-CN" w:bidi="ar-SA"/>
        </w:rPr>
        <w:t>清净</w:t>
      </w:r>
      <w:r>
        <w:rPr>
          <w:rFonts w:hint="eastAsia" w:ascii="宋体" w:hAnsi="宋体" w:eastAsia="宋体" w:cs="宋体"/>
          <w:bCs w:val="0"/>
          <w:color w:val="auto"/>
          <w:sz w:val="24"/>
          <w:szCs w:val="24"/>
          <w:lang w:val="en-US" w:eastAsia="en-US" w:bidi="ar-SA"/>
        </w:rPr>
        <w:t>静无为"从理念转化为具体的仪式动作。从形而上学理念到文学意象再到仪式实践，这一完整的转化链条充分体现了杜光庭文化实践的系统性特征：它不是碎片化的、局部性的工作，而是一套在思想、文学、制度三个层面相互支撑、彼此呼应的完整文化工程，共同实现了对唐代道教的全面整合与规范化。</w:t>
      </w:r>
      <w:bookmarkEnd w:id="126"/>
      <w:bookmarkEnd w:id="127"/>
    </w:p>
    <w:p w14:paraId="3DC6A6FD">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三个维度的文化实践并非彼此孤立，而是构成了一个以“道”为内核、以“文化整合”为方法的有机整体。思想阐释为文学书写与科仪整合提供了形而上的理论基础——“修道即修心”的心性论不仅塑造了杜光庭文学作品中“于世俗中见神圣”的精神气质，也为其科仪整合中剔除巫俗糟粕、提升仪式宗教性提供了义理依据。文学书写是思想阐释的通俗化表达与科仪整合的文化延伸——传奇小说将道教思想转化为世俗叙事，仪式文学为科仪实践提供文学化的文本规范，地方志怪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三者之间的转化机制值得更细致地考察。以“清静无为”这一核心理念为例：在思想阐释层面，“清静无为”被确立为道的核心属性与修道的终极原则；在文学书写层面，“清静无为”通过《虬髯客传》中虬髯客“功成身退”的叙事转化为世俗可理解的人生智慧，通过步虚词中“清静无为理，逍遥自在身”的诗句转化为审美化可感知的精神意境；在科仪整合层面，“清静无为”则通过科仪中的“守静”环节转化为道士与信众可践行的身体实践——在斋醮仪轨中，“守静”要求行持者在仪式过程中“内绝思虑，外息纷扰”，将“清静无为”从理念转化为具体的仪式动作。从形而上学理念到文学意象再到仪式实践，这一完整的转化链条充分体现了杜光庭文化实践的系统性特征：它不是碎片化的、局部性的工作，而是一套在思想、文学、制度三个层面相互支撑、彼此呼应的完整文化工程，共同实现了对唐代道教的全面整合与规范化。</w:t>
      </w:r>
      <w:bookmarkStart w:id="128" w:name="_Toc1759259242"/>
      <w:bookmarkStart w:id="129" w:name="_Toc138862150"/>
    </w:p>
    <w:p w14:paraId="3C9A8EDB">
      <w:pPr>
        <w:spacing w:before="0" w:after="0" w:line="360" w:lineRule="auto"/>
        <w:ind w:left="627" w:leftChars="232" w:hanging="70" w:hangingChars="25"/>
        <w:rPr>
          <w:rFonts w:ascii="Times New Roman" w:hAnsi="Times New Roman" w:eastAsia="黑体"/>
          <w:b w:val="0"/>
          <w:bCs/>
          <w:color w:val="auto"/>
          <w:sz w:val="28"/>
          <w:szCs w:val="28"/>
        </w:rPr>
      </w:pPr>
      <w:r>
        <w:rPr>
          <w:rFonts w:ascii="Times New Roman" w:hAnsi="Times New Roman" w:eastAsia="黑体"/>
          <w:b w:val="0"/>
          <w:bCs/>
          <w:color w:val="auto"/>
          <w:sz w:val="28"/>
          <w:szCs w:val="28"/>
        </w:rPr>
        <w:t>二、杜光庭文化实践在唐宋道教转型中的历史定位</w:t>
      </w:r>
    </w:p>
    <w:p w14:paraId="78DE8E0F">
      <w:pPr>
        <w:spacing w:before="0" w:after="0" w:line="360" w:lineRule="auto"/>
        <w:ind w:firstLine="660" w:firstLineChars="275"/>
        <w:rPr>
          <w:rFonts w:hint="eastAsia" w:ascii="宋体" w:hAnsi="宋体" w:eastAsia="宋体" w:cs="宋体"/>
          <w:bCs w:val="0"/>
          <w:color w:val="auto"/>
          <w:sz w:val="24"/>
          <w:szCs w:val="24"/>
          <w:lang w:val="en-US" w:eastAsia="en-US" w:bidi="ar-SA"/>
        </w:rPr>
      </w:pPr>
      <w:r>
        <w:rPr>
          <w:rFonts w:hint="eastAsia" w:ascii="宋体" w:hAnsi="宋体" w:eastAsia="宋体" w:cs="宋体"/>
          <w:bCs w:val="0"/>
          <w:color w:val="auto"/>
          <w:sz w:val="24"/>
          <w:szCs w:val="24"/>
          <w:lang w:val="en-US" w:eastAsia="en-US" w:bidi="ar-SA"/>
        </w:rPr>
        <w:t>从历史维度看，杜光庭的文化实践标志着道教从唐代的"繁荣而散乱"向宋以后的"系统而规范"转型的关键节点。唐代的道教虽然享有国教地位，但道派林立、仪轨淆杂、思想碎片化的问题始终未能解决。杜光庭之前，寇谦之解决了道教仪式的"官方化"问题，陆修静解决了"系统化"问题，张万福解决了"精细化"问题，但三次整理均未触及道派之间的根本壁垒，也未建立思想、文学、制度三位一体的整合框架。杜光庭的独特贡献在于：他以"文化实践"的整体性视野，在思想、文学、制度三个层面同步推进整合工作，使道教的整合不再是局部的修补，而是系统性的重建。</w:t>
      </w:r>
      <w:r>
        <w:rPr>
          <w:rFonts w:hint="eastAsia" w:ascii="宋体" w:hAnsi="宋体" w:eastAsia="宋体" w:cs="宋体"/>
          <w:bCs w:val="0"/>
          <w:color w:val="auto"/>
          <w:sz w:val="24"/>
          <w:szCs w:val="24"/>
          <w:lang w:val="en-US" w:eastAsia="en-US" w:bidi="ar-SA"/>
        </w:rPr>
        <w:br w:type="textWrapping"/>
      </w:r>
      <w:r>
        <w:rPr>
          <w:rFonts w:hint="eastAsia" w:ascii="宋体" w:hAnsi="宋体" w:eastAsia="宋体" w:cs="宋体"/>
          <w:bCs w:val="0"/>
          <w:color w:val="auto"/>
          <w:sz w:val="24"/>
          <w:szCs w:val="24"/>
          <w:lang w:val="en-US" w:eastAsia="zh-CN" w:bidi="ar-SA"/>
        </w:rPr>
        <w:t xml:space="preserve">        </w:t>
      </w:r>
      <w:r>
        <w:rPr>
          <w:rFonts w:hint="eastAsia" w:ascii="宋体" w:hAnsi="宋体" w:eastAsia="宋体" w:cs="宋体"/>
          <w:bCs w:val="0"/>
          <w:color w:val="auto"/>
          <w:sz w:val="24"/>
          <w:szCs w:val="24"/>
          <w:lang w:val="en-US" w:eastAsia="en-US" w:bidi="ar-SA"/>
        </w:rPr>
        <w:t>杜光庭的前承后启关系可以从更精确的历史坐标来定位。他前承寇谦之、陆修静、张万福的三次科仪整理之积淀，同时也继承了唐代重玄学派（成玄英、李荣）与司马承祯的思想遗产；后启宋代道教的新格局——全真道与正一道的道派格局、内丹学的心性论框架、以及道教科仪的基本程序，都在不同程度上受到了杜光庭文化实践的影响。其所构建的"仪以立教"的科仪体系、"神权与王权互证"的政治互动范式以及"多元一体"的文化整合方法，对宋元明清道教的持续发展产生了深远影响。可以认为，杜光庭在道教制度史与思想史上均占有枢纽地位——他是唐代道教的终结者与宋以后道教的奠基者。</w:t>
      </w:r>
      <w:r>
        <w:rPr>
          <w:rFonts w:hint="eastAsia" w:ascii="宋体" w:hAnsi="宋体" w:eastAsia="宋体" w:cs="宋体"/>
          <w:bCs w:val="0"/>
          <w:color w:val="auto"/>
          <w:sz w:val="24"/>
          <w:szCs w:val="24"/>
          <w:lang w:val="en-US" w:eastAsia="en-US" w:bidi="ar-SA"/>
        </w:rPr>
        <w:br w:type="textWrapping"/>
      </w:r>
      <w:r>
        <w:rPr>
          <w:rFonts w:hint="eastAsia" w:ascii="宋体" w:hAnsi="宋体" w:eastAsia="宋体" w:cs="宋体"/>
          <w:bCs w:val="0"/>
          <w:color w:val="auto"/>
          <w:sz w:val="24"/>
          <w:szCs w:val="24"/>
          <w:lang w:val="en-US" w:eastAsia="zh-CN" w:bidi="ar-SA"/>
        </w:rPr>
        <w:t xml:space="preserve">         </w:t>
      </w:r>
      <w:r>
        <w:rPr>
          <w:rFonts w:hint="eastAsia" w:ascii="宋体" w:hAnsi="宋体" w:eastAsia="宋体" w:cs="宋体"/>
          <w:bCs w:val="0"/>
          <w:color w:val="auto"/>
          <w:sz w:val="24"/>
          <w:szCs w:val="24"/>
          <w:lang w:val="en-US" w:eastAsia="en-US" w:bidi="ar-SA"/>
        </w:rPr>
        <w:t>从中国思想文化史的宏观视野来看，杜光庭的文化实践更具有超越道教本身的思想史意义。在唐代向宋代转型的历史节点上，杜光庭以道教的"道"本体为核心，完成了对儒释道三教思想的有机整合，其"以道统摄、儒释为用"的整合策略，与同时代华严宗的"判教"理论、儒家的"道统"建构形成了有趣的对照，共同构成了唐宋之际中国思想文化从"多元并存"向"融会贯通"转型的重要环节。杜光庭的"修道即修心"心性论，上承唐代重玄义学与禅宗心性论，下启宋明理学的"性即理"与"心即理"命题，成为连接唐代佛道思想与宋明理学的重要思想桥梁。因此，杜光庭不仅是中国道教史上的关键人物，更是中国思想文化史上不可忽视的重要思想家。</w:t>
      </w:r>
      <w:bookmarkEnd w:id="128"/>
      <w:bookmarkEnd w:id="129"/>
    </w:p>
    <w:p w14:paraId="18AF4F6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从历史维度看，杜光庭的文化实践标志着道教从唐代的“繁荣而散乱”向宋以后的“系统而规范”转型的关键节点。唐代的道教虽然享有国教地位，但道派林立、仪轨淆杂、思想碎片化的问题始终未能解决。杜光庭之前，寇谦之解决了道教仪式的“官方化”问题，陆修静解决了“系统化”问题，张万福解决了“精细化”问题，但三次整理均未触及道派之间的根本壁垒，也未建立思想、文学、制度三位一体的整合框架。杜光庭的独特贡献在于：他以“文化实践”的整体性视野，在思想、文学、制度三个层面同步推进整合工作，使道教的整合不再是局部的修补，而是系统性的重建。杜光庭的前承后启关系可以从更精确的历史坐标来定位。他前承寇谦之、陆修静、张万福的三次科仪整理之积淀，同时也继承了唐代重玄学派（成玄英、李荣）与司马承祯的思想遗产；后启宋代道教的新格局——全真道与正一道的道派格局、内丹学的心性论框架、以及道教科仪的基本程序，都在不同程度上受到了杜光庭文化实践的影响。其所构建的“仪以立教”的科仪体系、“神权与王权互证”的政治互动范式以及“多元一体”的文化整合方法，对宋元明清道教的持续发展产生了深远影响。可以认为，杜光庭在道教制度史与思想史上均占有枢纽地位——他是唐代道教的终结者与宋以后道教的奠基者。</w:t>
      </w:r>
    </w:p>
    <w:p w14:paraId="1F0D247B">
      <w:pPr>
        <w:pStyle w:val="6"/>
        <w:spacing w:before="120" w:after="60" w:line="360" w:lineRule="auto"/>
        <w:ind w:firstLine="420" w:firstLineChars="0"/>
        <w:jc w:val="center"/>
        <w:outlineLvl w:val="1"/>
        <w:rPr>
          <w:color w:val="auto"/>
        </w:rPr>
      </w:pPr>
      <w:bookmarkStart w:id="130" w:name="_Toc1315228398"/>
      <w:bookmarkStart w:id="131" w:name="_Toc1688914408"/>
      <w:bookmarkStart w:id="132" w:name="_Toc1622901312"/>
      <w:r>
        <w:rPr>
          <w:rFonts w:ascii="Times New Roman" w:hAnsi="Times New Roman" w:eastAsia="黑体"/>
          <w:b w:val="0"/>
          <w:bCs/>
          <w:color w:val="auto"/>
          <w:sz w:val="28"/>
          <w:szCs w:val="28"/>
        </w:rPr>
        <w:t>三、研究不足与未来展望</w:t>
      </w:r>
      <w:bookmarkEnd w:id="130"/>
      <w:bookmarkEnd w:id="131"/>
      <w:bookmarkEnd w:id="132"/>
    </w:p>
    <w:p w14:paraId="363A84D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然而，本研究亦存在若干局限，需要在后续研究中加以完善。第一，比较研究的视野尚需拓展。本文对杜光庭与同时代其他道教人物（如闾丘方远、彭晓等）的比较较为薄弱。闾丘方远作为唐末五代的另一位道教领袖，其在茅山宗的科仪整合与思想发展中也做出了重要贡献；彭晓则在内丹学的早期发展中具有开创性地位。对这些同时代人物与杜光庭的比较，将有助于更精确地定位杜光庭文化实践在唐末五代道教格局中的独特贡献。此外，本文对杜光庭与同时代佛教僧侣（如永明延寿的三教融合实践）之间的比较也较为不足，未来研究应将杜光庭置于唐末五代三教互动的完整图景中进行考察。第二，对科仪文本的细读尚显不足。本文主要从宏观层面分析科仪整合的结构与功能，对具体科仪程序、咒语、表文等微观文本的深入解读有待加强。未来研究应加强对《道门科范大全集》中具体科仪条目的细致考辨，尤其关注科仪文本的文学性表达与宗教功能之间的互动关系，以及不同科仪在历史流传中的变异与定型过程。例如，黄箓斋仪中“发愿”环节的具体文本与唐末五代社会语境之间的关联，仍有待深入探讨。第三，当代价值探讨仍停留在理论层面。本文对杜光庭文化实践当代意义的分析主要基于文本阐释，缺乏田野调查或实证研究的支撑。未来研究可结合具体的道教宫观实践，考察杜光庭科仪体系在当代道教仪式中的实际使用情况与传承变迁，同时关注“清静自正”等心性理念在当代道教修行实践与世俗心理健康教育中的具体应用路径。</w:t>
      </w:r>
    </w:p>
    <w:p w14:paraId="4D4D36CF">
      <w:pPr>
        <w:pStyle w:val="6"/>
        <w:spacing w:before="120" w:after="60" w:line="360" w:lineRule="auto"/>
        <w:ind w:firstLine="420" w:firstLineChars="0"/>
        <w:jc w:val="center"/>
        <w:outlineLvl w:val="1"/>
        <w:rPr>
          <w:color w:val="auto"/>
        </w:rPr>
      </w:pPr>
      <w:bookmarkStart w:id="133" w:name="_Toc994506615"/>
      <w:bookmarkStart w:id="134" w:name="_Toc145609210"/>
      <w:bookmarkStart w:id="135" w:name="_Toc912550237"/>
      <w:r>
        <w:rPr>
          <w:rFonts w:ascii="Times New Roman" w:hAnsi="Times New Roman" w:eastAsia="黑体"/>
          <w:b w:val="0"/>
          <w:bCs/>
          <w:color w:val="auto"/>
          <w:sz w:val="28"/>
          <w:szCs w:val="28"/>
        </w:rPr>
        <w:t>四、杜光庭文化实践的当代回响</w:t>
      </w:r>
      <w:bookmarkEnd w:id="133"/>
      <w:bookmarkEnd w:id="134"/>
      <w:bookmarkEnd w:id="135"/>
    </w:p>
    <w:p w14:paraId="32A5E74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杜光庭的文化实践虽产生于千年之前，其所凝练的文化智慧对当代社会发展具有启示意义。以下从心性修养、文明对话与生态文明三个维度，结合具体的实践路径，简述其当代回响。</w:t>
      </w:r>
    </w:p>
    <w:p w14:paraId="498A1AB3">
      <w:pPr>
        <w:pStyle w:val="7"/>
        <w:spacing w:before="60" w:after="60" w:line="360" w:lineRule="auto"/>
        <w:ind w:firstLine="420" w:firstLineChars="0"/>
        <w:jc w:val="left"/>
        <w:outlineLvl w:val="2"/>
        <w:rPr>
          <w:i w:val="0"/>
          <w:iCs w:val="0"/>
          <w:color w:val="auto"/>
        </w:rPr>
      </w:pPr>
      <w:bookmarkStart w:id="136" w:name="_Toc807453704"/>
      <w:bookmarkStart w:id="137" w:name="_Toc1270118537"/>
      <w:bookmarkStart w:id="138" w:name="_Toc2051110032"/>
      <w:r>
        <w:rPr>
          <w:rFonts w:ascii="Times New Roman" w:hAnsi="Times New Roman" w:eastAsia="黑体"/>
          <w:b/>
          <w:bCs/>
          <w:i w:val="0"/>
          <w:iCs w:val="0"/>
          <w:color w:val="auto"/>
          <w:sz w:val="24"/>
          <w:szCs w:val="24"/>
        </w:rPr>
        <w:t>（一）“清静自正”与当代精神安顿</w:t>
      </w:r>
      <w:bookmarkEnd w:id="136"/>
      <w:bookmarkEnd w:id="137"/>
      <w:bookmarkEnd w:id="138"/>
    </w:p>
    <w:p w14:paraId="53DB08B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以“修道即修心”为核心，凝练出“清静自正”的心性智慧，其核心内涵包括三个层面：第一，清静是心的本然状态与回归路径——“道性本清，人心本静，其扰者，妄念与物欲也”，修心的本质是“去蔽”而非“建构”，是“回归”而非“塑造”。第二，自正是清静的自然结果与道德自觉——“心清则性明，性明则行正”，道德判断来自内心的自然觉知而非外在的礼法规范。第三，“清静自正”指向“与道同体”的终极境界——在世俗生活中实现精神超越，“于红尘中守清静，于世事中行自正”。值得注意的是，杜光庭的“清静自正”与当代流行的“佛系”心态有着本质区别：“佛系”往往意味着消极避世、放弃追求，而杜光庭的“清静”是在积极入世中保持内心的澄明，“自正”是在承担责任中实现道德的自觉，其核心是“内心清静，行为端正”，而非“内心空虚，行为放任”。在当代社会，消费主义导致人的价值被物化、功利主义导致超越性价值的消解、社交媒体导致自我认同的外化——这些精神困境的本质是“内心的主体性丧失”，人被物质、欲望、外界评价所裹挟，陷入“向外求而不得”的焦虑与内耗。杜光庭“清静自正”的心性思想根植于中国人的文化基因与精神追求，为现代人的精神安顿为……提供了本土化的思想资源。在实践路径层面，“清静自正”的理念可以在当代道教宫观的修行实践中落地——如青城山、武当山等道教圣地可开设以“观心守静”为核心的静修课程，将传统的“坐忘”修道方法转化为适合现代人的冥想与正念实践。同时，“清静自正”理念对当代心理健康教育也具有启示意义——其“去蔽”“回归”的修心路径与当代正念减压疗法</w:t>
      </w:r>
      <w:r>
        <w:rPr>
          <w:rFonts w:hint="eastAsia" w:ascii="Times New Roman" w:hAnsi="Times New Roman" w:eastAsia="宋体"/>
          <w:color w:val="auto"/>
          <w:kern w:val="2"/>
          <w:szCs w:val="24"/>
          <w:lang w:val="en-US" w:eastAsia="zh-CN"/>
        </w:rPr>
        <w:t>（MBSR）</w:t>
      </w:r>
      <w:r>
        <w:rPr>
          <w:rFonts w:hint="eastAsia" w:ascii="宋体" w:hAnsi="宋体" w:eastAsia="宋体" w:cs="宋体"/>
          <w:sz w:val="24"/>
          <w:szCs w:val="24"/>
        </w:rPr>
        <w:t>之间存在着值得深入探讨的对话空间。</w:t>
      </w:r>
    </w:p>
    <w:p w14:paraId="38417EB7">
      <w:pPr>
        <w:pStyle w:val="7"/>
        <w:spacing w:before="60" w:after="60" w:line="360" w:lineRule="auto"/>
        <w:ind w:firstLine="420" w:firstLineChars="0"/>
        <w:jc w:val="left"/>
        <w:outlineLvl w:val="2"/>
        <w:rPr>
          <w:rFonts w:hint="eastAsia" w:ascii="黑体" w:hAnsi="黑体" w:eastAsia="黑体" w:cs="黑体"/>
          <w:i w:val="0"/>
          <w:iCs w:val="0"/>
          <w:color w:val="auto"/>
        </w:rPr>
      </w:pPr>
      <w:bookmarkStart w:id="139" w:name="_Toc925237735"/>
      <w:bookmarkStart w:id="140" w:name="_Toc894800179"/>
      <w:bookmarkStart w:id="141" w:name="_Toc1598806180"/>
      <w:r>
        <w:rPr>
          <w:rFonts w:hint="eastAsia" w:ascii="黑体" w:hAnsi="黑体" w:eastAsia="黑体" w:cs="黑体"/>
          <w:b/>
          <w:bCs/>
          <w:i w:val="0"/>
          <w:iCs w:val="0"/>
          <w:color w:val="auto"/>
          <w:sz w:val="24"/>
          <w:szCs w:val="24"/>
        </w:rPr>
        <w:t>（二）“多元一体”与文明对话</w:t>
      </w:r>
      <w:bookmarkEnd w:id="139"/>
      <w:bookmarkEnd w:id="140"/>
      <w:bookmarkEnd w:id="141"/>
    </w:p>
    <w:p w14:paraId="2ADF6014">
      <w:pPr>
        <w:pStyle w:val="7"/>
        <w:bidi w:val="0"/>
        <w:rPr>
          <w:rFonts w:hint="eastAsia"/>
        </w:rPr>
      </w:pPr>
      <w:r>
        <w:rPr>
          <w:rFonts w:hint="eastAsia"/>
        </w:rPr>
        <w:t>杜光庭的文化整合实践以“多元一体”为核心特征，其内涵包括三个层面：第一，坚守文化主体性是整合的前提——以道教“道”本体为核心，一切整合围绕“道”展开，“儒家明人伦，乃道之在人也；佛家明心性，乃道之在己也；道家明天地，乃道之本体也”，三教同源而异流，最终归于“道”。第二，包容文化多元性是整合的基础——摒弃三教对立的狭隘观念，“儒教以治世，佛教以治心，道教以治身，三者相须，不可偏废”，吸收儒释的合理内核为道教所用。第三，实现有机融合而非同质化是整合的关键——对儒释思想进行道教化的融摄与重构，将儒家的“五常”视为“道之德”，将佛教的“观心”转化为道教的“守静”，实现“和而不同”。在全球化背景下，文明冲突与文化对立、本土文化发展中的本位主义与虚无主义，仍是当代文明对话面临的核心困境。杜光庭“坚守主体性，包容多元性，实现有机融合”的理念，为当代文明对话提供了本土范式：在坚守中华文化主体性的基础上，以开放的心态吸收世界优秀文化的合理内核，实现文化的创造性转化与创新性发展，构建具有中国特色、中国风格、中国气派的多元一体文化体系。</w:t>
      </w:r>
    </w:p>
    <w:p w14:paraId="2C50C83A">
      <w:pPr>
        <w:pStyle w:val="7"/>
        <w:spacing w:before="60" w:after="60" w:line="360" w:lineRule="auto"/>
        <w:ind w:firstLine="420" w:firstLineChars="0"/>
        <w:jc w:val="left"/>
        <w:outlineLvl w:val="2"/>
        <w:rPr>
          <w:i w:val="0"/>
          <w:iCs w:val="0"/>
          <w:color w:val="auto"/>
        </w:rPr>
      </w:pPr>
      <w:bookmarkStart w:id="142" w:name="_Toc541524218"/>
      <w:bookmarkStart w:id="143" w:name="_Toc78628512"/>
      <w:bookmarkStart w:id="144" w:name="_Toc1820075996"/>
      <w:r>
        <w:rPr>
          <w:rFonts w:ascii="Times New Roman" w:hAnsi="Times New Roman" w:eastAsia="黑体"/>
          <w:b/>
          <w:bCs/>
          <w:i w:val="0"/>
          <w:iCs w:val="0"/>
          <w:color w:val="auto"/>
          <w:sz w:val="24"/>
          <w:szCs w:val="24"/>
        </w:rPr>
        <w:t>（三）“洞天福地”与生态文明</w:t>
      </w:r>
      <w:bookmarkEnd w:id="142"/>
      <w:bookmarkEnd w:id="143"/>
      <w:bookmarkEnd w:id="144"/>
    </w:p>
    <w:p w14:paraId="0FEE331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杜光庭在《洞天福地岳渎名山记》等著作中构建的洞天福地体系，其深层蕴含着丰富的生态智慧，核心内涵包括三个层面：第一，自然的神圣性——将洞天福地界定为“天地自然之胜境”，赋予自然神圣的地位，使人对自然产生敬畏之心，进而形成保护自然的自觉，这与当代生态理念的“自然价值论”高度契合。第二，天人的同构性——以“天人合一”为核心，认为人与自然同构共生，“人融入自然，自然滋养人类”，突破了西方人类中心主义与生态中心主义的二元对立，形成了中道的生态智慧。第三，生态的整体性——洞天福地是由山、水、林、石等构成的完整生态单元，各要素相互联系、相互作用，体现了对自然生态规律的深刻把握，与当代“生态系统论”高度契合。在当代生态文明建设实践中，杜光庭“洞天福地”思想的生态智慧对……具有启示意义。在实践路径层面，“洞天福地”的生态理念可以服务于当代生态保护实践——中国道教协会与各地道教宫观可结合“洞天福地”名录，开展道教生态宫观建设，将传统的“护山”“护水”“护林”理念转化为具体的生态保护行动。例如，青城山道教宫观可以依托“第五洞天”的文化传统，建立“洞天福地生态保护区”，将道教的自然崇拜与当代的生态科学相结合，探索传统文化资源参与生态治理的新模式。此外，各地道教协会可联合举办“洞天福地生态论坛”，推动“天人合一”的生态智慧与现代生态文明理念的对话融合，为全球生态治理贡献来自中国本土传统的智慧资源。</w:t>
      </w:r>
    </w:p>
    <w:p w14:paraId="032476FE">
      <w:pPr>
        <w:pStyle w:val="6"/>
        <w:spacing w:before="120" w:after="60" w:line="360" w:lineRule="auto"/>
        <w:ind w:firstLine="420" w:firstLineChars="0"/>
        <w:jc w:val="center"/>
        <w:outlineLvl w:val="1"/>
        <w:rPr>
          <w:color w:val="auto"/>
        </w:rPr>
      </w:pPr>
      <w:bookmarkStart w:id="145" w:name="_Toc361835940"/>
      <w:bookmarkStart w:id="146" w:name="_Toc806958279"/>
      <w:bookmarkStart w:id="147" w:name="_Toc1260196904"/>
      <w:r>
        <w:rPr>
          <w:rFonts w:ascii="Times New Roman" w:hAnsi="Times New Roman" w:eastAsia="黑体"/>
          <w:b w:val="0"/>
          <w:bCs/>
          <w:color w:val="auto"/>
          <w:sz w:val="28"/>
          <w:szCs w:val="28"/>
        </w:rPr>
        <w:t>五、核心论点的总结</w:t>
      </w:r>
      <w:bookmarkEnd w:id="145"/>
      <w:bookmarkEnd w:id="146"/>
      <w:bookmarkEnd w:id="147"/>
    </w:p>
    <w:p w14:paraId="1C05E35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本文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这一论点贯穿本文的始终：第一章揭示了思想整合如何为文学传播与制度建构提供义理基础，第二章揭示了文学传播如何将思想理念转化为世俗可感知的文化形式并为制度建构提供文化传播层面的支撑，第三章揭示了制度建构如何将思想与文学的成果转化为稳定的制度形态并为道教争取到国家与社会层面的公共角色。三者之间的协同运作，使杜光庭的文化实践成为唐宋道教转型的关键枢纽，其历史意义与当代回响值得持续深入地探讨。</w:t>
      </w:r>
    </w:p>
    <w:p w14:paraId="4218781B">
      <w:pPr>
        <w:spacing w:line="360" w:lineRule="auto"/>
        <w:rPr>
          <w:color w:val="auto"/>
        </w:rPr>
      </w:pPr>
      <w:r>
        <w:rPr>
          <w:color w:val="auto"/>
        </w:rPr>
        <w:br w:type="page"/>
      </w:r>
    </w:p>
    <w:p w14:paraId="22719C5E">
      <w:pPr>
        <w:pStyle w:val="3"/>
        <w:spacing w:before="480" w:after="240" w:line="360" w:lineRule="auto"/>
        <w:jc w:val="center"/>
        <w:outlineLvl w:val="0"/>
        <w:rPr>
          <w:color w:val="auto"/>
        </w:rPr>
      </w:pPr>
      <w:bookmarkStart w:id="148" w:name="_Toc1850438923"/>
      <w:bookmarkStart w:id="149" w:name="_Toc1645638814"/>
      <w:r>
        <w:rPr>
          <w:rFonts w:ascii="Times New Roman" w:hAnsi="Times New Roman" w:eastAsia="黑体"/>
          <w:b/>
          <w:color w:val="auto"/>
          <w:sz w:val="32"/>
        </w:rPr>
        <w:t>参考文献</w:t>
      </w:r>
      <w:bookmarkEnd w:id="148"/>
      <w:bookmarkEnd w:id="149"/>
    </w:p>
    <w:p w14:paraId="41F78B80">
      <w:pPr>
        <w:pStyle w:val="7"/>
        <w:spacing w:before="0" w:after="0" w:line="360" w:lineRule="auto"/>
        <w:ind w:firstLine="420"/>
        <w:jc w:val="left"/>
        <w:rPr>
          <w:i w:val="0"/>
          <w:iCs w:val="0"/>
          <w:color w:val="auto"/>
        </w:rPr>
      </w:pPr>
      <w:r>
        <w:rPr>
          <w:rFonts w:ascii="Times New Roman" w:hAnsi="Times New Roman" w:eastAsia="黑体"/>
          <w:b/>
          <w:bCs/>
          <w:i w:val="0"/>
          <w:iCs w:val="0"/>
          <w:color w:val="auto"/>
          <w:sz w:val="24"/>
          <w:szCs w:val="24"/>
        </w:rPr>
        <w:t>（一）道教典籍</w:t>
      </w:r>
    </w:p>
    <w:p w14:paraId="69BEBC3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 杜光庭.道德真经广圣义[M]//道藏:第14-15册.北京:文物出版社;上海:上海书店;天津:天津古籍出版社,1988:309-742.</w:t>
      </w:r>
    </w:p>
    <w:p w14:paraId="50D6354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 杜光庭.道门科范大全集[M]//道藏:第31-33册.北京:文物出版社;上海:上海书店;天津:天津古籍出版社,1988:1-966.</w:t>
      </w:r>
    </w:p>
    <w:p w14:paraId="50CAA2C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 杜光庭.广成集[M]//道藏:第23册.北京:文物出版社;上海:上海书店;天津:天津古籍出版社,1988:1-263.</w:t>
      </w:r>
    </w:p>
    <w:p w14:paraId="246A0D0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[4] 杜光庭.录异记[M]//道藏:第10册.北京:文物出版社;上海:上海书店;天津:天津古籍出版社,1988:856-899.</w:t>
      </w:r>
    </w:p>
    <w:p w14:paraId="4716DCA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[5] 杜光庭.神仙感遇传[M]//道藏:第10册.北京:文物出版社;上海:上海书店;天津:天津古籍出版社,1988:825-855.</w:t>
      </w:r>
    </w:p>
    <w:p w14:paraId="04BD581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[6] 杜光庭.洞天福地岳渎名山记[M]//道藏:第11册.北京:文物出版社;上海:上海书店;天津:天津古籍出版社,1988:55-69.</w:t>
      </w:r>
    </w:p>
    <w:p w14:paraId="7591324F">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[7] 杜光庭.太上老君说常清静经注[M]//道藏:第17册.北京:文物出版社;上海:上海书店;天津:天津古籍出版社,1988:141-145.</w:t>
      </w:r>
    </w:p>
    <w:p w14:paraId="76B794B6">
      <w:pPr>
        <w:pStyle w:val="7"/>
        <w:spacing w:before="0" w:after="0" w:line="360" w:lineRule="auto"/>
        <w:ind w:firstLine="420"/>
        <w:jc w:val="left"/>
        <w:rPr>
          <w:i w:val="0"/>
          <w:iCs w:val="0"/>
          <w:color w:val="auto"/>
        </w:rPr>
      </w:pPr>
      <w:r>
        <w:rPr>
          <w:rFonts w:ascii="Times New Roman" w:hAnsi="Times New Roman" w:eastAsia="黑体"/>
          <w:b/>
          <w:bCs/>
          <w:i w:val="0"/>
          <w:iCs w:val="0"/>
          <w:color w:val="auto"/>
          <w:sz w:val="24"/>
          <w:szCs w:val="24"/>
        </w:rPr>
        <w:t>（二）史部典籍与总集</w:t>
      </w:r>
    </w:p>
    <w:p w14:paraId="5238607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[8] 赵道一.历世真仙体道通鉴[M]//道藏:第5册.北京:文物出版社;上海:上海书店;天津:天津古籍出版社,1988:107-511.</w:t>
      </w:r>
    </w:p>
    <w:p w14:paraId="1F4BE36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[9] 薛居正,等.旧五代史[M].北京:中华书局,1976.</w:t>
      </w:r>
    </w:p>
    <w:p w14:paraId="376E033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[10] 欧阳修.新五代史[M].北京:中华书局,1974.</w:t>
      </w:r>
    </w:p>
    <w:p w14:paraId="62FF4F4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[11] 吴任臣.十国春秋[M].北京:中华书局,1983.</w:t>
      </w:r>
    </w:p>
    <w:p w14:paraId="5EFFEA82">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[12] 董诰,等.全唐文[M].北京:中华书局,1983.</w:t>
      </w:r>
    </w:p>
    <w:p w14:paraId="49015C19">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[13] 彭定求,等.全唐诗[M].北京:中华书局,1960.</w:t>
      </w:r>
    </w:p>
    <w:p w14:paraId="7F1A55B5">
      <w:pPr>
        <w:pStyle w:val="7"/>
        <w:spacing w:before="0" w:after="0" w:line="360" w:lineRule="auto"/>
        <w:ind w:firstLine="420"/>
        <w:jc w:val="left"/>
        <w:rPr>
          <w:i w:val="0"/>
          <w:iCs w:val="0"/>
          <w:color w:val="auto"/>
        </w:rPr>
      </w:pPr>
      <w:r>
        <w:rPr>
          <w:rFonts w:ascii="Times New Roman" w:hAnsi="Times New Roman" w:eastAsia="黑体"/>
          <w:b/>
          <w:bCs/>
          <w:i w:val="0"/>
          <w:iCs w:val="0"/>
          <w:color w:val="auto"/>
          <w:sz w:val="24"/>
          <w:szCs w:val="24"/>
        </w:rPr>
        <w:t>（三）研究专著</w:t>
      </w:r>
    </w:p>
    <w:p w14:paraId="7C07770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[14] 孙亦平.杜光庭思想与唐宋道教的转型[M].南京:南京大学出版社,2008.</w:t>
      </w:r>
    </w:p>
    <w:p w14:paraId="3C6EA46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[15] 孙亦平.杜光庭评传[M].南京:南京大学出版社,2015.</w:t>
      </w:r>
    </w:p>
    <w:p w14:paraId="54DFFF6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[16] 李养正.道教概说[M].北京:中华书局,1989.</w:t>
      </w:r>
    </w:p>
    <w:p w14:paraId="189D66E6">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[17] 卿希泰.中国道教史:第2卷[M].成都:四川人民出版社,1992.</w:t>
      </w:r>
    </w:p>
    <w:p w14:paraId="6DE7E6A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[18] 牟钟鉴,张践.中国宗教通史[M].北京:社会科学文献出版社,2000.</w:t>
      </w:r>
    </w:p>
    <w:p w14:paraId="6A32063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[19] 詹石窗.道教文化十五讲[M].北京:北京大学出版社,2003.</w:t>
      </w:r>
    </w:p>
    <w:p w14:paraId="481FFD6C">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[20] 葛兆光.中国思想史:第2卷[M].上海:复旦大学出版社,2001.</w:t>
      </w:r>
    </w:p>
    <w:p w14:paraId="25B41E6A">
      <w:pPr>
        <w:pStyle w:val="7"/>
        <w:spacing w:before="0" w:after="0" w:line="360" w:lineRule="auto"/>
        <w:ind w:firstLine="420"/>
        <w:jc w:val="left"/>
        <w:rPr>
          <w:i w:val="0"/>
          <w:iCs w:val="0"/>
          <w:color w:val="auto"/>
        </w:rPr>
      </w:pPr>
      <w:r>
        <w:rPr>
          <w:rFonts w:ascii="Times New Roman" w:hAnsi="Times New Roman" w:eastAsia="黑体"/>
          <w:b/>
          <w:bCs/>
          <w:i w:val="0"/>
          <w:iCs w:val="0"/>
          <w:color w:val="auto"/>
          <w:sz w:val="24"/>
          <w:szCs w:val="24"/>
        </w:rPr>
        <w:t>（四）学位论文</w:t>
      </w:r>
    </w:p>
    <w:p w14:paraId="0BC4206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[21] 李杰.杜光庭道教仙传研究[D].重庆:西南大学,2025.</w:t>
      </w:r>
    </w:p>
    <w:p w14:paraId="475FF47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[22] 费茹琳.杜光庭神仙思想初探[D].沈阳:辽宁大学,2021.</w:t>
      </w:r>
    </w:p>
    <w:p w14:paraId="6911EF4B">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[23] 罗争鸣.唐五代道教小说研究[D].上海:复旦大学,2003.</w:t>
      </w:r>
    </w:p>
    <w:p w14:paraId="5F29033A">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[24] 李辉祥.论杜光庭对重玄学思想的总结[D].上海:华东师范大学,2006.</w:t>
      </w:r>
    </w:p>
    <w:p w14:paraId="01FE71D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[25] 孙国洋.杜光庭《道德真经广圣义》中的生命哲学研究[D].湘潭:湘潭大学,2017.</w:t>
      </w:r>
    </w:p>
    <w:p w14:paraId="26208F4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[26] 罗虹.杜光庭及其著作研究[D].武汉:华中师范大学,2004.</w:t>
      </w:r>
    </w:p>
    <w:p w14:paraId="7B40296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[27] 张珍珍.杜光庭《太上黄籙斋仪》整理与研究[D].杭州:浙江大学,2023.</w:t>
      </w:r>
    </w:p>
    <w:p w14:paraId="2FA1C654">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[28] 徐孟歌.《墉城集仙录》研究[D].新乡:河南师范大学,2020.</w:t>
      </w:r>
    </w:p>
    <w:p w14:paraId="1F7B121A">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[29] 闫梦珂.《广成集》词汇研究[D].杭州:浙江财经大学,2019.</w:t>
      </w:r>
    </w:p>
    <w:p w14:paraId="03385F9C">
      <w:pPr>
        <w:pStyle w:val="7"/>
        <w:spacing w:before="0" w:after="0" w:line="360" w:lineRule="auto"/>
        <w:ind w:firstLine="420"/>
        <w:jc w:val="left"/>
        <w:rPr>
          <w:color w:val="auto"/>
        </w:rPr>
      </w:pPr>
      <w:r>
        <w:rPr>
          <w:rFonts w:ascii="Times New Roman" w:hAnsi="Times New Roman" w:eastAsia="黑体"/>
          <w:b/>
          <w:bCs/>
          <w:color w:val="auto"/>
          <w:sz w:val="24"/>
          <w:szCs w:val="24"/>
        </w:rPr>
        <w:t>（五）期刊论文</w:t>
      </w:r>
    </w:p>
    <w:p w14:paraId="6BFF4048">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[30] 吴羽,吴嘉琳.杜光庭著作中所见唐代可携式道教神像研究[J].魏晋南北朝隋唐史资料,2024(2):3-18.</w:t>
      </w:r>
    </w:p>
    <w:p w14:paraId="0176162E">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[31] 胡耀飞.宗教、祥瑞与治民：《广成集》所见前蜀地方官的日常[J].法律史评论,2023,21(2):188-203.</w:t>
      </w:r>
    </w:p>
    <w:p w14:paraId="3CD41D0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[32] 孙亦平.清静与清净:论唐代道教心性论的两个致思向度——以杜光庭思想为视角[J].哲学研究,2016(9):53-60.</w:t>
      </w:r>
    </w:p>
    <w:p w14:paraId="33B6FE57">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[33] 张向荣.解析杜光庭《虬髯客传》中虬髯客的英雄形象[J].芒种,2015(10):63-64.</w:t>
      </w:r>
    </w:p>
    <w:p w14:paraId="21E839A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[34] 尤佳,周斌.杜光庭与蜀地道教——兼论其咏道诗的思想内涵[J].中国道教,2011(2):16-24.</w:t>
      </w:r>
    </w:p>
    <w:p w14:paraId="71FA0925">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[35] 蒲亨强.存见道乐史料研究：杜光庭及其《道门科范大全》[J].中国音乐,2007(3):42-49.</w:t>
      </w:r>
    </w:p>
    <w:p w14:paraId="48398C7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[36] 孙亦平.论杜光庭对道教斋醮科仪的发展与贡献[J].宗教学研究,2006(4):19-23.</w:t>
      </w:r>
    </w:p>
    <w:p w14:paraId="79E87220">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[37] 成娟阳,刘湘兰.论杜光庭的斋醮词[J].中国文化研究,2006(4):148-155.</w:t>
      </w:r>
    </w:p>
    <w:p w14:paraId="2FD067C1">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[38] 孙亦平.论杜光庭的三教融合思想及其影响[J].中国哲学史,2006(4):99-104.</w:t>
      </w:r>
    </w:p>
    <w:p w14:paraId="61324130">
      <w:pPr>
        <w:spacing w:line="360" w:lineRule="auto"/>
        <w:rPr>
          <w:color w:val="auto"/>
        </w:rPr>
      </w:pPr>
      <w:r>
        <w:rPr>
          <w:rFonts w:ascii="Times New Roman" w:hAnsi="Times New Roman" w:eastAsia="宋体"/>
          <w:color w:val="auto"/>
          <w:sz w:val="21"/>
        </w:rPr>
        <w:br w:type="page"/>
      </w:r>
    </w:p>
    <w:p w14:paraId="107675CD">
      <w:pPr>
        <w:pStyle w:val="3"/>
        <w:spacing w:before="480" w:after="240" w:line="360" w:lineRule="auto"/>
        <w:jc w:val="center"/>
        <w:outlineLvl w:val="0"/>
        <w:rPr>
          <w:rFonts w:hint="eastAsia" w:ascii="Times New Roman" w:hAnsi="Times New Roman" w:eastAsia="黑体"/>
          <w:b/>
          <w:color w:val="auto"/>
          <w:sz w:val="32"/>
        </w:rPr>
      </w:pPr>
      <w:bookmarkStart w:id="150" w:name="_Toc809657185"/>
      <w:bookmarkStart w:id="151" w:name="_Toc468803007"/>
      <w:r>
        <w:rPr>
          <w:rFonts w:hint="eastAsia" w:ascii="Times New Roman" w:hAnsi="Times New Roman" w:eastAsia="黑体"/>
          <w:b/>
          <w:color w:val="auto"/>
          <w:sz w:val="32"/>
        </w:rPr>
        <w:t>附 录</w:t>
      </w:r>
      <w:bookmarkEnd w:id="150"/>
    </w:p>
    <w:p w14:paraId="765D0802">
      <w:pPr>
        <w:widowControl w:val="0"/>
        <w:bidi w:val="0"/>
        <w:adjustRightInd w:val="0"/>
        <w:snapToGrid w:val="0"/>
        <w:spacing w:before="0" w:after="0"/>
        <w:ind w:left="0" w:leftChars="0" w:firstLine="600" w:firstLineChars="200"/>
        <w:jc w:val="both"/>
        <w:rPr>
          <w:rFonts w:hint="eastAsia" w:ascii="黑体" w:hAnsi="黑体" w:eastAsia="黑体" w:cs="黑体"/>
          <w:kern w:val="2"/>
          <w:sz w:val="30"/>
          <w:szCs w:val="30"/>
          <w:lang w:val="en-US" w:eastAsia="zh-CN"/>
        </w:rPr>
      </w:pPr>
      <w:r>
        <w:rPr>
          <w:rFonts w:hint="eastAsia" w:ascii="黑体" w:hAnsi="黑体" w:eastAsia="黑体" w:cs="黑体"/>
          <w:kern w:val="2"/>
          <w:sz w:val="30"/>
          <w:szCs w:val="30"/>
          <w:lang w:val="en-US" w:eastAsia="zh-CN"/>
        </w:rPr>
        <w:t>一、致  谢</w:t>
      </w:r>
      <w:bookmarkEnd w:id="151"/>
    </w:p>
    <w:p w14:paraId="209BFB53">
      <w:pPr>
        <w:spacing w:before="0" w:after="0" w:line="360" w:lineRule="auto"/>
        <w:ind w:firstLine="420"/>
        <w:rPr>
          <w:rFonts w:hint="eastAsia" w:ascii="宋体" w:hAnsi="宋体" w:eastAsia="宋体" w:cs="宋体"/>
          <w:sz w:val="24"/>
          <w:szCs w:val="24"/>
        </w:rPr>
      </w:pPr>
      <w:r>
        <w:rPr>
          <w:rFonts w:hint="eastAsia" w:ascii="宋体" w:hAnsi="宋体" w:eastAsia="宋体" w:cs="宋体"/>
          <w:sz w:val="24"/>
          <w:szCs w:val="24"/>
        </w:rPr>
        <w:t>时光荏苒，两年的宗教学双通班学习生涯即将结束。在这两年里，我得到了众多师长、同学的关心与帮助，在此表示衷心的感谢。首先，我要衷心感谢我的导师王绪琴教授。从论文选题、资料收集、框架构建到最终定稿，导师都给予了悉心指导。导师严谨的治学态度、渊博的学识修养、宽容的处世风范，使我受益终生。在论文写作过程中，导师多次审阅文稿，提出宝贵的修改意见，使本文得以不断完善。感谢我的同学们，他们在学习和生活中给予了我很多帮助和支持。与他们的讨论交流，使我对杜光庭研究有了更深入的认识。本文在写作过程中参考了大量前人的研究成果，谨向各位学者表示敬意和感谢。由于本人学识有限，文中难免存在不足之处，恳请各位专家学者批评指正。</w:t>
      </w:r>
    </w:p>
    <w:p w14:paraId="7771FFC5">
      <w:pPr>
        <w:rPr>
          <w:rFonts w:hint="eastAsia" w:ascii="宋体" w:hAnsi="宋体" w:eastAsia="宋体" w:cs="宋体"/>
          <w:sz w:val="24"/>
          <w:szCs w:val="24"/>
        </w:rPr>
      </w:pPr>
      <w:r>
        <w:rPr>
          <w:rFonts w:hint="eastAsia" w:ascii="宋体" w:hAnsi="宋体" w:eastAsia="宋体" w:cs="宋体"/>
          <w:sz w:val="24"/>
          <w:szCs w:val="24"/>
        </w:rPr>
        <w:br w:type="page"/>
      </w:r>
    </w:p>
    <w:p w14:paraId="03250A20">
      <w:pPr>
        <w:bidi w:val="0"/>
        <w:ind w:left="0" w:leftChars="0" w:firstLine="600" w:firstLineChars="200"/>
        <w:rPr>
          <w:rFonts w:hint="eastAsia" w:ascii="黑体" w:hAnsi="黑体" w:eastAsia="黑体" w:cs="黑体"/>
          <w:sz w:val="30"/>
          <w:szCs w:val="30"/>
          <w:lang w:val="en-US" w:eastAsia="zh-CN"/>
        </w:rPr>
      </w:pPr>
      <w:bookmarkStart w:id="152" w:name="_Toc25672"/>
      <w:bookmarkStart w:id="153" w:name="_Toc12901"/>
      <w:bookmarkStart w:id="154" w:name="_Toc25604"/>
      <w:bookmarkStart w:id="155" w:name="_Toc5261"/>
      <w:bookmarkStart w:id="156" w:name="_Toc21851"/>
      <w:bookmarkStart w:id="157" w:name="_Toc9970"/>
      <w:r>
        <w:rPr>
          <w:rFonts w:hint="eastAsia" w:ascii="黑体" w:hAnsi="黑体" w:eastAsia="黑体" w:cs="黑体"/>
          <w:sz w:val="30"/>
          <w:szCs w:val="30"/>
          <w:lang w:val="en-US" w:eastAsia="zh-CN"/>
        </w:rPr>
        <w:t>二、论文原创性声明内容</w:t>
      </w:r>
      <w:bookmarkEnd w:id="152"/>
      <w:bookmarkEnd w:id="153"/>
      <w:bookmarkEnd w:id="154"/>
      <w:bookmarkEnd w:id="155"/>
      <w:bookmarkEnd w:id="156"/>
      <w:bookmarkEnd w:id="157"/>
    </w:p>
    <w:p w14:paraId="065073FA">
      <w:pPr>
        <w:bidi w:val="0"/>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autoSpaceDE w:val="0"/>
        <w:autoSpaceDN w:val="0"/>
        <w:adjustRightInd w:val="0"/>
        <w:ind w:firstLine="510"/>
        <w:rPr>
          <w:rFonts w:ascii="宋体" w:cs="宋体"/>
          <w:kern w:val="0"/>
          <w:sz w:val="24"/>
        </w:rPr>
      </w:pPr>
    </w:p>
    <w:p w14:paraId="2D46FF76">
      <w:pPr>
        <w:autoSpaceDE w:val="0"/>
        <w:autoSpaceDN w:val="0"/>
        <w:adjustRightInd w:val="0"/>
        <w:ind w:firstLine="510"/>
        <w:rPr>
          <w:rFonts w:ascii="宋体" w:cs="宋体"/>
          <w:kern w:val="0"/>
          <w:sz w:val="24"/>
        </w:rPr>
      </w:pPr>
      <w:r>
        <w:rPr>
          <w:rFonts w:hint="eastAsia" w:ascii="宋体" w:cs="宋体"/>
          <w:kern w:val="0"/>
          <w:sz w:val="24"/>
        </w:rPr>
        <w:t>毕业论文作者签名：</w:t>
      </w:r>
    </w:p>
    <w:p w14:paraId="699D94BB">
      <w:pPr>
        <w:autoSpaceDE w:val="0"/>
        <w:autoSpaceDN w:val="0"/>
        <w:adjustRightInd w:val="0"/>
        <w:ind w:firstLine="510"/>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47B98014">
      <w:pPr>
        <w:spacing w:before="0" w:after="0" w:line="360" w:lineRule="auto"/>
        <w:ind w:firstLine="420"/>
        <w:rPr>
          <w:rFonts w:hint="eastAsia" w:ascii="宋体" w:hAnsi="宋体" w:eastAsia="宋体" w:cs="宋体"/>
          <w:sz w:val="24"/>
          <w:szCs w:val="24"/>
        </w:rPr>
      </w:pPr>
    </w:p>
    <w:p w14:paraId="27D636ED">
      <w:r>
        <w:t>[55] 潘显一.道教美学史[M].北京:商务印书馆,2008.</w:t>
      </w:r>
    </w:p>
    <w:p w14:paraId="4725DAD0">
      <w:r>
        <w:t>[54] 卿希泰.中国道教史:修订版:第2卷[M].成都:四川人民出版社,1992.</w:t>
      </w:r>
    </w:p>
    <w:p w14:paraId="00A86E50">
      <w:r>
        <w:t>[53] 葛兆光.中国思想史:第2卷[M].上海:复旦大学出版社,2001.</w:t>
      </w:r>
    </w:p>
    <w:p w14:paraId="7813DBC0">
      <w:r>
        <w:t>[52] 哈贝马斯(Jürgen Habermas).公共领域的结构转型[M].曹卫东,译.上海:学林出版社,1999.</w:t>
      </w:r>
    </w:p>
    <w:p w14:paraId="73320297">
      <w:r>
        <w:t>[51] 萨梭(Michael Saso).Taoism and the Rite of the Great Peace[M].Berkeley:University of California Press,1972.</w:t>
      </w:r>
    </w:p>
    <w:p w14:paraId="138F9618">
      <w:r>
        <w:t>[50] 施舟人(Kristofer Schipper).The Taoist Body[M].Berkeley:University of California Press,1993.</w:t>
      </w:r>
    </w:p>
    <w:p w14:paraId="5CDB2F3F">
      <w:r>
        <w:t>[49] 游佐升.『道教霊験記』の研究——唐代道教の霊験記と社会文化[D].京都:京都大学,1998.</w:t>
      </w:r>
    </w:p>
    <w:p w14:paraId="1BE686EF">
      <w:r>
        <w:t>[48] 小南一郎.中国の神話と物語[M].東京:平凡社,1984.</w:t>
      </w:r>
    </w:p>
    <w:p w14:paraId="4DE7EA08">
      <w:r>
        <w:t>[47] 宮川尚志.中国宗教史研究[M].東京:明治書院,1966.</w:t>
      </w:r>
    </w:p>
    <w:p w14:paraId="4A561AA8">
      <w:r>
        <w:t>[46] 大淵忍爾.道教の儀礼と呪術[M].東京:福武書店,1990.</w:t>
      </w:r>
    </w:p>
    <w:p w14:paraId="52D91E75">
      <w:r>
        <w:t>[45] 吉岡義豊.道教と仏教[M].東京:国書刊行会,1978.</w:t>
      </w:r>
    </w:p>
    <w:p w14:paraId="7CC76C55">
      <w:r>
        <w:t>[44] 秋月观暎.道教史研究[M].东京:岩波書店,1964.</w:t>
      </w:r>
    </w:p>
    <w:p w14:paraId="031439B9">
      <w:r>
        <w:t>[43] 罗争鸣.杜光庭道教小说研究[M].北京:中华书局,2006.</w:t>
      </w:r>
    </w:p>
    <w:p w14:paraId="34848CC3">
      <w:r>
        <w:t>[42] 余红平.杜光庭道教文学研究——以道教诗词为考察对象[M].北京:宗教文化出版社,2010.</w:t>
      </w:r>
    </w:p>
    <w:p w14:paraId="322A2E10">
      <w:r>
        <w:t>[41] 董恩林.唐代道教的"重玄"思潮与杜光庭的《道德真经广圣义》[J].世界宗教研究,2004(3):78-85.</w:t>
      </w:r>
    </w:p>
    <w:p w14:paraId="344272B4">
      <w:r>
        <w:t>[40] 孙亦平.杜光庭评传[M].南京:南京大学出版社,2015.</w:t>
      </w:r>
    </w:p>
    <w:p w14:paraId="4B3D915A">
      <w:r>
        <w:t>[39] 孙亦平.杜光庭思想研究[M].北京:东方出版社,2008.</w:t>
      </w:r>
    </w:p>
    <w:sectPr>
      <w:footnotePr>
        <w:numFmt w:val="decimalEnclosedCircleChinese"/>
        <w:numRestart w:val="eachPage"/>
      </w:footnotePr>
      <w:pgSz w:w="11906" w:h="16838"/>
      <w:pgMar w:top="1417" w:right="1417" w:bottom="1417" w:left="1417" w:header="850" w:footer="850" w:gutter="0"/>
      <w:cols w:space="720" w:num="1"/>
      <w:titlePg/>
      <w:docGrid w:linePitch="360" w:charSpace="0"/>
    </w:sectPr>
    <w:footnotes w:count="22" w:start="1" w:footnote="bottom">
      <w:footnote w:id="-1" w:type="separator">
        <w:p>
          <w:pPr>
            <w:spacing w:before="0" w:after="0"/>
          </w:pPr>
          <w:r>
            <w:rPr>
              <w:rFonts w:eastAsia="宋体" w:ascii="宋体" w:hAnsi="宋体"/>
            </w:rPr>
          </w:r>
        </w:p>
      </w:footnote>
      <w:footnote w:id="-2" w:type="continuation-separator">
        <w:p>
          <w:pPr>
            <w:spacing w:before="0" w:after="0"/>
          </w:pPr>
          <w:r>
            <w:rPr>
              <w:rFonts w:eastAsia="宋体" w:ascii="宋体" w:hAnsi="宋体"/>
            </w:rPr>
          </w:r>
        </w:p>
      </w:footnote>
      <w:footnote w:id="1" w:type="auto">
        <w:p>
          <w:pPr>
            <w:spacing w:before="0" w:after="0" w:line="240" w:lineRule="auto"/>
          </w:pPr>
          <w:r>
            <w:rPr>
              <w:rFonts w:eastAsia="宋体" w:ascii="宋体" w:hAnsi="宋体"/>
              <w:sz w:val="180"/>
              <w:vertAlign w:val="superscript"/>
            </w:rPr>
            <w:t xml:space="preserve">1</w:t>
          </w:r>
          <w:r>
            <w:rPr>
              <w:rFonts w:eastAsia="宋体" w:ascii="宋体" w:hAnsi="宋体"/>
              <w:sz w:val="180"/>
            </w:rPr>
            <w:t xml:space="preserve"> 孙亦平. 杜光庭思想研究[M]. 北京: 东方出版社, 2008: 45-67; 孙亦平. 杜光庭评传[M]. 南京: 南京大学出版社, 2015: 112-135.</w:t>
          </w:r>
        </w:p>
      </w:footnote>
      <w:footnote w:id="2" w:type="auto">
        <w:p>
          <w:pPr>
            <w:spacing w:before="0" w:after="0" w:line="240" w:lineRule="auto"/>
          </w:pPr>
          <w:r>
            <w:rPr>
              <w:rFonts w:eastAsia="宋体" w:ascii="宋体" w:hAnsi="宋体"/>
              <w:sz w:val="180"/>
              <w:vertAlign w:val="superscript"/>
            </w:rPr>
            <w:t xml:space="preserve">2</w:t>
          </w:r>
          <w:r>
            <w:rPr>
              <w:rFonts w:eastAsia="宋体" w:ascii="宋体" w:hAnsi="宋体"/>
              <w:sz w:val="180"/>
            </w:rPr>
            <w:t xml:space="preserve"> 李剑国. 唐五代志怪传奇叙录[M]. 天津: 南开大学出版社, 1993: 234-256; 罗争鸣. 杜光庭道教小说研究[M]. 北京: 中华书局, 2006: 78-92.</w:t>
          </w:r>
        </w:p>
      </w:footnote>
      <w:footnote w:id="3" w:type="auto">
        <w:p>
          <w:pPr>
            <w:spacing w:before="0" w:after="0" w:line="240" w:lineRule="auto"/>
          </w:pPr>
          <w:r>
            <w:rPr>
              <w:rFonts w:eastAsia="宋体" w:ascii="宋体" w:hAnsi="宋体"/>
              <w:sz w:val="180"/>
              <w:vertAlign w:val="superscript"/>
            </w:rPr>
            <w:t xml:space="preserve">3</w:t>
          </w:r>
          <w:r>
            <w:rPr>
              <w:rFonts w:eastAsia="宋体" w:ascii="宋体" w:hAnsi="宋体"/>
              <w:sz w:val="180"/>
            </w:rPr>
            <w:t xml:space="preserve"> 卿希泰. 中国道教史: 修订版: 第2卷[M]. 成都: 四川人民出版社, 1992: 345-367; 孙亦平. 论杜光庭对道教斋醮科仪的发展与贡献[J]. 宗教学研究, 2006(4): 19-23.</w:t>
          </w:r>
        </w:p>
      </w:footnote>
      <w:footnote w:id="4" w:type="auto">
        <w:p>
          <w:pPr>
            <w:spacing w:before="0" w:after="0" w:line="240" w:lineRule="auto"/>
          </w:pPr>
          <w:r>
            <w:rPr>
              <w:rFonts w:eastAsia="宋体" w:ascii="宋体" w:hAnsi="宋体"/>
              <w:sz w:val="180"/>
              <w:vertAlign w:val="superscript"/>
            </w:rPr>
            <w:t xml:space="preserve">4</w:t>
          </w:r>
          <w:r>
            <w:rPr>
              <w:rFonts w:eastAsia="宋体" w:ascii="宋体" w:hAnsi="宋体"/>
              <w:sz w:val="180"/>
            </w:rPr>
            <w:t xml:space="preserve"> 游佐升. 『道教霊験記』の研究——唐代道教の霊験記と社会文化[D]. 京都: 京都大学, 1998; 中隆藏. 道教霊験記の版本に関する一考察[J]. 印度学仏教学研究, 1965, 13(2): 45-52.</w:t>
          </w:r>
        </w:p>
      </w:footnote>
      <w:footnote w:id="5" w:type="auto">
        <w:p>
          <w:pPr>
            <w:spacing w:before="0" w:after="0" w:line="240" w:lineRule="auto"/>
          </w:pPr>
          <w:r>
            <w:rPr>
              <w:rFonts w:eastAsia="宋体" w:ascii="宋体" w:hAnsi="宋体"/>
              <w:sz w:val="180"/>
              <w:vertAlign w:val="superscript"/>
            </w:rPr>
            <w:t xml:space="preserve">5</w:t>
          </w:r>
          <w:r>
            <w:rPr>
              <w:rFonts w:eastAsia="宋体" w:ascii="宋体" w:hAnsi="宋体"/>
              <w:sz w:val="180"/>
            </w:rPr>
            <w:t xml:space="preserve"> 成玄英. 道德真经义疏（卷一）[M]//道藏: 第11册. 北京: 文物出版社, 1988: 125.</w:t>
          </w:r>
        </w:p>
      </w:footnote>
      <w:footnote w:id="6" w:type="auto">
        <w:p>
          <w:pPr>
            <w:spacing w:before="0" w:after="0" w:line="240" w:lineRule="auto"/>
          </w:pPr>
          <w:r>
            <w:rPr>
              <w:rFonts w:eastAsia="宋体" w:ascii="宋体" w:hAnsi="宋体"/>
              <w:sz w:val="180"/>
              <w:vertAlign w:val="superscript"/>
            </w:rPr>
            <w:t xml:space="preserve">6</w:t>
          </w:r>
          <w:r>
            <w:rPr>
              <w:rFonts w:eastAsia="宋体" w:ascii="宋体" w:hAnsi="宋体"/>
              <w:sz w:val="180"/>
            </w:rPr>
            <w:t xml:space="preserve"> 成玄英. 道德真经义疏（卷一）[M]//道藏: 第11册. 北京: 文物出版社, 1988: 126.</w:t>
          </w:r>
        </w:p>
      </w:footnote>
      <w:footnote w:id="7" w:type="auto">
        <w:p>
          <w:pPr>
            <w:spacing w:before="0" w:after="0" w:line="240" w:lineRule="auto"/>
          </w:pPr>
          <w:r>
            <w:rPr>
              <w:rFonts w:eastAsia="宋体" w:ascii="宋体" w:hAnsi="宋体"/>
              <w:sz w:val="180"/>
              <w:vertAlign w:val="superscript"/>
            </w:rPr>
            <w:t xml:space="preserve">7</w:t>
          </w:r>
          <w:r>
            <w:rPr>
              <w:rFonts w:eastAsia="宋体" w:ascii="宋体" w:hAnsi="宋体"/>
              <w:sz w:val="180"/>
            </w:rPr>
            <w:t xml:space="preserve"> 杜光庭. 太上老君说常清静经注（卷一）[M]//道藏: 第17册. 北京: 文物出版社, 1988: 142.</w:t>
          </w:r>
        </w:p>
      </w:footnote>
      <w:footnote w:id="8" w:type="auto">
        <w:p>
          <w:pPr>
            <w:spacing w:before="0" w:after="0" w:line="240" w:lineRule="auto"/>
          </w:pPr>
          <w:r>
            <w:rPr>
              <w:rFonts w:eastAsia="宋体" w:ascii="宋体" w:hAnsi="宋体"/>
              <w:sz w:val="180"/>
              <w:vertAlign w:val="superscript"/>
            </w:rPr>
            <w:t xml:space="preserve">8</w:t>
          </w:r>
          <w:r>
            <w:rPr>
              <w:rFonts w:eastAsia="宋体" w:ascii="宋体" w:hAnsi="宋体"/>
              <w:sz w:val="180"/>
            </w:rPr>
            <w:t xml:space="preserve"> 杜光庭. 太上老君说常清静经注（卷一）[M]//道藏: 第17册. 北京: 文物出版社, 1988: 142-143.</w:t>
          </w:r>
        </w:p>
      </w:footnote>
      <w:footnote w:id="9" w:type="auto">
        <w:p>
          <w:pPr>
            <w:spacing w:before="0" w:after="0" w:line="240" w:lineRule="auto"/>
          </w:pPr>
          <w:r>
            <w:rPr>
              <w:rFonts w:eastAsia="宋体" w:ascii="宋体" w:hAnsi="宋体"/>
              <w:sz w:val="180"/>
              <w:vertAlign w:val="superscript"/>
            </w:rPr>
            <w:t xml:space="preserve">9</w:t>
          </w:r>
          <w:r>
            <w:rPr>
              <w:rFonts w:eastAsia="宋体" w:ascii="宋体" w:hAnsi="宋体"/>
              <w:sz w:val="180"/>
            </w:rPr>
            <w:t xml:space="preserve"> 杜光庭. 道德真经广圣义（卷三）[M]//道藏: 第14册. 北京: 文物出版社, 1988: 312.</w:t>
          </w:r>
        </w:p>
      </w:footnote>
      <w:footnote w:id="10" w:type="auto">
        <w:p>
          <w:pPr>
            <w:spacing w:before="0" w:after="0" w:line="240" w:lineRule="auto"/>
          </w:pPr>
          <w:r>
            <w:rPr>
              <w:rFonts w:eastAsia="宋体" w:ascii="宋体" w:hAnsi="宋体"/>
              <w:sz w:val="180"/>
              <w:vertAlign w:val="superscript"/>
            </w:rPr>
            <w:t xml:space="preserve">10</w:t>
          </w:r>
          <w:r>
            <w:rPr>
              <w:rFonts w:eastAsia="宋体" w:ascii="宋体" w:hAnsi="宋体"/>
              <w:sz w:val="180"/>
            </w:rPr>
            <w:t xml:space="preserve"> 董恩林. 唐代道教的"重玄"思潮与杜光庭的《道德真经广圣义》[J]. 世界宗教研究, 2004(3): 78-85.</w:t>
          </w:r>
        </w:p>
      </w:footnote>
      <w:footnote w:id="11" w:type="auto">
        <w:p>
          <w:pPr>
            <w:spacing w:before="0" w:after="0" w:line="240" w:lineRule="auto"/>
          </w:pPr>
          <w:r>
            <w:rPr>
              <w:rFonts w:eastAsia="宋体" w:ascii="宋体" w:hAnsi="宋体"/>
              <w:sz w:val="180"/>
              <w:vertAlign w:val="superscript"/>
            </w:rPr>
            <w:t xml:space="preserve">11</w:t>
          </w:r>
          <w:r>
            <w:rPr>
              <w:rFonts w:eastAsia="宋体" w:ascii="宋体" w:hAnsi="宋体"/>
              <w:sz w:val="180"/>
            </w:rPr>
            <w:t xml:space="preserve"> 杜光庭. 道德真经广圣义（卷五）[M]//道藏: 第14册. 北京: 文物出版社, 1988: 345.</w:t>
          </w:r>
        </w:p>
      </w:footnote>
      <w:footnote w:id="12" w:type="auto">
        <w:p>
          <w:pPr>
            <w:spacing w:before="0" w:after="0" w:line="240" w:lineRule="auto"/>
          </w:pPr>
          <w:r>
            <w:rPr>
              <w:rFonts w:eastAsia="宋体" w:ascii="宋体" w:hAnsi="宋体"/>
              <w:sz w:val="180"/>
              <w:vertAlign w:val="superscript"/>
            </w:rPr>
            <w:t xml:space="preserve">12</w:t>
          </w:r>
          <w:r>
            <w:rPr>
              <w:rFonts w:eastAsia="宋体" w:ascii="宋体" w:hAnsi="宋体"/>
              <w:sz w:val="180"/>
            </w:rPr>
            <w:t xml:space="preserve"> 杜光庭. 道德真经广圣义（卷三）[M]//道藏: 第14册. 北京: 文物出版社, 1988: 315.</w:t>
          </w:r>
        </w:p>
      </w:footnote>
      <w:footnote w:id="13" w:type="auto">
        <w:p>
          <w:pPr>
            <w:spacing w:before="0" w:after="0" w:line="240" w:lineRule="auto"/>
          </w:pPr>
          <w:r>
            <w:rPr>
              <w:rFonts w:eastAsia="宋体" w:ascii="宋体" w:hAnsi="宋体"/>
              <w:sz w:val="180"/>
              <w:vertAlign w:val="superscript"/>
            </w:rPr>
            <w:t xml:space="preserve">13</w:t>
          </w:r>
          <w:r>
            <w:rPr>
              <w:rFonts w:eastAsia="宋体" w:ascii="宋体" w:hAnsi="宋体"/>
              <w:sz w:val="180"/>
            </w:rPr>
            <w:t xml:space="preserve"> 杜光庭. 道德真经广圣义（卷五）[M]//道藏: 第14册. 北京: 文物出版社, 1988: 345.</w:t>
          </w:r>
        </w:p>
      </w:footnote>
      <w:footnote w:id="14" w:type="auto">
        <w:p>
          <w:pPr>
            <w:spacing w:before="0" w:after="0" w:line="240" w:lineRule="auto"/>
          </w:pPr>
          <w:r>
            <w:rPr>
              <w:rFonts w:eastAsia="宋体" w:ascii="宋体" w:hAnsi="宋体"/>
              <w:sz w:val="180"/>
              <w:vertAlign w:val="superscript"/>
            </w:rPr>
            <w:t xml:space="preserve">14</w:t>
          </w:r>
          <w:r>
            <w:rPr>
              <w:rFonts w:eastAsia="宋体" w:ascii="宋体" w:hAnsi="宋体"/>
              <w:sz w:val="180"/>
            </w:rPr>
            <w:t xml:space="preserve"> 杜光庭. 道德真经广圣义（卷八）[M]//道藏: 第14册. 北京: 文物出版社, 1988: 378; 杜光庭. 道门科范大全集（卷一）[M]//道藏: 第31册. 北京: 文物出版社, 1988: 12.</w:t>
          </w:r>
        </w:p>
      </w:footnote>
      <w:footnote w:id="15" w:type="auto">
        <w:p>
          <w:pPr>
            <w:spacing w:before="0" w:after="0" w:line="240" w:lineRule="auto"/>
          </w:pPr>
          <w:r>
            <w:rPr>
              <w:rFonts w:eastAsia="宋体" w:ascii="宋体" w:hAnsi="宋体"/>
              <w:sz w:val="180"/>
              <w:vertAlign w:val="superscript"/>
            </w:rPr>
            <w:t xml:space="preserve">15</w:t>
          </w:r>
          <w:r>
            <w:rPr>
              <w:rFonts w:eastAsia="宋体" w:ascii="宋体" w:hAnsi="宋体"/>
              <w:sz w:val="180"/>
            </w:rPr>
            <w:t xml:space="preserve"> 杜光庭. 道德真经广圣义（卷八）[M]//道藏: 第14册. 北京: 文物出版社, 1988: 379.</w:t>
          </w:r>
        </w:p>
      </w:footnote>
      <w:footnote w:id="16" w:type="auto">
        <w:p>
          <w:pPr>
            <w:spacing w:before="0" w:after="0" w:line="240" w:lineRule="auto"/>
          </w:pPr>
          <w:r>
            <w:rPr>
              <w:rFonts w:eastAsia="宋体" w:ascii="宋体" w:hAnsi="宋体"/>
              <w:sz w:val="180"/>
              <w:vertAlign w:val="superscript"/>
            </w:rPr>
            <w:t xml:space="preserve">16</w:t>
          </w:r>
          <w:r>
            <w:rPr>
              <w:rFonts w:eastAsia="宋体" w:ascii="宋体" w:hAnsi="宋体"/>
              <w:sz w:val="180"/>
            </w:rPr>
            <w:t xml:space="preserve"> 余红平. 杜光庭道教文学研究——以道教诗词为考察对象[M]. 北京: 宗教文化出版社, 2010: 89-102; 罗争鸣. 杜光庭道教小说研究[M]. 北京: 中华书局, 2006: 134-156.</w:t>
          </w:r>
        </w:p>
      </w:footnote>
      <w:footnote w:id="17" w:type="auto">
        <w:p>
          <w:pPr>
            <w:spacing w:before="0" w:after="0" w:line="240" w:lineRule="auto"/>
          </w:pPr>
          <w:r>
            <w:rPr>
              <w:rFonts w:eastAsia="宋体" w:ascii="宋体" w:hAnsi="宋体"/>
              <w:sz w:val="180"/>
              <w:vertAlign w:val="superscript"/>
            </w:rPr>
            <w:t xml:space="preserve">17</w:t>
          </w:r>
          <w:r>
            <w:rPr>
              <w:rFonts w:eastAsia="宋体" w:ascii="宋体" w:hAnsi="宋体"/>
              <w:sz w:val="180"/>
            </w:rPr>
            <w:t xml:space="preserve"> 李肇. 翰林志[M]//影印文渊阁四库全书: 第596册. 台北: 台湾商务印书馆, 1986: 12.</w:t>
          </w:r>
        </w:p>
      </w:footnote>
      <w:footnote w:id="18" w:type="auto">
        <w:p>
          <w:pPr>
            <w:spacing w:before="0" w:after="0" w:line="240" w:lineRule="auto"/>
          </w:pPr>
          <w:r>
            <w:rPr>
              <w:rFonts w:eastAsia="宋体" w:ascii="宋体" w:hAnsi="宋体"/>
              <w:sz w:val="180"/>
              <w:vertAlign w:val="superscript"/>
            </w:rPr>
            <w:t xml:space="preserve">18</w:t>
          </w:r>
          <w:r>
            <w:rPr>
              <w:rFonts w:eastAsia="宋体" w:ascii="宋体" w:hAnsi="宋体"/>
              <w:sz w:val="180"/>
            </w:rPr>
            <w:t xml:space="preserve"> 杜光庭. 道门科范大全集（卷三）[M]//道藏: 第31册. 北京: 文物出版社, 1988: 45.</w:t>
          </w:r>
        </w:p>
      </w:footnote>
      <w:footnote w:id="19" w:type="auto">
        <w:p>
          <w:pPr>
            <w:spacing w:before="0" w:after="0" w:line="240" w:lineRule="auto"/>
          </w:pPr>
          <w:r>
            <w:rPr>
              <w:rFonts w:eastAsia="宋体" w:ascii="宋体" w:hAnsi="宋体"/>
              <w:sz w:val="180"/>
              <w:vertAlign w:val="superscript"/>
            </w:rPr>
            <w:t xml:space="preserve">19</w:t>
          </w:r>
          <w:r>
            <w:rPr>
              <w:rFonts w:eastAsia="宋体" w:ascii="宋体" w:hAnsi="宋体"/>
              <w:sz w:val="180"/>
            </w:rPr>
            <w:t xml:space="preserve"> 葛兆光. 中国思想史: 第2卷[M]. 上海: 复旦大学出版社, 2001: 234-256.</w:t>
          </w:r>
        </w:p>
      </w:footnote>
      <w:footnote w:id="20" w:type="auto">
        <w:p>
          <w:pPr>
            <w:spacing w:before="0" w:after="0" w:line="240" w:lineRule="auto"/>
          </w:pPr>
          <w:r>
            <w:rPr>
              <w:rFonts w:eastAsia="宋体" w:ascii="宋体" w:hAnsi="宋体"/>
              <w:sz w:val="180"/>
              <w:vertAlign w:val="superscript"/>
            </w:rPr>
            <w:t xml:space="preserve">20</w:t>
          </w:r>
          <w:r>
            <w:rPr>
              <w:rFonts w:eastAsia="宋体" w:ascii="宋体" w:hAnsi="宋体"/>
              <w:sz w:val="180"/>
            </w:rPr>
            <w:t xml:space="preserve"> 杜光庭. 道门科范大全集[M]//道藏: 第31-33册. 北京: 文物出版社, 1988.</w:t>
          </w:r>
        </w:p>
      </w:footnote>
      <w:footnote w:id="21" w:type="auto">
        <w:p>
          <w:pPr>
            <w:spacing w:before="0" w:after="0" w:line="240" w:lineRule="auto"/>
          </w:pPr>
          <w:r>
            <w:rPr>
              <w:rFonts w:eastAsia="宋体" w:ascii="宋体" w:hAnsi="宋体"/>
              <w:sz w:val="180"/>
              <w:vertAlign w:val="superscript"/>
            </w:rPr>
            <w:t xml:space="preserve">21</w:t>
          </w:r>
          <w:r>
            <w:rPr>
              <w:rFonts w:eastAsia="宋体" w:ascii="宋体" w:hAnsi="宋体"/>
              <w:sz w:val="180"/>
            </w:rPr>
            <w:t xml:space="preserve"> 杜光庭. 道门科范大全集（卷一）[M]//道藏: 第31册. 北京: 文物出版社, 1988: 1-5.</w:t>
          </w:r>
        </w:p>
      </w:footnote>
      <w:footnote w:id="22" w:type="auto">
        <w:p>
          <w:pPr>
            <w:spacing w:before="0" w:after="0" w:line="240" w:lineRule="auto"/>
          </w:pPr>
          <w:r>
            <w:rPr>
              <w:rFonts w:eastAsia="宋体" w:ascii="宋体" w:hAnsi="宋体"/>
              <w:sz w:val="180"/>
              <w:vertAlign w:val="superscript"/>
            </w:rPr>
            <w:t xml:space="preserve">22</w:t>
          </w:r>
          <w:r>
            <w:rPr>
              <w:rFonts w:eastAsia="宋体" w:ascii="宋体" w:hAnsi="宋体"/>
              <w:sz w:val="180"/>
            </w:rPr>
            <w:t xml:space="preserve"> 杜光庭. 道门科范大全集（卷五）[M]//道藏: 第31册. 北京: 文物出版社, 1988: 78-82.</w:t>
          </w:r>
        </w:p>
      </w:footnote>
    </w:footnotes>
  </w:body>
</w:document>
</file>

<file path=word/customizations.xml><?xml version="1.0" encoding="utf-8"?>
<wne:tcg xmlns:r="http://schemas.openxmlformats.org/officeDocument/2006/relationships" xmlns:wne="http://schemas.microsoft.com/office/word/2006/wordml">
  <wne:keymaps>
    <wne:keymap wne:kcmPrimary="0232">
      <wne:acd wne:acdName="acd0"/>
    </wne:keymap>
    <wne:keymap wne:kcmPrimary="0233">
      <wne:acd wne:acdName="acd1"/>
    </wne:keymap>
    <wne:keymap wne:kcmPrimary="0234">
      <wne:acd wne:acdName="acd2"/>
    </wne:keymap>
    <wne:keymap wne:kcmPrimary="0231">
      <wne:acd wne:acdName="acd3"/>
    </wne:keymap>
  </wne:keymaps>
  <wne:acds>
    <wne:acd wne:argValue="AQAAAAEA" wne:acdName="acd0" wne:fciIndexBasedOn="0065"/>
    <wne:acd wne:argValue="AQAAAAIA" wne:acdName="acd1" wne:fciIndexBasedOn="0065"/>
    <wne:acd wne:argValue="AQAAAAQA" wne:acdName="acd2" wne:fciIndexBasedOn="0065"/>
    <wne:acd wne:argValue="AQAAAAAA" wne:acdName="acd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SimSong">
    <w:panose1 w:val="02020300000000000000"/>
    <w:charset w:val="86"/>
    <w:family w:val="auto"/>
    <w:pitch w:val="default"/>
    <w:sig w:usb0="800002BF" w:usb1="38CF7CFA" w:usb2="00000016" w:usb3="00000000" w:csb0="0004000D"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
    <w:altName w:val="苹方-简"/>
    <w:panose1 w:val="00000000000000000000"/>
    <w:charset w:val="00"/>
    <w:family w:val="auto"/>
    <w:pitch w:val="default"/>
    <w:sig w:usb0="00000000" w:usb1="00000000" w:usb2="00000000" w:usb3="00000000" w:csb0="00000000" w:csb1="00000000"/>
  </w:font>
  <w:font w:name="+zhan">
    <w:altName w:val="苹方-简"/>
    <w:panose1 w:val="00000000000000000000"/>
    <w:charset w:val="00"/>
    <w:family w:val="auto"/>
    <w:pitch w:val="default"/>
    <w:sig w:usb0="00000000" w:usb1="00000000" w:usb2="00000000" w:usb3="00000000" w:csb0="00000000" w:csb1="00000000"/>
  </w:font>
  <w:font w:name="+中文标题章">
    <w:altName w:val="苹方-简"/>
    <w:panose1 w:val="00000000000000000000"/>
    <w:charset w:val="00"/>
    <w:family w:val="auto"/>
    <w:pitch w:val="default"/>
    <w:sig w:usb0="00000000" w:usb1="00000000" w:usb2="00000000" w:usb3="00000000" w:csb0="00000000" w:csb1="00000000"/>
  </w:font>
  <w:font w:name="+中文标题（章">
    <w:altName w:val="苹方-简"/>
    <w:panose1 w:val="00000000000000000000"/>
    <w:charset w:val="00"/>
    <w:family w:val="auto"/>
    <w:pitch w:val="default"/>
    <w:sig w:usb0="00000000" w:usb1="00000000" w:usb2="00000000" w:usb3="00000000" w:csb0="00000000" w:csb1="00000000"/>
  </w:font>
  <w:font w:name="+中文标题（章）">
    <w:altName w:val="苹方-简"/>
    <w:panose1 w:val="00000000000000000000"/>
    <w:charset w:val="00"/>
    <w:family w:val="auto"/>
    <w:pitch w:val="default"/>
    <w:sig w:usb0="00000000" w:usb1="00000000" w:usb2="00000000" w:usb3="00000000" w:csb0="00000000" w:csb1="00000000"/>
  </w:font>
  <w:font w:name="黑体-简 中等">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2D7F6">
    <w:pPr>
      <w:pStyle w:val="26"/>
      <w:jc w:val="right"/>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6">
    <w:p>
      <w:pPr>
        <w:spacing w:before="0" w:after="0" w:line="360" w:lineRule="auto"/>
        <w:ind w:firstLine="480"/>
      </w:pPr>
      <w:r>
        <w:separator/>
      </w:r>
    </w:p>
  </w:footnote>
  <w:footnote w:type="continuationSeparator" w:id="47">
    <w:p>
      <w:pPr>
        <w:spacing w:before="0" w:after="0" w:line="360" w:lineRule="auto"/>
        <w:ind w:firstLine="480"/>
      </w:pPr>
      <w:r>
        <w:continuationSeparator/>
      </w:r>
    </w:p>
  </w:footnote>
  <w:footnote w:id="0">
    <w:p w14:paraId="0D4F6B35">
      <w:pPr>
        <w:pStyle w:val="31"/>
        <w:snapToGrid w:val="0"/>
        <w:spacing w:line="240" w:lineRule="auto"/>
        <w:ind w:left="0" w:leftChars="0" w:firstLine="0" w:firstLineChars="0"/>
        <w:rPr>
          <w:rFonts w:hint="eastAsia" w:ascii="宋体" w:hAnsi="宋体" w:eastAsia="宋体" w:cs="宋体"/>
          <w:sz w:val="18"/>
          <w:szCs w:val="18"/>
          <w:lang w:val="en-US" w:eastAsia="en-US" w:bidi="ar-SA"/>
        </w:rPr>
      </w:pPr>
      <w:r>
        <w:rPr>
          <w:rStyle w:val="140"/>
        </w:rPr>
        <w:footnoteRef/>
      </w:r>
      <w:r>
        <w:t xml:space="preserve"> </w:t>
      </w:r>
      <w:r>
        <w:rPr>
          <w:rFonts w:hint="eastAsia" w:ascii="宋体" w:hAnsi="宋体" w:eastAsia="宋体" w:cs="宋体"/>
          <w:sz w:val="18"/>
          <w:szCs w:val="18"/>
          <w:lang w:val="en-US" w:eastAsia="en-US" w:bidi="ar-SA"/>
        </w:rPr>
        <w:t>《道德真经广圣义》成书于天复元年（901年），全书共五十卷。该书以阐释唐玄宗《御注》《御疏》为核心，前五卷总论《道德经》宗旨并考辨老子生平，后四十五卷逐章疏解经文，采用“注-疏-义”三层体例，融会玄学、佛学思想。其内容涵盖道本论、道性论及理国理身学说，系统总结了汉唐老学研究，被誉为唐代老学集大成之作。校理本以《道藏》为底本，参校敦煌文书等文献，2020年由中华书局出版</w:t>
      </w:r>
      <w:r>
        <w:rPr>
          <w:rFonts w:hint="eastAsia" w:ascii="宋体" w:hAnsi="宋体" w:eastAsia="宋体" w:cs="宋体"/>
          <w:sz w:val="18"/>
          <w:szCs w:val="18"/>
          <w:lang w:val="en-US" w:eastAsia="zh-CN" w:bidi="ar-SA"/>
        </w:rPr>
        <w:t>。</w:t>
      </w:r>
    </w:p>
  </w:footnote>
  <w:footnote w:id="1">
    <w:p>
      <w:pPr>
        <w:spacing w:after="0" w:line="200" w:lineRule="auto"/>
      </w:pPr>
      <w:r>
        <w:rPr>
          <w:lang w:val="EN-US" w:eastAsia="zh-CN"/>
          <w:vertAlign w:val="superscript"/>
        </w:rPr>
        <w:t>1</w:t>
      </w:r>
      <w:r>
        <w:rPr>
          <w:rFonts w:ascii="宋体" w:hAnsi="宋体" w:eastAsia="宋体" w:cs="宋体"/>
          <w:sz w:val="18"/>
          <w:szCs w:val="18"/>
          <w:lang w:val="zh-CN" w:eastAsia="zh-CN"/>
        </w:rPr>
        <w:t>孙亦平. 杜光庭思想研究[M]. 北京: 东方出版社, 2008: 45-67; 孙亦平. 杜光庭评传[M]. 南京: 南京大学出版社, 2015: 112-135.</w:t>
      </w:r>
    </w:p>
  </w:footnote>
  <w:footnote w:id="2">
    <w:p>
      <w:pPr>
        <w:spacing w:after="0" w:line="200" w:lineRule="auto"/>
      </w:pPr>
      <w:r>
        <w:rPr>
          <w:lang w:val="EN-US" w:eastAsia="zh-CN"/>
          <w:vertAlign w:val="superscript"/>
        </w:rPr>
        <w:t>2</w:t>
      </w:r>
      <w:r>
        <w:rPr>
          <w:rFonts w:ascii="宋体" w:hAnsi="宋体" w:eastAsia="宋体" w:cs="宋体"/>
          <w:sz w:val="18"/>
          <w:szCs w:val="18"/>
          <w:lang w:val="zh-CN" w:eastAsia="zh-CN"/>
        </w:rPr>
        <w:t>李剑国. 唐五代志怪传奇叙录[M]. 天津: 南开大学出版社, 1993: 234-256; 罗争鸣. 杜光庭道教小说研究[M]. 北京: 中华书局, 2006: 78-92.</w:t>
      </w:r>
    </w:p>
  </w:footnote>
  <w:footnote w:id="3">
    <w:p>
      <w:pPr>
        <w:spacing w:after="0" w:line="200" w:lineRule="auto"/>
      </w:pPr>
      <w:r>
        <w:rPr>
          <w:lang w:val="EN-US" w:eastAsia="zh-CN"/>
          <w:vertAlign w:val="superscript"/>
        </w:rPr>
        <w:t>3</w:t>
      </w:r>
      <w:r>
        <w:rPr>
          <w:rFonts w:ascii="宋体" w:hAnsi="宋体" w:eastAsia="宋体" w:cs="宋体"/>
          <w:sz w:val="18"/>
          <w:szCs w:val="18"/>
          <w:lang w:val="zh-CN" w:eastAsia="zh-CN"/>
        </w:rPr>
        <w:t>卿希泰. 中国道教史: 修订版: 第2卷[M]. 成都: 四川人民出版社, 1992: 345-367; 孙亦平. 论杜光庭对道教斋醮科仪的发展与贡献[J]. 宗教学研究, 2006(4): 19-23.</w:t>
      </w:r>
    </w:p>
  </w:footnote>
  <w:footnote w:id="4">
    <w:p>
      <w:pPr>
        <w:spacing w:after="0" w:line="200" w:lineRule="auto"/>
      </w:pPr>
      <w:r>
        <w:rPr>
          <w:lang w:val="EN-US" w:eastAsia="zh-CN"/>
          <w:vertAlign w:val="superscript"/>
        </w:rPr>
        <w:t>4</w:t>
      </w:r>
      <w:r>
        <w:rPr>
          <w:rFonts w:ascii="宋体" w:hAnsi="宋体" w:eastAsia="宋体" w:cs="宋体"/>
          <w:sz w:val="18"/>
          <w:szCs w:val="18"/>
          <w:lang w:val="zh-CN" w:eastAsia="zh-CN"/>
        </w:rPr>
        <w:t>游佐升. 『道教霊験記』の研究——唐代道教の霊験記と社会文化[D]. 京都: 京都大学, 1998; 中隆藏. 道教霊験記の版本に関する一考察[J]. 印度学仏教学研究, 1965, 13(2): 45-52; 金白铉. 杜光庭思想と韓国道教[J]. 東アジア文化研究, 2005(18): 112-135.</w:t>
      </w:r>
    </w:p>
  </w:footnote>
  <w:footnote w:id="5">
    <w:p w14:paraId="332F5197">
      <w:pPr>
        <w:pStyle w:val="31"/>
        <w:snapToGrid w:val="0"/>
        <w:spacing w:line="240" w:lineRule="auto"/>
        <w:ind w:left="0" w:leftChars="0" w:firstLine="0" w:firstLineChars="0"/>
        <w:rPr>
          <w:rFonts w:hint="eastAsia" w:ascii="宋体" w:hAnsi="宋体" w:eastAsia="宋体" w:cs="宋体"/>
          <w:sz w:val="21"/>
          <w:szCs w:val="21"/>
          <w:lang w:val="en-US" w:eastAsia="en-US" w:bidi="ar-SA"/>
        </w:rPr>
      </w:pPr>
      <w:r>
        <w:rPr>
          <w:rStyle w:val="140"/>
        </w:rPr>
        <w:footnoteRef/>
      </w:r>
      <w:r>
        <w:t xml:space="preserve"> </w:t>
      </w:r>
      <w:r>
        <w:rPr>
          <w:rFonts w:hint="eastAsia" w:ascii="宋体" w:hAnsi="宋体" w:eastAsia="宋体" w:cs="宋体"/>
          <w:sz w:val="18"/>
          <w:szCs w:val="18"/>
          <w:lang w:val="en-US" w:eastAsia="en-US" w:bidi="ar-SA"/>
        </w:rPr>
        <w:t>《老子》</w:t>
      </w:r>
      <w:r>
        <w:rPr>
          <w:rFonts w:hint="eastAsia" w:ascii="宋体" w:hAnsi="宋体" w:eastAsia="宋体" w:cs="宋体"/>
          <w:sz w:val="18"/>
          <w:szCs w:val="18"/>
          <w:lang w:val="en-US" w:eastAsia="zh-CN" w:bidi="ar-SA"/>
        </w:rPr>
        <w:t>第一章</w:t>
      </w:r>
      <w:r>
        <w:rPr>
          <w:rFonts w:hint="eastAsia" w:ascii="宋体" w:hAnsi="宋体" w:eastAsia="宋体" w:cs="宋体"/>
          <w:sz w:val="18"/>
          <w:szCs w:val="18"/>
          <w:lang w:val="en-US" w:eastAsia="en-US" w:bidi="ar-SA"/>
        </w:rPr>
        <w:t xml:space="preserve">云:“道可道非常道; 名可名非常名。无名天地之始; 有名万物之母。故常无欲以观其妙; 常有欲以观其徽。此两者同出而异名同谓之玄。玄之又玄众妙之门。” </w:t>
      </w:r>
    </w:p>
  </w:footnote>
  <w:footnote w:id="6">
    <w:p w14:paraId="5F188D9A">
      <w:pPr>
        <w:pStyle w:val="31"/>
        <w:snapToGrid w:val="0"/>
        <w:ind w:left="0" w:leftChars="0" w:firstLine="0" w:firstLineChars="0"/>
        <w:rPr>
          <w:rFonts w:hint="eastAsia" w:ascii="宋体" w:hAnsi="宋体" w:eastAsia="宋体" w:cs="宋体"/>
          <w:sz w:val="18"/>
          <w:szCs w:val="18"/>
          <w:lang w:val="en-US" w:eastAsia="en-US" w:bidi="ar-SA"/>
        </w:rPr>
      </w:pPr>
      <w:r>
        <w:rPr>
          <w:rStyle w:val="140"/>
        </w:rPr>
        <w:footnoteRef/>
      </w:r>
      <w:r>
        <w:t xml:space="preserve"> </w:t>
      </w:r>
      <w:r>
        <w:rPr>
          <w:rFonts w:hint="eastAsia" w:ascii="宋体" w:hAnsi="宋体" w:eastAsia="宋体" w:cs="宋体"/>
          <w:sz w:val="18"/>
          <w:szCs w:val="18"/>
          <w:lang w:val="en-US" w:eastAsia="en-US" w:bidi="ar-SA"/>
        </w:rPr>
        <w:t>成玄英：《道德开题序义疏》卷一，第4页。转引自卿希泰主编：《中国道教史》(第二卷), 四川人民出版社1992年版，第174页。</w:t>
      </w:r>
    </w:p>
  </w:footnote>
  <w:footnote w:id="7">
    <w:p w14:paraId="66B208FB">
      <w:pPr>
        <w:pStyle w:val="31"/>
        <w:snapToGrid w:val="0"/>
        <w:ind w:left="0" w:leftChars="0" w:firstLine="0" w:firstLineChars="0"/>
        <w:rPr>
          <w:rFonts w:hint="eastAsia" w:eastAsia="宋体"/>
          <w:lang w:val="en-US" w:eastAsia="zh-CN"/>
        </w:rPr>
      </w:pPr>
      <w:r>
        <w:rPr>
          <w:rStyle w:val="140"/>
        </w:rPr>
        <w:footnoteRef/>
      </w:r>
      <w:r>
        <w:t xml:space="preserve"> </w:t>
      </w:r>
      <w:r>
        <w:rPr>
          <w:rFonts w:hint="eastAsia" w:eastAsia="宋体"/>
          <w:lang w:val="en-US" w:eastAsia="zh-CN"/>
        </w:rPr>
        <w:t>同上。</w:t>
      </w:r>
    </w:p>
  </w:footnote>
  <w:footnote w:id="8">
    <w:p w14:paraId="29D0732C">
      <w:pPr>
        <w:pStyle w:val="31"/>
        <w:snapToGrid w:val="0"/>
        <w:spacing w:line="240" w:lineRule="auto"/>
        <w:ind w:left="0" w:leftChars="0" w:firstLine="0" w:firstLineChars="0"/>
        <w:rPr>
          <w:rFonts w:ascii="Times New Roman" w:hAnsi="Times New Roman" w:eastAsia="宋体" w:cstheme="minorBidi"/>
          <w:sz w:val="18"/>
          <w:szCs w:val="18"/>
          <w:lang w:val="en-US" w:eastAsia="en-US" w:bidi="ar-SA"/>
        </w:rPr>
      </w:pPr>
      <w:r>
        <w:rPr>
          <w:rStyle w:val="140"/>
        </w:rPr>
        <w:footnoteRef/>
      </w:r>
      <w:r>
        <w:t xml:space="preserve"> </w:t>
      </w:r>
      <w:r>
        <w:rPr>
          <w:rFonts w:hint="eastAsia" w:ascii="Times New Roman" w:hAnsi="Times New Roman" w:eastAsia="宋体" w:cstheme="minorBidi"/>
          <w:sz w:val="18"/>
          <w:szCs w:val="18"/>
          <w:lang w:val="en-US" w:eastAsia="en-US" w:bidi="ar-SA"/>
        </w:rPr>
        <w:t>《太上老君说常清静经注》，《道藏》第17册</w:t>
      </w:r>
    </w:p>
  </w:footnote>
  <w:footnote w:id="9">
    <w:p w14:paraId="5B82ECA8">
      <w:pPr>
        <w:pStyle w:val="31"/>
        <w:spacing w:beforeLines="0" w:afterLines="0" w:line="240" w:lineRule="auto"/>
        <w:ind w:left="0" w:leftChars="0" w:firstLine="0" w:firstLineChars="0"/>
        <w:rPr>
          <w:rFonts w:hint="default" w:ascii="Times New Roman" w:hAnsi="Times New Roman" w:eastAsia="宋体" w:cstheme="minorBidi"/>
          <w:sz w:val="18"/>
          <w:szCs w:val="18"/>
          <w:lang w:val="en-US" w:eastAsia="zh-CN" w:bidi="ar-SA"/>
        </w:rPr>
      </w:pPr>
      <w:r>
        <w:rPr>
          <w:rStyle w:val="140"/>
        </w:rPr>
        <w:footnoteRef/>
      </w:r>
      <w:r>
        <w:t xml:space="preserve"> </w:t>
      </w:r>
      <w:r>
        <w:rPr>
          <w:rFonts w:hint="default" w:ascii="Times New Roman" w:hAnsi="Times New Roman" w:eastAsia="宋体" w:cstheme="minorBidi"/>
          <w:sz w:val="18"/>
          <w:szCs w:val="18"/>
          <w:lang w:val="en-US" w:eastAsia="en-US" w:bidi="ar-SA"/>
        </w:rPr>
        <w:t>《道德真经广圣义》卷十二</w:t>
      </w:r>
      <w:r>
        <w:rPr>
          <w:rFonts w:hint="default" w:ascii="Times New Roman" w:hAnsi="Times New Roman" w:eastAsia="宋体" w:cstheme="minorBidi"/>
          <w:sz w:val="18"/>
          <w:szCs w:val="18"/>
          <w:lang w:val="en-US" w:eastAsia="zh-CN" w:bidi="ar-SA"/>
        </w:rPr>
        <w:t>，</w:t>
      </w:r>
      <w:r>
        <w:rPr>
          <w:rFonts w:hint="default" w:ascii="Times New Roman" w:hAnsi="Times New Roman" w:eastAsia="宋体" w:cstheme="minorBidi"/>
          <w:sz w:val="18"/>
          <w:szCs w:val="18"/>
          <w:lang w:val="en-US" w:eastAsia="en-US" w:bidi="ar-SA"/>
        </w:rPr>
        <w:t>《道藏》第14册</w:t>
      </w:r>
      <w:r>
        <w:rPr>
          <w:rFonts w:hint="default" w:ascii="Times New Roman" w:hAnsi="Times New Roman" w:eastAsia="宋体" w:cstheme="minorBidi"/>
          <w:sz w:val="18"/>
          <w:szCs w:val="18"/>
          <w:lang w:val="en-US" w:eastAsia="zh-CN" w:bidi="ar-SA"/>
        </w:rPr>
        <w:t>，</w:t>
      </w:r>
      <w:r>
        <w:rPr>
          <w:rFonts w:hint="default" w:ascii="Times New Roman" w:hAnsi="Times New Roman" w:eastAsia="宋体" w:cstheme="minorBidi"/>
          <w:sz w:val="18"/>
          <w:szCs w:val="18"/>
          <w:lang w:val="en-US" w:eastAsia="en-US" w:bidi="ar-SA"/>
        </w:rPr>
        <w:t>第</w:t>
      </w:r>
      <w:r>
        <w:rPr>
          <w:rFonts w:hint="default" w:ascii="Times New Roman" w:hAnsi="Times New Roman" w:eastAsia="宋体" w:cstheme="minorBidi"/>
          <w:sz w:val="18"/>
          <w:szCs w:val="18"/>
          <w:lang w:val="en-US" w:eastAsia="zh-CN" w:bidi="ar-SA"/>
        </w:rPr>
        <w:t>370</w:t>
      </w:r>
      <w:r>
        <w:rPr>
          <w:rFonts w:hint="default" w:ascii="Times New Roman" w:hAnsi="Times New Roman" w:eastAsia="宋体" w:cstheme="minorBidi"/>
          <w:sz w:val="18"/>
          <w:szCs w:val="18"/>
          <w:lang w:val="en-US" w:eastAsia="en-US" w:bidi="ar-SA"/>
        </w:rPr>
        <w:t>页</w:t>
      </w:r>
      <w:r>
        <w:rPr>
          <w:rFonts w:hint="default" w:ascii="Times New Roman" w:hAnsi="Times New Roman" w:eastAsia="宋体" w:cstheme="minorBidi"/>
          <w:sz w:val="18"/>
          <w:szCs w:val="18"/>
          <w:lang w:val="en-US" w:eastAsia="zh-CN" w:bidi="ar-SA"/>
        </w:rPr>
        <w:t>。</w:t>
      </w:r>
    </w:p>
    <w:p w14:paraId="25AFF19B">
      <w:pPr>
        <w:pStyle w:val="31"/>
        <w:snapToGrid w:val="0"/>
      </w:pPr>
    </w:p>
  </w:footnote>
  <w:footnote w:id="10">
    <w:p>
      <w:pPr>
        <w:spacing w:after="0" w:line="200" w:lineRule="auto"/>
      </w:pPr>
      <w:r>
        <w:rPr>
          <w:lang w:val="EN-US" w:eastAsia="zh-CN"/>
          <w:vertAlign w:val="superscript"/>
        </w:rPr>
        <w:t>10</w:t>
      </w:r>
      <w:r>
        <w:rPr>
          <w:rFonts w:ascii="宋体" w:hAnsi="宋体" w:eastAsia="宋体" w:cs="宋体"/>
          <w:sz w:val="18"/>
          <w:szCs w:val="18"/>
          <w:lang w:val="zh-CN" w:eastAsia="zh-CN"/>
        </w:rPr>
        <w:t>董恩林. 唐代道教的"重玄"思潮与杜光庭的《道德真经广圣义》[J]. 世界宗教研究, 2004(3): 78-85.</w:t>
      </w:r>
    </w:p>
  </w:footnote>
  <w:footnote w:id="11">
    <w:p w14:paraId="623A2899">
      <w:pPr>
        <w:pStyle w:val="31"/>
        <w:snapToGrid w:val="0"/>
        <w:ind w:left="0" w:leftChars="0" w:firstLine="0" w:firstLineChars="0"/>
        <w:rPr>
          <w:sz w:val="18"/>
          <w:szCs w:val="18"/>
        </w:rPr>
      </w:pPr>
      <w:r>
        <w:rPr>
          <w:rStyle w:val="140"/>
        </w:rPr>
        <w:footnoteRef/>
      </w:r>
      <w:r>
        <w:t xml:space="preserve"> </w:t>
      </w:r>
      <w:r>
        <w:rPr>
          <w:rFonts w:ascii="宋体" w:hAnsi="宋体" w:eastAsia="宋体" w:cs="宋体"/>
          <w:spacing w:val="-8"/>
          <w:sz w:val="18"/>
          <w:szCs w:val="18"/>
        </w:rPr>
        <w:t>《道德真经广圣义》卷五，《道藏》第14册，第341页。</w:t>
      </w:r>
    </w:p>
  </w:footnote>
  <w:footnote w:id="12">
    <w:p w14:paraId="1AAEC6E7">
      <w:pPr>
        <w:pStyle w:val="31"/>
        <w:snapToGrid w:val="0"/>
        <w:ind w:left="0" w:leftChars="0" w:firstLine="0" w:firstLineChars="0"/>
        <w:rPr>
          <w:rFonts w:ascii="宋体" w:hAnsi="宋体" w:eastAsia="宋体" w:cs="宋体"/>
          <w:spacing w:val="-8"/>
          <w:sz w:val="19"/>
          <w:szCs w:val="19"/>
        </w:rPr>
      </w:pPr>
      <w:r>
        <w:rPr>
          <w:rStyle w:val="140"/>
        </w:rPr>
        <w:footnoteRef/>
      </w:r>
      <w:r>
        <w:t xml:space="preserve"> </w:t>
      </w:r>
      <w:r>
        <w:rPr>
          <w:rFonts w:hint="eastAsia" w:ascii="宋体" w:hAnsi="宋体" w:eastAsia="宋体" w:cs="宋体"/>
          <w:spacing w:val="-8"/>
          <w:sz w:val="19"/>
          <w:szCs w:val="19"/>
        </w:rPr>
        <w:t>《 道 德 真 经 广 圣 义 》 卷 七 ， 《 道 藏 》 第 1 4 册 ， 第 3 4 7 页 。</w:t>
      </w:r>
    </w:p>
    <w:p w14:paraId="4CD59DA5">
      <w:pPr>
        <w:pStyle w:val="31"/>
        <w:snapToGrid w:val="0"/>
      </w:pPr>
    </w:p>
  </w:footnote>
  <w:footnote w:id="13">
    <w:p w14:paraId="0662BB6D">
      <w:pPr>
        <w:pStyle w:val="31"/>
        <w:snapToGrid w:val="0"/>
      </w:pPr>
      <w:r>
        <w:rPr>
          <w:rStyle w:val="140"/>
        </w:rPr>
        <w:footnoteRef/>
      </w:r>
      <w:r>
        <w:t xml:space="preserve"> </w:t>
      </w:r>
    </w:p>
  </w:footnote>
  <w:footnote w:id="14">
    <w:p w14:paraId="775C6315">
      <w:pPr>
        <w:pStyle w:val="31"/>
        <w:snapToGrid w:val="0"/>
        <w:rPr>
          <w:rFonts w:hint="eastAsia" w:eastAsia="宋体"/>
          <w:lang w:val="en-US" w:eastAsia="zh-CN"/>
        </w:rPr>
      </w:pPr>
      <w:r>
        <w:rPr>
          <w:rStyle w:val="140"/>
        </w:rPr>
        <w:footnoteRef/>
      </w:r>
      <w:r>
        <w:t xml:space="preserve"> </w:t>
      </w:r>
      <w:r>
        <w:rPr>
          <w:rFonts w:hint="eastAsia" w:eastAsia="宋体"/>
          <w:lang w:val="en-US" w:eastAsia="zh-CN"/>
        </w:rPr>
        <w:t xml:space="preserve"> </w:t>
      </w:r>
    </w:p>
  </w:footnote>
  <w:footnote w:id="15">
    <w:p w14:paraId="0F05D6A5">
      <w:pPr>
        <w:pStyle w:val="31"/>
        <w:snapToGrid w:val="0"/>
        <w:ind w:left="0" w:leftChars="0" w:firstLine="0" w:firstLineChars="0"/>
        <w:rPr>
          <w:rFonts w:hint="eastAsia" w:ascii="宋体" w:hAnsi="宋体" w:eastAsia="宋体" w:cs="宋体"/>
          <w:sz w:val="18"/>
          <w:szCs w:val="18"/>
          <w:lang w:val="en-US" w:eastAsia="zh-CN" w:bidi="ar-SA"/>
        </w:rPr>
      </w:pPr>
      <w:r>
        <w:rPr>
          <w:rStyle w:val="140"/>
        </w:rPr>
        <w:footnoteRef/>
      </w:r>
      <w:r>
        <w:t xml:space="preserve"> </w:t>
      </w:r>
      <w:r>
        <w:rPr>
          <w:rFonts w:hint="eastAsia"/>
        </w:rPr>
        <w:t xml:space="preserve"> </w:t>
      </w:r>
      <w:r>
        <w:rPr>
          <w:rFonts w:hint="eastAsia" w:ascii="宋体" w:hAnsi="宋体" w:eastAsia="宋体" w:cs="宋体"/>
          <w:sz w:val="18"/>
          <w:szCs w:val="18"/>
          <w:lang w:val="en-US" w:eastAsia="en-US" w:bidi="ar-SA"/>
        </w:rPr>
        <w:t>《道德经》第三十九章</w:t>
      </w:r>
      <w:r>
        <w:rPr>
          <w:rFonts w:hint="eastAsia" w:ascii="宋体" w:hAnsi="宋体" w:eastAsia="宋体" w:cs="宋体"/>
          <w:sz w:val="18"/>
          <w:szCs w:val="18"/>
          <w:lang w:val="en-US" w:eastAsia="zh-CN" w:bidi="ar-SA"/>
        </w:rPr>
        <w:t>。</w:t>
      </w:r>
    </w:p>
  </w:footnote>
  <w:footnote w:id="16">
    <w:p>
      <w:pPr>
        <w:spacing w:after="0" w:line="200" w:lineRule="auto"/>
      </w:pPr>
      <w:r>
        <w:rPr>
          <w:lang w:val="EN-US" w:eastAsia="zh-CN"/>
          <w:vertAlign w:val="superscript"/>
        </w:rPr>
        <w:t>16</w:t>
      </w:r>
      <w:r>
        <w:rPr>
          <w:rFonts w:ascii="宋体" w:hAnsi="宋体" w:eastAsia="宋体" w:cs="宋体"/>
          <w:sz w:val="18"/>
          <w:szCs w:val="18"/>
          <w:lang w:val="zh-CN" w:eastAsia="zh-CN"/>
        </w:rPr>
        <w:t>余红平. 杜光庭道教文学研究——以道教诗词为考察对象[M]. 北京: 宗教文化出版社, 2010: 89-102; 罗争鸣. 杜光庭道教小说研究[M]. 北京: 中华书局, 2006: 134-156.</w:t>
      </w:r>
    </w:p>
  </w:footnote>
  <w:footnote w:id="17">
    <w:p>
      <w:pPr>
        <w:spacing w:after="0" w:line="200" w:lineRule="auto"/>
      </w:pPr>
      <w:r>
        <w:rPr>
          <w:lang w:val="EN-US" w:eastAsia="zh-CN"/>
          <w:vertAlign w:val="superscript"/>
        </w:rPr>
        <w:t>17</w:t>
      </w:r>
      <w:r>
        <w:rPr>
          <w:rFonts w:ascii="宋体" w:hAnsi="宋体" w:eastAsia="宋体" w:cs="宋体"/>
          <w:sz w:val="18"/>
          <w:szCs w:val="18"/>
          <w:lang w:val="zh-CN" w:eastAsia="zh-CN"/>
        </w:rPr>
        <w:t>李肇. 翰林志[M]//影印文渊阁四库全书: 第596册. 台北: 台湾商务印书馆, 1986: 12.</w:t>
      </w:r>
    </w:p>
  </w:footnote>
  <w:footnote w:id="18">
    <w:p w14:paraId="46EBA69D">
      <w:pPr>
        <w:pStyle w:val="31"/>
        <w:bidi w:val="0"/>
        <w:ind w:left="0" w:leftChars="0" w:firstLine="0" w:firstLineChars="0"/>
        <w:rPr>
          <w:rFonts w:hint="eastAsia" w:ascii="Times New Roman" w:hAnsi="Times New Roman" w:eastAsia="宋体" w:cstheme="minorBidi"/>
          <w:sz w:val="18"/>
          <w:szCs w:val="18"/>
          <w:lang w:val="en-US" w:eastAsia="en-US" w:bidi="ar-SA"/>
        </w:rPr>
      </w:pPr>
      <w:r>
        <w:rPr>
          <w:rFonts w:hint="eastAsia" w:ascii="Times New Roman" w:hAnsi="Times New Roman" w:eastAsia="宋体" w:cstheme="minorBidi"/>
          <w:sz w:val="18"/>
          <w:szCs w:val="18"/>
          <w:lang w:val="en-US" w:eastAsia="en-US" w:bidi="ar-SA"/>
        </w:rPr>
        <w:footnoteRef/>
      </w:r>
      <w:r>
        <w:rPr>
          <w:rFonts w:hint="eastAsia" w:ascii="Times New Roman" w:hAnsi="Times New Roman" w:eastAsia="宋体" w:cstheme="minorBidi"/>
          <w:sz w:val="18"/>
          <w:szCs w:val="18"/>
          <w:lang w:val="en-US" w:eastAsia="en-US" w:bidi="ar-SA"/>
        </w:rPr>
        <w:t xml:space="preserve"> 《道德真经广圣义》卷七，《道藏》第14册。</w:t>
      </w:r>
    </w:p>
  </w:footnote>
  <w:footnote w:id="19">
    <w:p>
      <w:pPr>
        <w:spacing w:after="0" w:line="200" w:lineRule="auto"/>
      </w:pPr>
      <w:r>
        <w:rPr>
          <w:lang w:val="EN-US" w:eastAsia="zh-CN"/>
          <w:vertAlign w:val="superscript"/>
        </w:rPr>
        <w:t>19</w:t>
      </w:r>
      <w:r>
        <w:rPr>
          <w:rFonts w:ascii="宋体" w:hAnsi="宋体" w:eastAsia="宋体" w:cs="宋体"/>
          <w:sz w:val="18"/>
          <w:szCs w:val="18"/>
          <w:lang w:val="zh-CN" w:eastAsia="zh-CN"/>
        </w:rPr>
        <w:t>葛兆光. 中国思想史: 第2卷[M]. 上海: 复旦大学出版社, 2001: 234-256.</w:t>
      </w:r>
    </w:p>
  </w:footnote>
  <w:footnote w:id="20">
    <w:p>
      <w:pPr>
        <w:spacing w:after="0" w:line="200" w:lineRule="auto"/>
      </w:pPr>
      <w:r>
        <w:rPr>
          <w:lang w:val="EN-US" w:eastAsia="zh-CN"/>
          <w:vertAlign w:val="superscript"/>
        </w:rPr>
        <w:t>20</w:t>
      </w:r>
      <w:r>
        <w:rPr>
          <w:rFonts w:ascii="宋体" w:hAnsi="宋体" w:eastAsia="宋体" w:cs="宋体"/>
          <w:sz w:val="18"/>
          <w:szCs w:val="18"/>
          <w:lang w:val="zh-CN" w:eastAsia="zh-CN"/>
        </w:rPr>
        <w:t>杜光庭. 道门科范大全集[M]//道藏: 第31-33册. 北京: 文物出版社, 1988.</w:t>
      </w:r>
    </w:p>
  </w:footnote>
  <w:footnote w:id="21">
    <w:p w14:paraId="42764B8B">
      <w:pPr>
        <w:pStyle w:val="31"/>
        <w:snapToGrid w:val="0"/>
        <w:ind w:left="0" w:leftChars="0" w:firstLine="0" w:firstLineChars="0"/>
      </w:pPr>
      <w:r>
        <w:rPr>
          <w:rStyle w:val="140"/>
        </w:rPr>
        <w:footnoteRef/>
      </w:r>
      <w:r>
        <w:rPr>
          <w:rFonts w:hint="eastAsia" w:ascii="宋体" w:hAnsi="宋体" w:eastAsia="宋体" w:cs="宋体"/>
          <w:sz w:val="18"/>
          <w:szCs w:val="18"/>
          <w:lang w:val="en-US" w:eastAsia="en-US" w:bidi="ar-SA"/>
        </w:rPr>
        <w:t xml:space="preserve"> </w:t>
      </w:r>
      <w:r>
        <w:rPr>
          <w:rFonts w:hint="eastAsia" w:ascii="宋体" w:hAnsi="宋体" w:eastAsia="宋体" w:cs="宋体"/>
          <w:sz w:val="18"/>
          <w:szCs w:val="18"/>
          <w:lang w:val="en-US" w:eastAsia="zh-CN" w:bidi="ar-SA"/>
        </w:rPr>
        <w:t>“</w:t>
      </w:r>
      <w:r>
        <w:rPr>
          <w:rFonts w:hint="eastAsia" w:ascii="宋体" w:hAnsi="宋体" w:eastAsia="宋体" w:cs="宋体"/>
          <w:sz w:val="18"/>
          <w:szCs w:val="18"/>
          <w:lang w:val="en-US" w:eastAsia="en-US" w:bidi="ar-SA"/>
        </w:rPr>
        <w:t>风尘三侠</w:t>
      </w:r>
      <w:r>
        <w:rPr>
          <w:rFonts w:hint="eastAsia" w:ascii="宋体" w:hAnsi="宋体" w:eastAsia="宋体" w:cs="宋体"/>
          <w:sz w:val="18"/>
          <w:szCs w:val="18"/>
          <w:lang w:val="en-US" w:eastAsia="zh-CN" w:bidi="ar-SA"/>
        </w:rPr>
        <w:t>”</w:t>
      </w:r>
      <w:r>
        <w:rPr>
          <w:rFonts w:hint="eastAsia" w:ascii="宋体" w:hAnsi="宋体" w:eastAsia="宋体" w:cs="宋体"/>
          <w:sz w:val="18"/>
          <w:szCs w:val="18"/>
          <w:lang w:val="en-US" w:eastAsia="en-US" w:bidi="ar-SA"/>
        </w:rPr>
        <w:t>指隋末唐初三位豪杰</w:t>
      </w:r>
      <w:r>
        <w:rPr>
          <w:rFonts w:hint="eastAsia" w:ascii="宋体" w:hAnsi="宋体" w:eastAsia="宋体" w:cs="宋体"/>
          <w:sz w:val="18"/>
          <w:szCs w:val="18"/>
          <w:lang w:val="en-US" w:eastAsia="zh-CN" w:bidi="ar-SA"/>
        </w:rPr>
        <w:t>：</w:t>
      </w:r>
      <w:r>
        <w:rPr>
          <w:rFonts w:hint="eastAsia" w:ascii="宋体" w:hAnsi="宋体" w:eastAsia="宋体" w:cs="宋体"/>
          <w:sz w:val="18"/>
          <w:szCs w:val="18"/>
          <w:lang w:val="en-US" w:eastAsia="en-US" w:bidi="ar-SA"/>
        </w:rPr>
        <w:t>虬髯客、李靖和红拂女</w:t>
      </w:r>
      <w:r>
        <w:rPr>
          <w:rFonts w:hint="eastAsia" w:ascii="宋体" w:hAnsi="宋体" w:eastAsia="宋体" w:cs="宋体"/>
          <w:sz w:val="18"/>
          <w:szCs w:val="18"/>
          <w:lang w:val="en-US" w:eastAsia="zh-CN" w:bidi="ar-SA"/>
        </w:rPr>
        <w:t>。</w:t>
      </w:r>
    </w:p>
  </w:footnote>
  <w:footnote w:id="22">
    <w:p w14:paraId="7832691C">
      <w:pPr>
        <w:ind w:left="0" w:leftChars="0" w:firstLine="0" w:firstLineChars="0"/>
      </w:pPr>
      <w:r>
        <w:rPr>
          <w:rStyle w:val="140"/>
        </w:rPr>
        <w:footnoteRef/>
      </w:r>
      <w:r>
        <w:t xml:space="preserve"> </w:t>
      </w:r>
      <w:r>
        <w:rPr>
          <w:rFonts w:ascii="Times New Roman" w:hAnsi="Times New Roman" w:eastAsia="宋体"/>
          <w:sz w:val="18"/>
          <w:szCs w:val="18"/>
        </w:rPr>
        <w:t>见《道门科范大全集》卷七步虚词，《道藏》第31册。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F85AD">
    <w:pPr>
      <w:pStyle w:val="27"/>
      <w:pBdr>
        <w:bottom w:val="single" w:color="auto" w:sz="4" w:space="0"/>
      </w:pBdr>
      <w:jc w:val="center"/>
    </w:pPr>
    <w:r>
      <w:rPr>
        <w:rFonts w:ascii="Times New Roman" w:hAnsi="Times New Roman" w:eastAsia="宋体"/>
        <w:sz w:val="18"/>
      </w:rPr>
      <w:t>杜光庭文化实践中的文学书写、科仪整合与思想阐释及其当代回响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20"/>
  <w:characterSpacingControl w:val="doNotCompress"/>
  <w:footnotePr>
    <w:numFmt w:val="decimalEnclosedCircleChinese"/>
    <w:numRestart w:val="eachPage"/>
    <w:footnote w:id="46"/>
    <w:footnote w:id="47"/>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6FBF1077"/>
    <w:rsid w:val="7ED3793B"/>
    <w:rsid w:val="FFD7D4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left="0" w:firstLine="602" w:firstLineChars="200"/>
    </w:pPr>
    <w:rPr>
      <w:rFonts w:asciiTheme="minorAscii" w:hAnsiTheme="minorAscii" w:eastAsiaTheme="minorEastAsia" w:cstheme="minorBidi"/>
      <w:sz w:val="24"/>
      <w:szCs w:val="22"/>
      <w:lang w:val="en-US" w:eastAsia="en-US" w:bidi="ar-SA"/>
    </w:rPr>
  </w:style>
  <w:style w:type="paragraph" w:styleId="3">
    <w:name w:val="heading 1"/>
    <w:basedOn w:val="4"/>
    <w:next w:val="1"/>
    <w:link w:val="144"/>
    <w:qFormat/>
    <w:uiPriority w:val="9"/>
    <w:pPr>
      <w:keepNext/>
      <w:keepLines/>
      <w:pBdr>
        <w:top w:val="none" w:color="auto" w:sz="0" w:space="1"/>
        <w:left w:val="none" w:color="auto" w:sz="0" w:space="4"/>
        <w:bottom w:val="none" w:color="4F81BD" w:themeColor="accent1" w:sz="0" w:space="1"/>
        <w:right w:val="none" w:color="auto" w:sz="0" w:space="4"/>
      </w:pBdr>
      <w:spacing w:line="360" w:lineRule="auto"/>
      <w:ind w:left="0" w:firstLine="0"/>
      <w:jc w:val="center"/>
      <w:outlineLvl w:val="0"/>
    </w:pPr>
    <w:rPr>
      <w:rFonts w:eastAsia="Heiti SC Medium" w:cs="Heiti SC Medium" w:asciiTheme="majorAscii" w:hAnsiTheme="majorAscii"/>
      <w:b/>
      <w:color w:val="000000"/>
      <w:spacing w:val="6"/>
      <w:sz w:val="28"/>
      <w:szCs w:val="28"/>
    </w:rPr>
  </w:style>
  <w:style w:type="paragraph" w:styleId="5">
    <w:name w:val="heading 2"/>
    <w:basedOn w:val="3"/>
    <w:next w:val="1"/>
    <w:link w:val="145"/>
    <w:unhideWhenUsed/>
    <w:qFormat/>
    <w:uiPriority w:val="9"/>
    <w:pPr>
      <w:keepNext/>
      <w:keepLines/>
      <w:spacing w:after="0" w:line="360" w:lineRule="auto"/>
      <w:ind w:firstLine="602" w:firstLineChars="200"/>
      <w:jc w:val="left"/>
      <w:outlineLvl w:val="1"/>
    </w:pPr>
    <w:rPr>
      <w:bCs/>
      <w:color w:val="000000" w:themeColor="text1"/>
      <w:sz w:val="24"/>
      <w:szCs w:val="24"/>
      <w14:textFill>
        <w14:solidFill>
          <w14:schemeClr w14:val="tx1"/>
        </w14:solidFill>
      </w14:textFill>
    </w:rPr>
  </w:style>
  <w:style w:type="paragraph" w:styleId="6">
    <w:name w:val="heading 3"/>
    <w:basedOn w:val="4"/>
    <w:next w:val="1"/>
    <w:link w:val="146"/>
    <w:unhideWhenUsed/>
    <w:qFormat/>
    <w:uiPriority w:val="9"/>
    <w:pPr>
      <w:keepNext/>
      <w:keepLines/>
      <w:pBdr>
        <w:top w:val="none" w:color="auto" w:sz="0" w:space="1"/>
        <w:left w:val="none" w:color="auto" w:sz="0" w:space="4"/>
        <w:bottom w:val="none" w:color="4F81BD" w:themeColor="accent1" w:sz="0" w:space="1"/>
        <w:right w:val="none" w:color="auto" w:sz="0" w:space="4"/>
      </w:pBdr>
      <w:spacing w:after="0" w:line="360" w:lineRule="auto"/>
      <w:ind w:firstLine="602" w:firstLineChars="200"/>
      <w:jc w:val="left"/>
      <w:outlineLvl w:val="2"/>
    </w:pPr>
    <w:rPr>
      <w:rFonts w:eastAsia="Heiti SC Medium" w:cs="Heiti SC Medium" w:asciiTheme="majorAscii" w:hAnsiTheme="majorAscii"/>
      <w:b/>
      <w:color w:val="000000" w:themeColor="text1"/>
      <w:spacing w:val="6"/>
      <w:sz w:val="24"/>
      <w:szCs w:val="24"/>
      <w14:textFill>
        <w14:solidFill>
          <w14:schemeClr w14:val="tx1"/>
        </w14:solidFill>
      </w14:textFill>
    </w:rPr>
  </w:style>
  <w:style w:type="paragraph" w:styleId="7">
    <w:name w:val="heading 4"/>
    <w:basedOn w:val="8"/>
    <w:next w:val="1"/>
    <w:link w:val="156"/>
    <w:unhideWhenUsed/>
    <w:qFormat/>
    <w:uiPriority w:val="9"/>
    <w:pPr>
      <w:keepNext/>
      <w:keepLines/>
      <w:spacing w:after="0" w:line="360" w:lineRule="auto"/>
      <w:ind w:firstLine="602" w:firstLineChars="200"/>
      <w:jc w:val="left"/>
      <w:outlineLvl w:val="3"/>
    </w:pPr>
    <w:rPr>
      <w:rFonts w:cs="Heiti SC Medium" w:asciiTheme="majorAscii" w:hAnsiTheme="majorAscii"/>
      <w:color w:val="000000" w:themeColor="text1"/>
      <w:szCs w:val="24"/>
      <w14:textFill>
        <w14:solidFill>
          <w14:schemeClr w14:val="tx1"/>
        </w14:solidFill>
      </w14:textFill>
    </w:rPr>
  </w:style>
  <w:style w:type="paragraph" w:styleId="8">
    <w:name w:val="heading 5"/>
    <w:basedOn w:val="1"/>
    <w:next w:val="1"/>
    <w:link w:val="157"/>
    <w:semiHidden/>
    <w:unhideWhenUsed/>
    <w:qFormat/>
    <w:uiPriority w:val="9"/>
    <w:pPr>
      <w:keepNext/>
      <w:keepLines/>
      <w:spacing w:before="200" w:after="0" w:line="360" w:lineRule="auto"/>
      <w:ind w:firstLine="420"/>
      <w:jc w:val="left"/>
      <w:outlineLvl w:val="4"/>
    </w:pPr>
    <w:rPr>
      <w:rFonts w:asciiTheme="majorHAnsi" w:hAnsiTheme="majorHAnsi" w:eastAsiaTheme="majorEastAsia" w:cstheme="majorBidi"/>
      <w:b/>
      <w:color w:val="254061" w:themeColor="accent1" w:themeShade="80"/>
      <w:sz w:val="24"/>
    </w:rPr>
  </w:style>
  <w:style w:type="paragraph" w:styleId="9">
    <w:name w:val="heading 6"/>
    <w:basedOn w:val="1"/>
    <w:next w:val="1"/>
    <w:link w:val="158"/>
    <w:semiHidden/>
    <w:unhideWhenUsed/>
    <w:qFormat/>
    <w:uiPriority w:val="9"/>
    <w:pPr>
      <w:keepNext/>
      <w:keepLines/>
      <w:spacing w:before="200" w:after="0" w:line="360" w:lineRule="auto"/>
      <w:ind w:firstLine="420"/>
      <w:jc w:val="left"/>
      <w:outlineLvl w:val="5"/>
    </w:pPr>
    <w:rPr>
      <w:rFonts w:asciiTheme="majorHAnsi" w:hAnsiTheme="majorHAnsi" w:eastAsiaTheme="majorEastAsia" w:cstheme="majorBidi"/>
      <w:b/>
      <w:i/>
      <w:iCs/>
      <w:color w:val="254061" w:themeColor="accent1" w:themeShade="80"/>
      <w:sz w:val="24"/>
    </w:rPr>
  </w:style>
  <w:style w:type="paragraph" w:styleId="10">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uiPriority w:val="1"/>
  </w:style>
  <w:style w:type="table" w:default="1" w:styleId="37">
    <w:name w:val="Normal Table"/>
    <w:semiHidden/>
    <w:unhideWhenUsed/>
    <w:uiPriority w:val="99"/>
    <w:tblPr>
      <w:tblCellMar>
        <w:top w:w="0" w:type="dxa"/>
        <w:left w:w="108" w:type="dxa"/>
        <w:bottom w:w="0" w:type="dxa"/>
        <w:right w:w="108" w:type="dxa"/>
      </w:tblCellMar>
    </w:tblPr>
  </w:style>
  <w:style w:type="paragraph" w:styleId="2">
    <w:name w:val="macro"/>
    <w:link w:val="153"/>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3">
    <w:name w:val="List 3"/>
    <w:basedOn w:val="1"/>
    <w:unhideWhenUsed/>
    <w:uiPriority w:val="99"/>
    <w:pPr>
      <w:ind w:left="1080" w:hanging="360"/>
      <w:contextualSpacing/>
    </w:p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2"/>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50"/>
    <w:unhideWhenUsed/>
    <w:uiPriority w:val="99"/>
    <w:pPr>
      <w:spacing w:after="120" w:line="360" w:lineRule="auto"/>
      <w:ind w:firstLine="420"/>
    </w:pPr>
    <w:rPr>
      <w:rFonts w:ascii="Times New Roman" w:hAnsi="Times New Roman" w:eastAsia="宋体"/>
      <w:sz w:val="24"/>
    </w:r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2"/>
    <w:unhideWhenUsed/>
    <w:uiPriority w:val="99"/>
    <w:pPr>
      <w:tabs>
        <w:tab w:val="center" w:pos="4680"/>
        <w:tab w:val="right" w:pos="9360"/>
      </w:tabs>
      <w:spacing w:after="0" w:line="240" w:lineRule="auto"/>
    </w:pPr>
  </w:style>
  <w:style w:type="paragraph" w:styleId="27">
    <w:name w:val="header"/>
    <w:basedOn w:val="1"/>
    <w:link w:val="141"/>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footnote text"/>
    <w:basedOn w:val="1"/>
    <w:unhideWhenUsed/>
    <w:uiPriority w:val="99"/>
    <w:pPr>
      <w:snapToGrid w:val="0"/>
      <w:jc w:val="left"/>
    </w:pPr>
    <w:rPr>
      <w:sz w:val="18"/>
    </w:rPr>
  </w:style>
  <w:style w:type="paragraph" w:styleId="32">
    <w:name w:val="toc 2"/>
    <w:basedOn w:val="1"/>
    <w:next w:val="1"/>
    <w:semiHidden/>
    <w:unhideWhenUsed/>
    <w:uiPriority w:val="39"/>
    <w:pPr>
      <w:ind w:left="420" w:leftChars="200"/>
    </w:pPr>
  </w:style>
  <w:style w:type="paragraph" w:styleId="33">
    <w:name w:val="Body Text 2"/>
    <w:basedOn w:val="1"/>
    <w:link w:val="151"/>
    <w:unhideWhenUsed/>
    <w:uiPriority w:val="99"/>
    <w:pPr>
      <w:spacing w:after="120" w:line="480" w:lineRule="auto"/>
    </w:pPr>
  </w:style>
  <w:style w:type="paragraph" w:styleId="34">
    <w:name w:val="List Continue 2"/>
    <w:basedOn w:val="1"/>
    <w:unhideWhenUsed/>
    <w:uiPriority w:val="99"/>
    <w:pPr>
      <w:spacing w:after="120"/>
      <w:ind w:left="720"/>
      <w:contextualSpacing/>
    </w:pPr>
  </w:style>
  <w:style w:type="paragraph" w:styleId="35">
    <w:name w:val="Normal (Web)"/>
    <w:basedOn w:val="1"/>
    <w:semiHidden/>
    <w:unhideWhenUsed/>
    <w:qFormat/>
    <w:uiPriority w:val="99"/>
    <w:pPr>
      <w:spacing w:before="100" w:beforeAutospacing="1" w:after="100" w:afterAutospacing="1"/>
      <w:jc w:val="left"/>
    </w:pPr>
    <w:rPr>
      <w:kern w:val="0"/>
      <w:sz w:val="24"/>
    </w:rPr>
  </w:style>
  <w:style w:type="paragraph" w:styleId="36">
    <w:name w:val="List Continue 3"/>
    <w:basedOn w:val="1"/>
    <w:unhideWhenUsed/>
    <w:uiPriority w:val="99"/>
    <w:pPr>
      <w:spacing w:after="120"/>
      <w:ind w:left="1080"/>
      <w:contextualSpacing/>
    </w:pPr>
  </w:style>
  <w:style w:type="table" w:styleId="38">
    <w:name w:val="Table Grid"/>
    <w:basedOn w:val="3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footnote reference"/>
    <w:basedOn w:val="137"/>
    <w:unhideWhenUsed/>
    <w:uiPriority w:val="99"/>
    <w:rPr>
      <w:vertAlign w:val="superscript"/>
    </w:rPr>
  </w:style>
  <w:style w:type="character" w:customStyle="1" w:styleId="141">
    <w:name w:val="Header Char"/>
    <w:basedOn w:val="137"/>
    <w:link w:val="27"/>
    <w:uiPriority w:val="99"/>
  </w:style>
  <w:style w:type="character" w:customStyle="1" w:styleId="142">
    <w:name w:val="Footer Char"/>
    <w:basedOn w:val="137"/>
    <w:link w:val="26"/>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37"/>
    <w:link w:val="3"/>
    <w:uiPriority w:val="9"/>
    <w:rPr>
      <w:rFonts w:eastAsia="Heiti SC Medium" w:cs="Heiti SC Medium" w:asciiTheme="majorAscii" w:hAnsiTheme="majorAscii"/>
      <w:b/>
      <w:color w:val="376092" w:themeColor="accent1" w:themeShade="BF"/>
      <w:spacing w:val="6"/>
      <w:sz w:val="28"/>
      <w:szCs w:val="28"/>
    </w:rPr>
  </w:style>
  <w:style w:type="character" w:customStyle="1" w:styleId="145">
    <w:name w:val="Heading 2 Char"/>
    <w:basedOn w:val="137"/>
    <w:link w:val="5"/>
    <w:uiPriority w:val="9"/>
    <w:rPr>
      <w:rFonts w:eastAsia="Heiti SC Medium" w:cs="Heiti SC Medium" w:asciiTheme="majorAscii" w:hAnsiTheme="majorAscii"/>
      <w:b/>
      <w:bCs/>
      <w:color w:val="000000" w:themeColor="text1"/>
      <w:sz w:val="24"/>
      <w:szCs w:val="24"/>
      <w14:textFill>
        <w14:solidFill>
          <w14:schemeClr w14:val="tx1"/>
        </w14:solidFill>
      </w14:textFill>
    </w:rPr>
  </w:style>
  <w:style w:type="character" w:customStyle="1" w:styleId="146">
    <w:name w:val="Heading 3 Char"/>
    <w:basedOn w:val="137"/>
    <w:link w:val="6"/>
    <w:uiPriority w:val="9"/>
    <w:rPr>
      <w:rFonts w:eastAsia="Heiti SC Medium" w:cs="Heiti SC Medium" w:asciiTheme="majorAscii" w:hAnsiTheme="majorAscii"/>
      <w:b/>
      <w:color w:val="000000" w:themeColor="text1"/>
      <w:spacing w:val="6"/>
      <w:sz w:val="24"/>
      <w:szCs w:val="24"/>
      <w14:textFill>
        <w14:solidFill>
          <w14:schemeClr w14:val="tx1"/>
        </w14:solidFill>
      </w14:textFill>
    </w:rPr>
  </w:style>
  <w:style w:type="character" w:customStyle="1" w:styleId="147">
    <w:name w:val="Title Char"/>
    <w:basedOn w:val="137"/>
    <w:link w:val="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37"/>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37"/>
    <w:link w:val="20"/>
    <w:uiPriority w:val="99"/>
  </w:style>
  <w:style w:type="character" w:customStyle="1" w:styleId="151">
    <w:name w:val="Body Text 2 Char"/>
    <w:basedOn w:val="137"/>
    <w:link w:val="33"/>
    <w:uiPriority w:val="99"/>
  </w:style>
  <w:style w:type="character" w:customStyle="1" w:styleId="152">
    <w:name w:val="Body Text 3 Char"/>
    <w:basedOn w:val="137"/>
    <w:link w:val="18"/>
    <w:uiPriority w:val="99"/>
    <w:rPr>
      <w:sz w:val="16"/>
      <w:szCs w:val="16"/>
    </w:rPr>
  </w:style>
  <w:style w:type="character" w:customStyle="1" w:styleId="153">
    <w:name w:val="Macro Text Char"/>
    <w:basedOn w:val="137"/>
    <w:link w:val="2"/>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37"/>
    <w:link w:val="154"/>
    <w:uiPriority w:val="29"/>
    <w:rPr>
      <w:i/>
      <w:iCs/>
      <w:color w:val="000000" w:themeColor="text1"/>
      <w14:textFill>
        <w14:solidFill>
          <w14:schemeClr w14:val="tx1"/>
        </w14:solidFill>
      </w14:textFill>
    </w:rPr>
  </w:style>
  <w:style w:type="character" w:customStyle="1" w:styleId="156">
    <w:name w:val="Heading 4 Char"/>
    <w:basedOn w:val="137"/>
    <w:link w:val="7"/>
    <w:semiHidden/>
    <w:uiPriority w:val="9"/>
    <w:rPr>
      <w:rFonts w:cs="Heiti SC Medium" w:asciiTheme="majorAscii" w:hAnsiTheme="majorAscii" w:eastAsiaTheme="majorEastAsia"/>
      <w:b/>
      <w:color w:val="000000" w:themeColor="text1"/>
      <w:szCs w:val="24"/>
      <w14:textFill>
        <w14:solidFill>
          <w14:schemeClr w14:val="tx1"/>
        </w14:solidFill>
      </w14:textFill>
    </w:rPr>
  </w:style>
  <w:style w:type="character" w:customStyle="1" w:styleId="157">
    <w:name w:val="Heading 5 Char"/>
    <w:basedOn w:val="137"/>
    <w:link w:val="8"/>
    <w:semiHidden/>
    <w:uiPriority w:val="9"/>
    <w:rPr>
      <w:rFonts w:asciiTheme="majorHAnsi" w:hAnsiTheme="majorHAnsi" w:eastAsiaTheme="majorEastAsia" w:cstheme="majorBidi"/>
      <w:color w:val="254061" w:themeColor="accent1" w:themeShade="80"/>
    </w:rPr>
  </w:style>
  <w:style w:type="character" w:customStyle="1" w:styleId="158">
    <w:name w:val="Heading 6 Char"/>
    <w:basedOn w:val="137"/>
    <w:link w:val="9"/>
    <w:semiHidden/>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37"/>
    <w:link w:val="10"/>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37"/>
    <w:link w:val="11"/>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37"/>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37"/>
    <w:link w:val="162"/>
    <w:uiPriority w:val="30"/>
    <w:rPr>
      <w:b/>
      <w:bCs/>
      <w:i/>
      <w:iCs/>
      <w:color w:val="4F81BD" w:themeColor="accent1"/>
      <w14:textFill>
        <w14:solidFill>
          <w14:schemeClr w14:val="accent1"/>
        </w14:solidFill>
      </w14:textFill>
    </w:rPr>
  </w:style>
  <w:style w:type="character" w:customStyle="1" w:styleId="164">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37"/>
    <w:qFormat/>
    <w:uiPriority w:val="21"/>
    <w:rPr>
      <w:b/>
      <w:bCs/>
      <w:i/>
      <w:iCs/>
      <w:color w:val="4F81BD" w:themeColor="accent1"/>
      <w14:textFill>
        <w14:solidFill>
          <w14:schemeClr w14:val="accent1"/>
        </w14:solidFill>
      </w14:textFill>
    </w:rPr>
  </w:style>
  <w:style w:type="character" w:customStyle="1" w:styleId="166">
    <w:name w:val="Subtle Reference"/>
    <w:basedOn w:val="137"/>
    <w:qFormat/>
    <w:uiPriority w:val="31"/>
    <w:rPr>
      <w:smallCaps/>
      <w:color w:val="C0504D" w:themeColor="accent2"/>
      <w:u w:val="single"/>
      <w14:textFill>
        <w14:solidFill>
          <w14:schemeClr w14:val="accent2"/>
        </w14:solidFill>
      </w14:textFill>
    </w:rPr>
  </w:style>
  <w:style w:type="character" w:customStyle="1" w:styleId="167">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37"/>
    <w:qFormat/>
    <w:uiPriority w:val="33"/>
    <w:rPr>
      <w:b/>
      <w:bCs/>
      <w:smallCaps/>
      <w:spacing w:val="5"/>
    </w:rPr>
  </w:style>
  <w:style w:type="paragraph" w:customStyle="1" w:styleId="169">
    <w:name w:val="TOC Heading"/>
    <w:basedOn w:val="3"/>
    <w:next w:val="1"/>
    <w:semiHidden/>
    <w:unhideWhenUsed/>
    <w:qFormat/>
    <w:uiPriority w:val="39"/>
    <w:pPr>
      <w:outlineLvl w:val="9"/>
    </w:pPr>
  </w:style>
  <w:style w:type="paragraph" w:customStyle="1" w:styleId="170">
    <w:name w:val="分类号"/>
    <w:basedOn w:val="1"/>
    <w:qFormat/>
    <w:uiPriority w:val="0"/>
    <w:rPr>
      <w:rFonts w:ascii="仿宋_GB2312" w:eastAsia="仿宋_GB2312"/>
      <w:sz w:val="28"/>
      <w:szCs w:val="28"/>
    </w:rPr>
  </w:style>
  <w:style w:type="paragraph" w:customStyle="1" w:styleId="171">
    <w:name w:val="硕士学位论文"/>
    <w:basedOn w:val="1"/>
    <w:qFormat/>
    <w:uiPriority w:val="0"/>
    <w:pPr>
      <w:spacing w:before="240"/>
      <w:jc w:val="center"/>
    </w:pPr>
    <w:rPr>
      <w:sz w:val="44"/>
      <w:szCs w:val="44"/>
    </w:rPr>
  </w:style>
  <w:style w:type="paragraph" w:customStyle="1" w:styleId="172">
    <w:name w:val="研究生姓名"/>
    <w:basedOn w:val="1"/>
    <w:qFormat/>
    <w:uiPriority w:val="0"/>
    <w:pPr>
      <w:ind w:firstLine="700" w:firstLineChars="700"/>
    </w:pPr>
    <w:rPr>
      <w:sz w:val="28"/>
      <w:szCs w:val="28"/>
    </w:rPr>
  </w:style>
  <w:style w:type="paragraph" w:customStyle="1" w:styleId="173">
    <w:name w:val="封面日期"/>
    <w:basedOn w:val="1"/>
    <w:qFormat/>
    <w:uiPriority w:val="0"/>
    <w:pPr>
      <w:jc w:val="center"/>
    </w:pPr>
    <w:rPr>
      <w:rFonts w:ascii="黑体" w:eastAsia="黑体"/>
      <w:sz w:val="32"/>
      <w:szCs w:val="32"/>
    </w:rPr>
  </w:style>
  <w:style w:type="paragraph" w:customStyle="1" w:styleId="174">
    <w:name w:val="章"/>
    <w:basedOn w:val="1"/>
    <w:next w:val="1"/>
    <w:uiPriority w:val="0"/>
    <w:pPr>
      <w:keepNext/>
      <w:keepLines/>
      <w:pBdr>
        <w:top w:val="none" w:color="auto" w:sz="0" w:space="1"/>
        <w:left w:val="none" w:color="auto" w:sz="0" w:space="4"/>
        <w:bottom w:val="none" w:color="4F81BD" w:themeColor="accent1" w:sz="0" w:space="1"/>
        <w:right w:val="none" w:color="auto" w:sz="0" w:space="4"/>
      </w:pBdr>
      <w:spacing w:before="480" w:after="240"/>
      <w:ind w:firstLine="0"/>
      <w:contextualSpacing/>
      <w:jc w:val="center"/>
      <w:outlineLvl w:val="0"/>
    </w:pPr>
    <w:rPr>
      <w:rFonts w:eastAsia="+中文标题（章）" w:cs="Heiti SC Medium" w:asciiTheme="majorAscii" w:hAnsiTheme="majorAscii"/>
      <w:color w:val="000000"/>
      <w:spacing w:val="6"/>
      <w:kern w:val="28"/>
      <w:sz w:val="32"/>
      <w:szCs w:val="32"/>
    </w:rPr>
  </w:style>
  <w:style w:type="paragraph" w:customStyle="1" w:styleId="175">
    <w:name w:val="节"/>
    <w:basedOn w:val="4"/>
    <w:uiPriority w:val="0"/>
    <w:pPr>
      <w:spacing w:after="120"/>
      <w:ind w:left="1080"/>
      <w:jc w:val="center"/>
    </w:pPr>
    <w:rPr>
      <w:rFonts w:eastAsia="Heiti SC Medium" w:cs="Heiti SC Medium" w:asciiTheme="minorAscii" w:hAnsiTheme="minorAscii"/>
      <w:color w:val="000000" w:themeColor="text1"/>
      <w:spacing w:val="6"/>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0</Words>
  <Characters>0</Characters>
  <Lines>0</Lines>
  <Paragraphs>0</Paragraphs>
  <TotalTime>8</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菩提心声</cp:lastModifiedBy>
  <dcterms:modified xsi:type="dcterms:W3CDTF">2026-05-16T10:28:58Z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6A4FC0E82D28B5297346056A7546D8E6_42</vt:lpwstr>
  </property>
</Properties>
</file>