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黑体" w:hAnsi="黑体" w:eastAsia="黑体"/>
          <w:b/>
          <w:sz w:val="32"/>
        </w:rPr>
        <w:t>浙江省自然科学基金项目申请书正文</w:t>
      </w:r>
    </w:p>
    <w:p>
      <w:pPr>
        <w:spacing w:after="320"/>
        <w:jc w:val="center"/>
      </w:pPr>
      <w:r>
        <w:rPr>
          <w:rFonts w:ascii="黑体" w:hAnsi="黑体" w:eastAsia="黑体"/>
          <w:b/>
          <w:sz w:val="28"/>
        </w:rPr>
        <w:t>项目名称：面向5G/6G蜂窝网络的自适应时空图流量预测与智能资源调度方法研究</w:t>
      </w:r>
    </w:p>
    <w:p>
      <w:pPr>
        <w:spacing w:after="160"/>
        <w:jc w:val="center"/>
      </w:pPr>
      <w:r>
        <w:rPr>
          <w:rFonts w:ascii="黑体" w:hAnsi="黑体" w:eastAsia="黑体"/>
          <w:b/>
          <w:sz w:val="26"/>
        </w:rPr>
        <w:t>申请者：蒋献</w:t>
      </w:r>
    </w:p>
    <w:p>
      <w:pPr>
        <w:spacing w:before="240" w:after="120"/>
      </w:pPr>
      <w:r>
        <w:rPr>
          <w:rFonts w:ascii="黑体" w:hAnsi="黑体" w:eastAsia="黑体"/>
          <w:b/>
          <w:sz w:val="28"/>
        </w:rPr>
        <w:t>一、研究工作的科学意义与拟解决的关键科学问题</w:t>
      </w:r>
    </w:p>
    <w:p>
      <w:pPr>
        <w:spacing w:before="160" w:after="80"/>
      </w:pPr>
      <w:r>
        <w:rPr>
          <w:rFonts w:ascii="黑体" w:hAnsi="黑体" w:eastAsia="黑体"/>
          <w:b/>
          <w:sz w:val="24"/>
        </w:rPr>
        <w:t>1.1 科学意义</w:t>
      </w:r>
    </w:p>
    <w:p>
      <w:pPr>
        <w:spacing w:after="80" w:line="360" w:lineRule="auto"/>
        <w:ind w:firstLine="420"/>
      </w:pPr>
      <w:r>
        <w:rPr>
          <w:rFonts w:ascii="宋体" w:hAnsi="宋体" w:eastAsia="宋体"/>
          <w:sz w:val="24"/>
        </w:rPr>
        <w:t>随着5G网络的规模化部署与6G技术的前瞻性布局，移动通信网络正从"连接赋能"向"智能内生"演进。据行业统计，全球月均移动数据流量已从2021年的49EB（艾字节）攀升至2025年的200EB。5G/6G网络中的高维时序流量数据呈现出显著的非线性、非平稳性及复杂的空间关联特征——受人口分布与功能区划差异的驱动及时间特征（工作日/周末、高峰/低谷）的影响，流量分布呈现出显著的空间异质性；基站间频繁的用户移动与业务交互构成了复杂的非欧几里得拓扑依赖，使流量空间结构随时间呈现动态演化特性。此外，流量演化涵盖了多尺度周期性（如日内潮汐效应、周度波动）与随机突发性（如重大活动导致的脉冲式波动），使得传统的平稳性统计假设难以适用。</w:t>
      </w:r>
    </w:p>
    <w:p>
      <w:pPr>
        <w:spacing w:after="80" w:line="360" w:lineRule="auto"/>
        <w:ind w:firstLine="420"/>
      </w:pPr>
      <w:r>
        <w:rPr>
          <w:rFonts w:ascii="宋体" w:hAnsi="宋体" w:eastAsia="宋体"/>
          <w:sz w:val="24"/>
        </w:rPr>
        <w:t>精准的网络流量预测是实现主动式资源管理、拥塞控制与能效优化的核心前提。然而，现有方法面临以下技术瓶颈：</w:t>
      </w:r>
    </w:p>
    <w:p>
      <w:pPr>
        <w:spacing w:after="80" w:line="360" w:lineRule="auto"/>
        <w:ind w:firstLine="420"/>
      </w:pPr>
      <w:r>
        <w:rPr>
          <w:rFonts w:ascii="宋体" w:hAnsi="宋体" w:eastAsia="宋体"/>
          <w:b/>
          <w:sz w:val="24"/>
        </w:rPr>
        <w:t>（1）静态拓扑假设与动态业务特性的矛盾。</w:t>
      </w:r>
      <w:r>
        <w:rPr>
          <w:rFonts w:ascii="宋体" w:hAnsi="宋体" w:eastAsia="宋体"/>
          <w:sz w:val="24"/>
        </w:rPr>
        <w:t>传统时空图神经网络（STGNN）通常假设网络拓扑是静态的或仅依赖预定义的地理邻接矩阵，这与实际蜂窝网络中基站间流量关联随业务模式动态变化的特性严重不符，导致模型对突发流量的适应能力不足。</w:t>
      </w:r>
    </w:p>
    <w:p>
      <w:pPr>
        <w:spacing w:after="80" w:line="360" w:lineRule="auto"/>
        <w:ind w:firstLine="420"/>
      </w:pPr>
      <w:r>
        <w:rPr>
          <w:rFonts w:ascii="宋体" w:hAnsi="宋体" w:eastAsia="宋体"/>
          <w:b/>
          <w:sz w:val="24"/>
        </w:rPr>
        <w:t>（2）深度学习模型的"黑箱"属性。</w:t>
      </w:r>
      <w:r>
        <w:rPr>
          <w:rFonts w:ascii="宋体" w:hAnsi="宋体" w:eastAsia="宋体"/>
          <w:sz w:val="24"/>
        </w:rPr>
        <w:t>现有深度学习模型在流量预测中表现优异，但预测过程缺乏统计可解释性，难以满足电信级运维对决策结果可信度的严苛要求。</w:t>
      </w:r>
    </w:p>
    <w:p>
      <w:pPr>
        <w:spacing w:after="80" w:line="360" w:lineRule="auto"/>
        <w:ind w:firstLine="420"/>
      </w:pPr>
      <w:r>
        <w:rPr>
          <w:rFonts w:ascii="宋体" w:hAnsi="宋体" w:eastAsia="宋体"/>
          <w:b/>
          <w:sz w:val="24"/>
        </w:rPr>
        <w:t>（3）超参数优化效率低下。</w:t>
      </w:r>
      <w:r>
        <w:rPr>
          <w:rFonts w:ascii="宋体" w:hAnsi="宋体" w:eastAsia="宋体"/>
          <w:sz w:val="24"/>
        </w:rPr>
        <w:t>深度学习模型的性能高度依赖于超参数配置，传统搜索方法计算成本高昂，而现有群体智能优化算法在高维非凸空间中易陷入局部最优。</w:t>
      </w:r>
    </w:p>
    <w:p>
      <w:pPr>
        <w:spacing w:after="80" w:line="360" w:lineRule="auto"/>
        <w:ind w:firstLine="420"/>
      </w:pPr>
      <w:r>
        <w:rPr>
          <w:rFonts w:ascii="宋体" w:hAnsi="宋体" w:eastAsia="宋体"/>
          <w:b/>
          <w:sz w:val="24"/>
        </w:rPr>
        <w:t>（4）资源调度策略缺乏自适应性。</w:t>
      </w:r>
      <w:r>
        <w:rPr>
          <w:rFonts w:ascii="宋体" w:hAnsi="宋体" w:eastAsia="宋体"/>
          <w:sz w:val="24"/>
        </w:rPr>
        <w:t>在D2D中继与蜂窝网络共存场景下，资源调度面临吞吐量、时延与能耗多目标协同优化的复杂挑战，现有方法通常采用固定时长或固定功率策略，难以适配动态变化的信道条件。</w:t>
      </w:r>
    </w:p>
    <w:p>
      <w:pPr>
        <w:spacing w:after="80" w:line="360" w:lineRule="auto"/>
        <w:ind w:firstLine="420"/>
      </w:pPr>
      <w:r>
        <w:rPr>
          <w:rFonts w:ascii="宋体" w:hAnsi="宋体" w:eastAsia="宋体"/>
          <w:sz w:val="24"/>
        </w:rPr>
        <w:t>本研究依托大数据统计学与人工智能技术，面向5G/6G蜂窝网络流量预测与资源调度的核心需求，提出一种自适应时空图预测模型与博弈论驱动的智能资源调度方法。研究成果不仅拓展大数据统计学在高维时序处理领域的应用边界，也为构建高效、绿色、可信的下一代移动通信系统提供理论支撑，契合浙江省数字经济创新提质"一号发展工程"的战略部署。</w:t>
      </w:r>
    </w:p>
    <w:p>
      <w:pPr>
        <w:spacing w:before="160" w:after="80"/>
      </w:pPr>
      <w:r>
        <w:rPr>
          <w:rFonts w:ascii="黑体" w:hAnsi="黑体" w:eastAsia="黑体"/>
          <w:b/>
          <w:sz w:val="24"/>
        </w:rPr>
        <w:t>1.2 拟解决的关键科学问题</w:t>
      </w:r>
    </w:p>
    <w:p>
      <w:pPr>
        <w:spacing w:after="80" w:line="360" w:lineRule="auto"/>
        <w:ind w:firstLine="420"/>
      </w:pPr>
      <w:r>
        <w:rPr>
          <w:rFonts w:ascii="宋体" w:hAnsi="宋体" w:eastAsia="宋体"/>
          <w:sz w:val="24"/>
        </w:rPr>
        <w:t>基于上述分析，本项目拟解决以下三个关键科学问题：</w:t>
      </w:r>
    </w:p>
    <w:p>
      <w:pPr>
        <w:spacing w:after="80" w:line="360" w:lineRule="auto"/>
        <w:ind w:firstLine="420"/>
      </w:pPr>
      <w:r>
        <w:rPr>
          <w:rFonts w:ascii="宋体" w:hAnsi="宋体" w:eastAsia="宋体"/>
          <w:b/>
          <w:sz w:val="24"/>
        </w:rPr>
        <w:t>关键科学问题一：动态网络拓扑下基站间流量关联的自适应建模与可解释性表征。</w:t>
      </w:r>
      <w:r>
        <w:rPr>
          <w:rFonts w:ascii="宋体" w:hAnsi="宋体" w:eastAsia="宋体"/>
          <w:sz w:val="24"/>
        </w:rPr>
        <w:t>蜂窝网络中基站间的流量关联随业务模式、用户移动和环境因素动态演化。如何在缺乏先验拓扑信息的情况下，从数据中自适应学习基站间的动态依赖关系？同时，如何使学习到的图结构具有可追溯的物理意义？本项目拟通过可学习的语义原型记忆库，将节点隐状态映射至典型业务演化模式（如工作日通勤潮汐、商业区午间高峰、住宅区夜间低谷等），基于语义相似度动态生成自适应邻接矩阵，实现流量空间依赖关系的透明化建模。</w:t>
      </w:r>
    </w:p>
    <w:p>
      <w:pPr>
        <w:spacing w:after="80" w:line="360" w:lineRule="auto"/>
        <w:ind w:firstLine="420"/>
      </w:pPr>
      <w:r>
        <w:rPr>
          <w:rFonts w:ascii="宋体" w:hAnsi="宋体" w:eastAsia="宋体"/>
          <w:b/>
          <w:sz w:val="24"/>
        </w:rPr>
        <w:t>关键科学问题二：非平稳高维时序流量的深层统计特征提取与结构化表征。</w:t>
      </w:r>
      <w:r>
        <w:rPr>
          <w:rFonts w:ascii="宋体" w:hAnsi="宋体" w:eastAsia="宋体"/>
          <w:sz w:val="24"/>
        </w:rPr>
        <w:t>网络流量数据兼具时间维度的长程依赖性和空间维度的非欧几里得拓扑关联性，原始流量序列维度高、语义缺失。如何在保持数据内蕴物理结构的前提下，实现从原始高维流量轨迹向深层统计特征张量的有效映射？本项目拟通过低秩张量分解、函数型数据分析（FDA）及38维统计元特征提取，构建适配深度学习模型的高维结构化输入空间。</w:t>
      </w:r>
    </w:p>
    <w:p>
      <w:pPr>
        <w:spacing w:after="80" w:line="360" w:lineRule="auto"/>
        <w:ind w:firstLine="420"/>
      </w:pPr>
      <w:r>
        <w:rPr>
          <w:rFonts w:ascii="宋体" w:hAnsi="宋体" w:eastAsia="宋体"/>
          <w:b/>
          <w:sz w:val="24"/>
        </w:rPr>
        <w:t>关键科学问题三：预测信息驱动的资源协同调度与多目标能效优化。</w:t>
      </w:r>
      <w:r>
        <w:rPr>
          <w:rFonts w:ascii="宋体" w:hAnsi="宋体" w:eastAsia="宋体"/>
          <w:sz w:val="24"/>
        </w:rPr>
        <w:t>流量预测结果如何深度嵌入资源调度的优化决策？在D2D中继与蜂窝链路共存场景下，如何平衡吞吐量、时延与能耗之间的冲突？本项目拟将传输时间选择与功率管理整合为统一的混合整数非线性规划（MINLP）模型，通过非合作博弈机制处理非凸场景，利用格利克斯贝格不动点定理证明纳什均衡的存在性。</w:t>
      </w:r>
    </w:p>
    <w:p>
      <w:pPr>
        <w:spacing w:before="240" w:after="120"/>
      </w:pPr>
      <w:r>
        <w:rPr>
          <w:rFonts w:ascii="黑体" w:hAnsi="黑体" w:eastAsia="黑体"/>
          <w:b/>
          <w:sz w:val="28"/>
        </w:rPr>
        <w:t>二、本项目研究目标，以及与申请者研究工作长期目标的关系</w:t>
      </w:r>
    </w:p>
    <w:p>
      <w:pPr>
        <w:spacing w:before="160" w:after="80"/>
      </w:pPr>
      <w:r>
        <w:rPr>
          <w:rFonts w:ascii="黑体" w:hAnsi="黑体" w:eastAsia="黑体"/>
          <w:b/>
          <w:sz w:val="24"/>
        </w:rPr>
        <w:t>2.1 研究目标</w:t>
      </w:r>
    </w:p>
    <w:p>
      <w:pPr>
        <w:spacing w:after="80" w:line="360" w:lineRule="auto"/>
        <w:ind w:firstLine="420"/>
      </w:pPr>
      <w:r>
        <w:rPr>
          <w:rFonts w:ascii="宋体" w:hAnsi="宋体" w:eastAsia="宋体"/>
          <w:sz w:val="24"/>
        </w:rPr>
        <w:t>本项目面向5G/6G蜂窝网络的智能化运维需求，达成以下研究目标：</w:t>
      </w:r>
    </w:p>
    <w:p>
      <w:pPr>
        <w:spacing w:after="80" w:line="360" w:lineRule="auto"/>
        <w:ind w:firstLine="420"/>
      </w:pPr>
      <w:r>
        <w:rPr>
          <w:rFonts w:ascii="宋体" w:hAnsi="宋体" w:eastAsia="宋体"/>
          <w:b/>
          <w:sz w:val="24"/>
        </w:rPr>
        <w:t>目标一：构建跨域网络流量基准数据集与深层语义表征体系。</w:t>
      </w:r>
      <w:r>
        <w:rPr>
          <w:rFonts w:ascii="宋体" w:hAnsi="宋体" w:eastAsia="宋体"/>
          <w:sz w:val="24"/>
        </w:rPr>
        <w:t>整合意大利米兰（Milan，城市级蜂窝数据，10000个蜂窝节点）、特伦托（Trentino，省域级蜂窝数据）及美国-日本骨干网（MAWI）等典型流量数据集，构建NetTra-2025基准数据集。通过Hurst指数分析流量的长程依赖性，通过重尾分布检验刻画幂律衰减特性，通过全局Moran's I指数量化空间自相关性。提取涵盖时域、频域及拓扑域的38维统计元特征，为后续模型提供规范化输入。</w:t>
      </w:r>
    </w:p>
    <w:p>
      <w:pPr>
        <w:spacing w:after="80" w:line="360" w:lineRule="auto"/>
        <w:ind w:firstLine="420"/>
      </w:pPr>
      <w:r>
        <w:rPr>
          <w:rFonts w:ascii="宋体" w:hAnsi="宋体" w:eastAsia="宋体"/>
          <w:b/>
          <w:sz w:val="24"/>
        </w:rPr>
        <w:t>目标二：提出可解释的自适应时空图卷积网络预测模型（ISTGCN）。</w:t>
      </w:r>
      <w:r>
        <w:rPr>
          <w:rFonts w:ascii="宋体" w:hAnsi="宋体" w:eastAsia="宋体"/>
          <w:sz w:val="24"/>
        </w:rPr>
        <w:t>针对蜂窝网络中空间依赖关系动态变化的特性，提出一种可解释的自适应时空图卷积网络。通过语义原型记忆库与自适应图结构学习机制，实现对基站间复杂时空依赖的透明化建模。在米兰数据集上，模型RMSE达到56.79，相比GRU（80.53）降低约29.5%，相比STGCN（62.43）降低约9.0%，MAE达到28.08。</w:t>
      </w:r>
    </w:p>
    <w:p>
      <w:pPr>
        <w:spacing w:after="80" w:line="360" w:lineRule="auto"/>
        <w:ind w:firstLine="420"/>
      </w:pPr>
      <w:r>
        <w:rPr>
          <w:rFonts w:ascii="宋体" w:hAnsi="宋体" w:eastAsia="宋体"/>
          <w:b/>
          <w:sz w:val="24"/>
        </w:rPr>
        <w:t>目标三：设计改进的群体智能超参数优化算法（SSA-CMAL）。</w:t>
      </w:r>
      <w:r>
        <w:rPr>
          <w:rFonts w:ascii="宋体" w:hAnsi="宋体" w:eastAsia="宋体"/>
          <w:sz w:val="24"/>
        </w:rPr>
        <w:t>将深度学习模型的超参数优化问题转化为组合规划问题，设计融合混沌映射与自适应学习策略的改进樽海鞘算法。实验表明，该算法相比DE、FA、PSO等基准方法，在DNN、LSTM、GRU的超参数搜索任务中，运行时间分别减少约73.77%、64.46%和79.36%。</w:t>
      </w:r>
    </w:p>
    <w:p>
      <w:pPr>
        <w:spacing w:after="80" w:line="360" w:lineRule="auto"/>
        <w:ind w:firstLine="420"/>
      </w:pPr>
      <w:r>
        <w:rPr>
          <w:rFonts w:ascii="宋体" w:hAnsi="宋体" w:eastAsia="宋体"/>
          <w:b/>
          <w:sz w:val="24"/>
        </w:rPr>
        <w:t>目标四：建立D2D中继通信资源调度的博弈论求解框架（TTSPM）。</w:t>
      </w:r>
      <w:r>
        <w:rPr>
          <w:rFonts w:ascii="宋体" w:hAnsi="宋体" w:eastAsia="宋体"/>
          <w:sz w:val="24"/>
        </w:rPr>
        <w:t>在D2D中继与蜂窝网络共存场景下，构建传输时间选择与功率管理博弈模型。利用Glicksberg不动点定理证明纳什均衡的存在性，推导出四种资源共享场景下的局部最优解。仿真结果表明，系统总能耗降低48%至77%，失败率较基准方法降低约88%至94%。</w:t>
      </w:r>
    </w:p>
    <w:p>
      <w:pPr>
        <w:spacing w:before="160" w:after="80"/>
      </w:pPr>
      <w:r>
        <w:rPr>
          <w:rFonts w:ascii="黑体" w:hAnsi="黑体" w:eastAsia="黑体"/>
          <w:b/>
          <w:sz w:val="24"/>
        </w:rPr>
        <w:t>2.2 与申请者研究工作长期目标的关系</w:t>
      </w:r>
    </w:p>
    <w:p>
      <w:pPr>
        <w:spacing w:after="80" w:line="360" w:lineRule="auto"/>
        <w:ind w:firstLine="420"/>
      </w:pPr>
      <w:r>
        <w:rPr>
          <w:rFonts w:ascii="宋体" w:hAnsi="宋体" w:eastAsia="宋体"/>
          <w:sz w:val="24"/>
        </w:rPr>
        <w:t>申请者蒋献（浙江工商大学实验师，南京大学在职博士后）长期从事基于大数据和深度学习的网络流量分析与资源调度研究，研究工作长期目标为：构建从数据感知、智能预测到资源自主管控的全流程智能化移动通信网络管理体系。</w:t>
      </w:r>
    </w:p>
    <w:p>
      <w:pPr>
        <w:spacing w:after="80" w:line="360" w:lineRule="auto"/>
        <w:ind w:firstLine="420"/>
      </w:pPr>
      <w:r>
        <w:rPr>
          <w:rFonts w:ascii="宋体" w:hAnsi="宋体" w:eastAsia="宋体"/>
          <w:sz w:val="24"/>
        </w:rPr>
        <w:t>申请者此前已围绕网络业务行为表征建模与预测、接入网通信资源管理等方向开展了系统研究，在《通信学报》（第一作者）、The Journal of Supercomputing（SCI，第一作者）等期刊发表多篇学术论文。本项目将在已有研究基础上，进一步深化高维时序流量的结构化表征与可解释预测研究，将研究成果从静态拓扑建模扩展至动态自适应图学习，为申请者长期目标中"全流程智能化网络管理"愿景提供关键算法支撑和理论保障。</w:t>
      </w:r>
    </w:p>
    <w:p>
      <w:pPr>
        <w:spacing w:before="240" w:after="120"/>
      </w:pPr>
      <w:r>
        <w:rPr>
          <w:rFonts w:ascii="黑体" w:hAnsi="黑体" w:eastAsia="黑体"/>
          <w:b/>
          <w:sz w:val="28"/>
        </w:rPr>
        <w:t>三、项目研究内容、研究方案和进度安排</w:t>
      </w:r>
    </w:p>
    <w:p>
      <w:pPr>
        <w:spacing w:before="160" w:after="80"/>
      </w:pPr>
      <w:r>
        <w:rPr>
          <w:rFonts w:ascii="黑体" w:hAnsi="黑体" w:eastAsia="黑体"/>
          <w:b/>
          <w:sz w:val="24"/>
        </w:rPr>
        <w:t>3.1 研究内容</w:t>
      </w:r>
    </w:p>
    <w:p>
      <w:pPr>
        <w:spacing w:after="80" w:line="360" w:lineRule="auto"/>
        <w:ind w:firstLine="420"/>
      </w:pPr>
      <w:r>
        <w:rPr>
          <w:rFonts w:ascii="宋体" w:hAnsi="宋体" w:eastAsia="宋体"/>
          <w:sz w:val="24"/>
        </w:rPr>
        <w:t>本项目设置四个研究内容，围绕"数据表征—可解释预测—超参数优化—资源调度"的逻辑脉络展开。</w:t>
      </w:r>
    </w:p>
    <w:p>
      <w:pPr>
        <w:spacing w:after="80" w:line="360" w:lineRule="auto"/>
        <w:ind w:firstLine="420"/>
      </w:pPr>
      <w:r>
        <w:rPr>
          <w:rFonts w:ascii="宋体" w:hAnsi="宋体" w:eastAsia="宋体"/>
          <w:b/>
          <w:sz w:val="24"/>
        </w:rPr>
        <w:t>研究内容一：网络流量统计特性分析与元特征工程。</w:t>
      </w:r>
      <w:r>
        <w:rPr>
          <w:rFonts w:ascii="宋体" w:hAnsi="宋体" w:eastAsia="宋体"/>
          <w:sz w:val="24"/>
        </w:rPr>
        <w:t>针对多源异构流量数据的空间异质性与非平稳特征，构建跨域网络流量基准数据集，并提取深层统计元特征。（1）数据集成与预处理：整合Milan、Trentino、MAWI等典型流量数据集，通过规则网格映射完成空间解构。利用低秩张量分解技术对原始流量矩阵进行空间缺失值的高精度补全。引入函数型数据分析（FDA）方法，将离散的流量采样点视为连续函数的离散观测值，通过粗糙度惩罚平滑机制剔除高频噪声并保证拟合曲线光滑性。（2）统计特性分析：通过Hurst指数分析流量的长程依赖性，通过重尾分布检验刻画流量数据的幂律衰减特性，通过全局Moran's I指数量化空间自相关性与异质性。（3）元特征提取：构建涵盖时域（均值、方差、偏度、峰度、分位数等）、频域（主频率、频谱能量、频谱熵、频谱重心、频谱滚降点等）及拓扑域（Hurst指数、Moran's I、趋势强度、季节性强度等）的38维统计元特征空间，实现从原始序列到结构化语义向量的转化。</w:t>
      </w:r>
    </w:p>
    <w:p>
      <w:pPr>
        <w:spacing w:after="80" w:line="360" w:lineRule="auto"/>
        <w:ind w:firstLine="420"/>
      </w:pPr>
      <w:r>
        <w:rPr>
          <w:rFonts w:ascii="宋体" w:hAnsi="宋体" w:eastAsia="宋体"/>
          <w:b/>
          <w:sz w:val="24"/>
        </w:rPr>
        <w:t>研究内容二：基于语义原型驱动的自适应时空图卷积网络预测模型。</w:t>
      </w:r>
      <w:r>
        <w:rPr>
          <w:rFonts w:ascii="宋体" w:hAnsi="宋体" w:eastAsia="宋体"/>
          <w:sz w:val="24"/>
        </w:rPr>
        <w:t>针对深度学习模型在动态网络拓扑建模中的"黑箱"局限，提出一种可解释的自适应时空图卷积网络（ISTGCN）。（1）输入特征表征：构建包含流量强度、日内时间语义与周周期结构的多维表征，统一组织为四维张量输入格式X∈R^(B×N×T×F)，其中N为节点数（米兰数据集含900个区域网格）、T为历史回顾窗口（设为6个时间步）。（2）语义原型空间构建：构建大小为M∈R^(P×d_h)的可学习语义原型记忆库，将节点隐状态映射至典型业务演化模式。（3）原型驱动的自适应图结构学习：计算节点语义嵌入与语义原型的余弦相似度矩阵，通过双向视角的相似度融合与Sigmoid激活，动态生成自适应邻接矩阵G=σ(α₁S^(1)+α₂S^(2))。该邻接矩阵替代传统固定拓扑假设，每条空间边都可以追溯到其背后的"模式原型"依据。（4）空间特征提取：通过k阶图扩散算子H^(k)=G^kX，以自适应聚合的方式捕获多跳空间依赖。（5）门控时序递推：采用类GRU的时间状态更新机制，使模型自适应响应业务趋势的延续与突变。（6）记忆增强多步解码：将编码后的隐状态与语义原型进行注意力匹配，实现多步自回归预测，同时通过Triplet Loss与Compactness Loss保证空间模式聚类的可解释性与时间演化的连续性。</w:t>
      </w:r>
    </w:p>
    <w:p>
      <w:pPr>
        <w:spacing w:after="80" w:line="360" w:lineRule="auto"/>
        <w:ind w:firstLine="420"/>
      </w:pPr>
      <w:r>
        <w:rPr>
          <w:rFonts w:ascii="宋体" w:hAnsi="宋体" w:eastAsia="宋体"/>
          <w:b/>
          <w:sz w:val="24"/>
        </w:rPr>
        <w:t>研究内容三：基于混沌映射与自适应学习的超参数优化算法。</w:t>
      </w:r>
      <w:r>
        <w:rPr>
          <w:rFonts w:ascii="宋体" w:hAnsi="宋体" w:eastAsia="宋体"/>
          <w:sz w:val="24"/>
        </w:rPr>
        <w:t>针对深度预测模型对人工调参经验的过度依赖，设计改进樽海鞘群算法（SSA-CMAL）。（1）增强型正弦映射初始化：利用混沌正弦映射结合分段线性混沌映射替代随机初始化，确保种群在解空间中的均匀分布与遍历性。（2）自适应种群划分：设计动态领导者/跟随者比例因子α=exp(-4(k/K_max)²)，在迭代初期保持较高领导者比例以增强全局勘探，后期增加跟随者比例以加速局部收敛。（3）正余弦更新策略：为领导者樽海鞘引入正余弦位置更新公式，增强跳出局部最优的能力。（4）动态学习跟随者更新：设计基于适应度比值比较的动态学习系数，使跟随者根据精英个体质量自适应调整搜索步长。</w:t>
      </w:r>
    </w:p>
    <w:p>
      <w:pPr>
        <w:spacing w:after="80" w:line="360" w:lineRule="auto"/>
        <w:ind w:firstLine="420"/>
      </w:pPr>
      <w:r>
        <w:rPr>
          <w:rFonts w:ascii="宋体" w:hAnsi="宋体" w:eastAsia="宋体"/>
          <w:b/>
          <w:sz w:val="24"/>
        </w:rPr>
        <w:t>研究内容四：基于博弈论的D2D中继通信资源联合调度方法。</w:t>
      </w:r>
      <w:r>
        <w:rPr>
          <w:rFonts w:ascii="宋体" w:hAnsi="宋体" w:eastAsia="宋体"/>
          <w:sz w:val="24"/>
        </w:rPr>
        <w:t>构建传输时间选择与功率管理（TTSPM）博弈模型。（1）系统建模：刻画上行蜂窝连接与中继辅助D2D连接共享上行子信道的四种资源共享场景——场景一（蜂窝对D2D两跳均无干扰）、场景二（蜂窝干扰D2D第一跳）、场景三（蜂窝干扰D2D第二跳）、场景四（蜂窝与D2D两跳相互干扰）。（2）分治求解：对于前三种可转化为凸优化的场景，设计基于注水算法的高效闭合解求解器。（3）纳什均衡证明：对于非凸的第四种场景，建立蜂窝通信参与者与D2D参与者的非合作博弈模型，利用Glicksberg不动点定理严格证明纳什均衡的存在性。（4）迭代算法设计：设计各参与者的最优响应策略迭代算法，在满足服务质量约束的前提下，通过博弈迭代逼近纳什均衡。仿真结果表明，系统总能耗降低48%至77%，失败率降低约88%至94%，平均计算时间小于1毫秒。</w:t>
      </w:r>
    </w:p>
    <w:p>
      <w:pPr>
        <w:spacing w:before="160" w:after="80"/>
      </w:pPr>
      <w:r>
        <w:rPr>
          <w:rFonts w:ascii="黑体" w:hAnsi="黑体" w:eastAsia="黑体"/>
          <w:b/>
          <w:sz w:val="24"/>
        </w:rPr>
        <w:t>3.2 研究方案</w:t>
      </w:r>
    </w:p>
    <w:p>
      <w:pPr>
        <w:spacing w:after="80" w:line="360" w:lineRule="auto"/>
        <w:ind w:firstLine="420"/>
      </w:pPr>
      <w:r>
        <w:rPr>
          <w:rFonts w:ascii="宋体" w:hAnsi="宋体" w:eastAsia="宋体"/>
          <w:sz w:val="24"/>
        </w:rPr>
        <w:t>技术路线：本项目遵循"数据解析→可解释预测→超参数优化→资源调度"的技术路线，构建从底层数据表征到顶层资源优化的完整闭环。数据层通过张量补全与元特征提取将原始流量数据转化为38维结构化特征向量；算法层开发ISTGCN模型实现可解释预测，SSA-CMAL算法实现高效超参数搜索；应用层在D2D中继通信场景下验证预测-调度闭环的有效性。</w:t>
      </w:r>
    </w:p>
    <w:p>
      <w:pPr>
        <w:spacing w:after="80" w:line="360" w:lineRule="auto"/>
        <w:ind w:firstLine="420"/>
      </w:pPr>
      <w:r>
        <w:rPr>
          <w:rFonts w:ascii="宋体" w:hAnsi="宋体" w:eastAsia="宋体"/>
          <w:sz w:val="24"/>
        </w:rPr>
        <w:t>实验验证：使用NetTra-2025基准数据集进行模型训练与测试，选取ARIMA、LSTM、GRU、STGCN、AGCRN等经典模型作为对比基线，采用RMSE、MAE、MAPE、R²等指标评估预测精度。在MATLAB及Python环境下实现D2D资源调度仿真。</w:t>
      </w:r>
    </w:p>
    <w:p>
      <w:pPr>
        <w:spacing w:before="160" w:after="80"/>
      </w:pPr>
      <w:r>
        <w:rPr>
          <w:rFonts w:ascii="黑体" w:hAnsi="黑体" w:eastAsia="黑体"/>
          <w:b/>
          <w:sz w:val="24"/>
        </w:rPr>
        <w:t>3.3 进度安排</w:t>
      </w:r>
    </w:p>
    <w:p>
      <w:pPr>
        <w:spacing w:after="80" w:line="360" w:lineRule="auto"/>
        <w:ind w:firstLine="420"/>
      </w:pPr>
      <w:r>
        <w:rPr>
          <w:rFonts w:ascii="宋体" w:hAnsi="宋体" w:eastAsia="宋体"/>
          <w:sz w:val="24"/>
        </w:rPr>
        <w:t>本项目计划执行期为3年（2027年1月至2029年12月）。</w:t>
      </w:r>
    </w:p>
    <w:tbl>
      <w:tblPr>
        <w:tblW w:type="auto" w:w="0"/>
        <w:jc w:val="center"/>
        <w:tblLook w:firstColumn="1" w:firstRow="1" w:lastColumn="0" w:lastRow="0" w:noHBand="0" w:noVBand="1" w:val="04A0"/>
      </w:tblPr>
      <w:tblGrid>
        <w:gridCol w:w="3211"/>
        <w:gridCol w:w="3211"/>
        <w:gridCol w:w="3211"/>
      </w:tblGrid>
      <w:tr>
        <w:tc>
          <w:tcPr>
            <w:tcW w:type="dxa" w:w="2154"/>
          </w:tcPr>
          <w:p>
            <w:pPr>
              <w:jc w:val="center"/>
            </w:pPr>
            <w:r>
              <w:rPr>
                <w:rFonts w:ascii="黑体" w:hAnsi="黑体" w:eastAsia="黑体"/>
                <w:b/>
                <w:sz w:val="22"/>
              </w:rPr>
              <w:t>时间</w:t>
            </w:r>
          </w:p>
        </w:tc>
        <w:tc>
          <w:tcPr>
            <w:tcW w:type="dxa" w:w="4819"/>
          </w:tcPr>
          <w:p>
            <w:pPr>
              <w:jc w:val="center"/>
            </w:pPr>
            <w:r>
              <w:rPr>
                <w:rFonts w:ascii="黑体" w:hAnsi="黑体" w:eastAsia="黑体"/>
                <w:b/>
                <w:sz w:val="22"/>
              </w:rPr>
              <w:t>研究任务</w:t>
            </w:r>
          </w:p>
        </w:tc>
        <w:tc>
          <w:tcPr>
            <w:tcW w:type="dxa" w:w="2381"/>
          </w:tcPr>
          <w:p>
            <w:pPr>
              <w:jc w:val="center"/>
            </w:pPr>
            <w:r>
              <w:rPr>
                <w:rFonts w:ascii="黑体" w:hAnsi="黑体" w:eastAsia="黑体"/>
                <w:b/>
                <w:sz w:val="22"/>
              </w:rPr>
              <w:t>预期交付</w:t>
            </w:r>
          </w:p>
        </w:tc>
      </w:tr>
      <w:tr>
        <w:tc>
          <w:tcPr>
            <w:tcW w:type="dxa" w:w="2154"/>
          </w:tcPr>
          <w:p>
            <w:r>
              <w:rPr>
                <w:rFonts w:ascii="宋体" w:hAnsi="宋体" w:eastAsia="宋体"/>
                <w:sz w:val="20"/>
              </w:rPr>
              <w:t>2027.01—2027.06</w:t>
            </w:r>
          </w:p>
        </w:tc>
        <w:tc>
          <w:tcPr>
            <w:tcW w:type="dxa" w:w="4819"/>
          </w:tcPr>
          <w:p>
            <w:r>
              <w:rPr>
                <w:rFonts w:ascii="宋体" w:hAnsi="宋体" w:eastAsia="宋体"/>
                <w:sz w:val="20"/>
              </w:rPr>
              <w:t>完成NetTra-2025数据集构建与质量评估；完成38维元特征提取与FDA预处理方法验证</w:t>
            </w:r>
          </w:p>
        </w:tc>
        <w:tc>
          <w:tcPr>
            <w:tcW w:type="dxa" w:w="2381"/>
          </w:tcPr>
          <w:p>
            <w:r>
              <w:rPr>
                <w:rFonts w:ascii="宋体" w:hAnsi="宋体" w:eastAsia="宋体"/>
                <w:sz w:val="20"/>
              </w:rPr>
              <w:t>数据集V1.0；技术报告1份</w:t>
            </w:r>
          </w:p>
        </w:tc>
      </w:tr>
      <w:tr>
        <w:tc>
          <w:tcPr>
            <w:tcW w:type="dxa" w:w="2154"/>
          </w:tcPr>
          <w:p>
            <w:r>
              <w:rPr>
                <w:rFonts w:ascii="宋体" w:hAnsi="宋体" w:eastAsia="宋体"/>
                <w:sz w:val="20"/>
              </w:rPr>
              <w:t>2027.07—2027.12</w:t>
            </w:r>
          </w:p>
        </w:tc>
        <w:tc>
          <w:tcPr>
            <w:tcW w:type="dxa" w:w="4819"/>
          </w:tcPr>
          <w:p>
            <w:r>
              <w:rPr>
                <w:rFonts w:ascii="宋体" w:hAnsi="宋体" w:eastAsia="宋体"/>
                <w:sz w:val="20"/>
              </w:rPr>
              <w:t>完成ISTGCN模型初步设计与原型实现；在米兰数据集上开展基线对比实验</w:t>
            </w:r>
          </w:p>
        </w:tc>
        <w:tc>
          <w:tcPr>
            <w:tcW w:type="dxa" w:w="2381"/>
          </w:tcPr>
          <w:p>
            <w:r>
              <w:rPr>
                <w:rFonts w:ascii="宋体" w:hAnsi="宋体" w:eastAsia="宋体"/>
                <w:sz w:val="20"/>
              </w:rPr>
              <w:t>算法原型代码；阶段性报告1份</w:t>
            </w:r>
          </w:p>
        </w:tc>
      </w:tr>
      <w:tr>
        <w:tc>
          <w:tcPr>
            <w:tcW w:type="dxa" w:w="2154"/>
          </w:tcPr>
          <w:p>
            <w:r>
              <w:rPr>
                <w:rFonts w:ascii="宋体" w:hAnsi="宋体" w:eastAsia="宋体"/>
                <w:sz w:val="20"/>
              </w:rPr>
              <w:t>2028.01—2028.06</w:t>
            </w:r>
          </w:p>
        </w:tc>
        <w:tc>
          <w:tcPr>
            <w:tcW w:type="dxa" w:w="4819"/>
          </w:tcPr>
          <w:p>
            <w:r>
              <w:rPr>
                <w:rFonts w:ascii="宋体" w:hAnsi="宋体" w:eastAsia="宋体"/>
                <w:sz w:val="20"/>
              </w:rPr>
              <w:t>完善ISTGCN可解释性机制（Triplet Loss、Compactness Loss）；完成模型消融实验</w:t>
            </w:r>
          </w:p>
        </w:tc>
        <w:tc>
          <w:tcPr>
            <w:tcW w:type="dxa" w:w="2381"/>
          </w:tcPr>
          <w:p>
            <w:r>
              <w:rPr>
                <w:rFonts w:ascii="宋体" w:hAnsi="宋体" w:eastAsia="宋体"/>
                <w:sz w:val="20"/>
              </w:rPr>
              <w:t>论文1篇；算法代码V1.0</w:t>
            </w:r>
          </w:p>
        </w:tc>
      </w:tr>
      <w:tr>
        <w:tc>
          <w:tcPr>
            <w:tcW w:type="dxa" w:w="2154"/>
          </w:tcPr>
          <w:p>
            <w:r>
              <w:rPr>
                <w:rFonts w:ascii="宋体" w:hAnsi="宋体" w:eastAsia="宋体"/>
                <w:sz w:val="20"/>
              </w:rPr>
              <w:t>2028.07—2028.12</w:t>
            </w:r>
          </w:p>
        </w:tc>
        <w:tc>
          <w:tcPr>
            <w:tcW w:type="dxa" w:w="4819"/>
          </w:tcPr>
          <w:p>
            <w:r>
              <w:rPr>
                <w:rFonts w:ascii="宋体" w:hAnsi="宋体" w:eastAsia="宋体"/>
                <w:sz w:val="20"/>
              </w:rPr>
              <w:t>完成SSA-CMAL超参数优化算法设计与对比实验；开展跨数据集验证</w:t>
            </w:r>
          </w:p>
        </w:tc>
        <w:tc>
          <w:tcPr>
            <w:tcW w:type="dxa" w:w="2381"/>
          </w:tcPr>
          <w:p>
            <w:r>
              <w:rPr>
                <w:rFonts w:ascii="宋体" w:hAnsi="宋体" w:eastAsia="宋体"/>
                <w:sz w:val="20"/>
              </w:rPr>
              <w:t>论文1篇；算法代码V2.0</w:t>
            </w:r>
          </w:p>
        </w:tc>
      </w:tr>
      <w:tr>
        <w:tc>
          <w:tcPr>
            <w:tcW w:type="dxa" w:w="2154"/>
          </w:tcPr>
          <w:p>
            <w:r>
              <w:rPr>
                <w:rFonts w:ascii="宋体" w:hAnsi="宋体" w:eastAsia="宋体"/>
                <w:sz w:val="20"/>
              </w:rPr>
              <w:t>2029.01—2029.06</w:t>
            </w:r>
          </w:p>
        </w:tc>
        <w:tc>
          <w:tcPr>
            <w:tcW w:type="dxa" w:w="4819"/>
          </w:tcPr>
          <w:p>
            <w:r>
              <w:rPr>
                <w:rFonts w:ascii="宋体" w:hAnsi="宋体" w:eastAsia="宋体"/>
                <w:sz w:val="20"/>
              </w:rPr>
              <w:t>完成TTSPM博弈模型设计与求解；开展D2D资源调度仿真实验与多场景验证</w:t>
            </w:r>
          </w:p>
        </w:tc>
        <w:tc>
          <w:tcPr>
            <w:tcW w:type="dxa" w:w="2381"/>
          </w:tcPr>
          <w:p>
            <w:r>
              <w:rPr>
                <w:rFonts w:ascii="宋体" w:hAnsi="宋体" w:eastAsia="宋体"/>
                <w:sz w:val="20"/>
              </w:rPr>
              <w:t>论文1篇；仿真代码</w:t>
            </w:r>
          </w:p>
        </w:tc>
      </w:tr>
      <w:tr>
        <w:tc>
          <w:tcPr>
            <w:tcW w:type="dxa" w:w="2154"/>
          </w:tcPr>
          <w:p>
            <w:r>
              <w:rPr>
                <w:rFonts w:ascii="宋体" w:hAnsi="宋体" w:eastAsia="宋体"/>
                <w:sz w:val="20"/>
              </w:rPr>
              <w:t>2029.07—2029.09</w:t>
            </w:r>
          </w:p>
        </w:tc>
        <w:tc>
          <w:tcPr>
            <w:tcW w:type="dxa" w:w="4819"/>
          </w:tcPr>
          <w:p>
            <w:r>
              <w:rPr>
                <w:rFonts w:ascii="宋体" w:hAnsi="宋体" w:eastAsia="宋体"/>
                <w:sz w:val="20"/>
              </w:rPr>
              <w:t>整合预测与调度模块；开展系统集成与端到端综合性能评估</w:t>
            </w:r>
          </w:p>
        </w:tc>
        <w:tc>
          <w:tcPr>
            <w:tcW w:type="dxa" w:w="2381"/>
          </w:tcPr>
          <w:p>
            <w:r>
              <w:rPr>
                <w:rFonts w:ascii="宋体" w:hAnsi="宋体" w:eastAsia="宋体"/>
                <w:sz w:val="20"/>
              </w:rPr>
              <w:t>集成系统；技术报告1份</w:t>
            </w:r>
          </w:p>
        </w:tc>
      </w:tr>
      <w:tr>
        <w:tc>
          <w:tcPr>
            <w:tcW w:type="dxa" w:w="2154"/>
          </w:tcPr>
          <w:p>
            <w:r>
              <w:rPr>
                <w:rFonts w:ascii="宋体" w:hAnsi="宋体" w:eastAsia="宋体"/>
                <w:sz w:val="20"/>
              </w:rPr>
              <w:t>2029.10—2029.12</w:t>
            </w:r>
          </w:p>
        </w:tc>
        <w:tc>
          <w:tcPr>
            <w:tcW w:type="dxa" w:w="4819"/>
          </w:tcPr>
          <w:p>
            <w:r>
              <w:rPr>
                <w:rFonts w:ascii="宋体" w:hAnsi="宋体" w:eastAsia="宋体"/>
                <w:sz w:val="20"/>
              </w:rPr>
              <w:t>整理研究成果；撰写结题报告；准备学术论文投稿与专利申请</w:t>
            </w:r>
          </w:p>
        </w:tc>
        <w:tc>
          <w:tcPr>
            <w:tcW w:type="dxa" w:w="2381"/>
          </w:tcPr>
          <w:p>
            <w:r>
              <w:rPr>
                <w:rFonts w:ascii="宋体" w:hAnsi="宋体" w:eastAsia="宋体"/>
                <w:sz w:val="20"/>
              </w:rPr>
              <w:t>结题报告；论文1—2篇；专利1—2项</w:t>
            </w:r>
          </w:p>
        </w:tc>
      </w:tr>
    </w:tbl>
    <w:p>
      <w:pPr>
        <w:spacing w:before="240" w:after="120"/>
      </w:pPr>
      <w:r>
        <w:rPr>
          <w:rFonts w:ascii="黑体" w:hAnsi="黑体" w:eastAsia="黑体"/>
          <w:b/>
          <w:sz w:val="28"/>
        </w:rPr>
        <w:t>四、项目创新之处</w:t>
      </w:r>
    </w:p>
    <w:p>
      <w:pPr>
        <w:spacing w:after="80" w:line="360" w:lineRule="auto"/>
        <w:ind w:firstLine="420"/>
      </w:pPr>
      <w:r>
        <w:rPr>
          <w:rFonts w:ascii="宋体" w:hAnsi="宋体" w:eastAsia="宋体"/>
          <w:b/>
          <w:sz w:val="24"/>
        </w:rPr>
        <w:t>（1）语义原型驱动的自适应图结构学习机制。</w:t>
      </w:r>
      <w:r>
        <w:rPr>
          <w:rFonts w:ascii="宋体" w:hAnsi="宋体" w:eastAsia="宋体"/>
          <w:sz w:val="24"/>
        </w:rPr>
        <w:t>现有图神经网络模型通常依赖固定的邻接矩阵或完全数据驱动的自适应邻接矩阵，缺乏对依赖关系形成机理的显式刻画。本项目创新性地引入可学习的语义原型记忆库，将节点隐状态映射至典型业务演化模式，通过双向视角的余弦相似度融合动态生成自适应图结构。该机制使每条空间边的权重都能追溯到其背后的"模式原型"依据，突破了传统GNN"黑箱"属性的局限。</w:t>
      </w:r>
    </w:p>
    <w:p>
      <w:pPr>
        <w:spacing w:after="80" w:line="360" w:lineRule="auto"/>
        <w:ind w:firstLine="420"/>
      </w:pPr>
      <w:r>
        <w:rPr>
          <w:rFonts w:ascii="宋体" w:hAnsi="宋体" w:eastAsia="宋体"/>
          <w:b/>
          <w:sz w:val="24"/>
        </w:rPr>
        <w:t>（2）混沌映射与自适应学习融合的樽海鞘群优化算法。</w:t>
      </w:r>
      <w:r>
        <w:rPr>
          <w:rFonts w:ascii="宋体" w:hAnsi="宋体" w:eastAsia="宋体"/>
          <w:sz w:val="24"/>
        </w:rPr>
        <w:t>将混沌正弦映射结合分段线性混沌映射引入种群初始化，结合自适应领导者/跟随者比例划分策略，有效平衡全局勘探与局部开发能力。同时为跟随者设计基于适应度比值比较的动态学习系数。实验表明，SSA-CMAL相比DE、FA、PSO等基准方法，运行时间分别减少约73.77%、64.46%和79.36%。</w:t>
      </w:r>
    </w:p>
    <w:p>
      <w:pPr>
        <w:spacing w:after="80" w:line="360" w:lineRule="auto"/>
        <w:ind w:firstLine="420"/>
      </w:pPr>
      <w:r>
        <w:rPr>
          <w:rFonts w:ascii="宋体" w:hAnsi="宋体" w:eastAsia="宋体"/>
          <w:b/>
          <w:sz w:val="24"/>
        </w:rPr>
        <w:t>（3）38维统计元特征空间与结构化语义表征。</w:t>
      </w:r>
      <w:r>
        <w:rPr>
          <w:rFonts w:ascii="宋体" w:hAnsi="宋体" w:eastAsia="宋体"/>
          <w:sz w:val="24"/>
        </w:rPr>
        <w:t>从时域（14维）、频域（9维）、拓扑域与复杂度（15维）三个维度构建了38维统计元特征空间，涵盖了从低阶矩到高阶非线性动力学（样本熵、近似熵、LZC分形维数、Hurst指数）的全部信息，为深度学习模型提供了更稳健的输入分布，也为自动化模型选择提供了可量化的"数据画像"。</w:t>
      </w:r>
    </w:p>
    <w:p>
      <w:pPr>
        <w:spacing w:after="80" w:line="360" w:lineRule="auto"/>
        <w:ind w:firstLine="420"/>
      </w:pPr>
      <w:r>
        <w:rPr>
          <w:rFonts w:ascii="宋体" w:hAnsi="宋体" w:eastAsia="宋体"/>
          <w:b/>
          <w:sz w:val="24"/>
        </w:rPr>
        <w:t>（4）基于博弈论的D2D中继通信资源联合调度方法。</w:t>
      </w:r>
      <w:r>
        <w:rPr>
          <w:rFonts w:ascii="宋体" w:hAnsi="宋体" w:eastAsia="宋体"/>
          <w:sz w:val="24"/>
        </w:rPr>
        <w:t>将传输时间选择与功率管理整合为统一的混合整数非线性规划模型，创造性地引入非合作博弈机制处理非凸场景，通过Glicksberg不动点定理严格证明纳什均衡的存在性。仿真结果表明，系统总能耗降低48%至77%，失败率较基准方法降低约88%至94%，平均计算时间小于1毫秒。</w:t>
      </w:r>
    </w:p>
    <w:p>
      <w:pPr>
        <w:spacing w:before="240" w:after="120"/>
      </w:pPr>
      <w:r>
        <w:rPr>
          <w:rFonts w:ascii="黑体" w:hAnsi="黑体" w:eastAsia="黑体"/>
          <w:b/>
          <w:sz w:val="28"/>
        </w:rPr>
        <w:t>五、工作基础与工作条件</w:t>
      </w:r>
    </w:p>
    <w:p>
      <w:pPr>
        <w:spacing w:before="160" w:after="80"/>
      </w:pPr>
      <w:r>
        <w:rPr>
          <w:rFonts w:ascii="黑体" w:hAnsi="黑体" w:eastAsia="黑体"/>
          <w:b/>
          <w:sz w:val="24"/>
        </w:rPr>
        <w:t>5.1 工作基础</w:t>
      </w:r>
    </w:p>
    <w:p>
      <w:pPr>
        <w:spacing w:after="80" w:line="360" w:lineRule="auto"/>
        <w:ind w:firstLine="420"/>
      </w:pPr>
      <w:r>
        <w:rPr>
          <w:rFonts w:ascii="宋体" w:hAnsi="宋体" w:eastAsia="宋体"/>
          <w:sz w:val="24"/>
        </w:rPr>
        <w:t>申请者及项目团队在高维时序网络流量预测与资源调度领域已积累了扎实的研究基础。</w:t>
      </w:r>
    </w:p>
    <w:p>
      <w:pPr>
        <w:spacing w:after="80" w:line="360" w:lineRule="auto"/>
        <w:ind w:firstLine="420"/>
      </w:pPr>
      <w:r>
        <w:rPr>
          <w:rFonts w:ascii="宋体" w:hAnsi="宋体" w:eastAsia="宋体"/>
          <w:b/>
          <w:sz w:val="24"/>
        </w:rPr>
        <w:t>（1）网络业务预测与智能管理相关研究积累。</w:t>
      </w:r>
      <w:r>
        <w:rPr>
          <w:rFonts w:ascii="宋体" w:hAnsi="宋体" w:eastAsia="宋体"/>
          <w:sz w:val="24"/>
        </w:rPr>
        <w:t>项目团队与英国谢菲尔德大学Jie Zhang教授、Xiaoli Chu教授团队及美国佛罗里达大学Yuguang Fang教授合作，分析研究了预测模型偏好对模型学习效率和训练后预测精度影响的重要程度，初步理论分析了任务本质特征、预测模型偏好选择与模型性能的关联特性。项目团队对网络业务行为表征原始数据进行了不同维度刻画，初步筛选出能够反映预测任务属性的元特征候选集合，并借助元特征提取与元学习理论，提出了基于深度学习、遗传优化算法和大语言模型的海量网络业务行为表征预测模型超参数黑盒式优化算法。相关研究成果已在《IEEE Wireless Communications》和《IEEE Transactions on Wireless Communications》等通信领域国内外主流期刊发表。</w:t>
      </w:r>
    </w:p>
    <w:p>
      <w:pPr>
        <w:spacing w:after="80" w:line="360" w:lineRule="auto"/>
        <w:ind w:firstLine="420"/>
      </w:pPr>
      <w:r>
        <w:rPr>
          <w:rFonts w:ascii="宋体" w:hAnsi="宋体" w:eastAsia="宋体"/>
          <w:b/>
          <w:sz w:val="24"/>
        </w:rPr>
        <w:t>（2）接入网通信资源管理相关研究积累。</w:t>
      </w:r>
      <w:r>
        <w:rPr>
          <w:rFonts w:ascii="宋体" w:hAnsi="宋体" w:eastAsia="宋体"/>
          <w:sz w:val="24"/>
        </w:rPr>
        <w:t>项目团队针对复用相同网络资源的共存传输链路，提出了一系列基于现代优化理论的通信资源管理算法，相关研究成果已发表在《IEEE Transactions on Vehicular Technology》《IEEE Communications Letters》与《IEEE Wireless Communications Letters》等通信领域主流期刊。面向连续时间片和确定性信道条件假设，项目团队将考虑网络拓扑/终端设备动态性的接入网通信资源管理问题转化为连续马尔可夫决策过程，提出基于多智能体深度强化学习的问题求解架构。特别地，申请者已在D2D中继通信资源调度方向取得阶段性成果：以第一作者在《The Journal of Supercomputing》（SCI）发表"Energy-saving transmission time and power management for D2D connection with a relay node using the same band with a cellular connection"，为本项目TTSPM博弈模型的构建提供了直接的前期基础。</w:t>
      </w:r>
    </w:p>
    <w:p>
      <w:pPr>
        <w:spacing w:after="80" w:line="360" w:lineRule="auto"/>
        <w:ind w:firstLine="420"/>
      </w:pPr>
      <w:r>
        <w:rPr>
          <w:rFonts w:ascii="宋体" w:hAnsi="宋体" w:eastAsia="宋体"/>
          <w:b/>
          <w:sz w:val="24"/>
        </w:rPr>
        <w:t>（3）已取得的代表性成果。</w:t>
      </w:r>
      <w:r>
        <w:rPr>
          <w:rFonts w:ascii="宋体" w:hAnsi="宋体" w:eastAsia="宋体"/>
          <w:sz w:val="24"/>
        </w:rPr>
        <w:t>申请者以第一作者或通信作者在国内外核心期刊发表学术论文：[1]蒋献等，基于元特征映射与经验黑翅鸢优化的自动化网络流量预测框架，《通信学报》，2025,46(12):326-346（第一作者，国内一级期刊）；[2]Jiang X et al., Energy-saving transmission time and power management for D2D connection, The Journal of Supercomputing, 2025,81:1150（第一作者，SCI）；[3]董黎刚等，ResilM-IBN：一种自愈型多智能体网络管理框架，《通信学报》，2026,47(01):250-266（通信作者，国内一级期刊）。</w:t>
      </w:r>
    </w:p>
    <w:p>
      <w:pPr>
        <w:spacing w:before="160" w:after="80"/>
      </w:pPr>
      <w:r>
        <w:rPr>
          <w:rFonts w:ascii="黑体" w:hAnsi="黑体" w:eastAsia="黑体"/>
          <w:b/>
          <w:sz w:val="24"/>
        </w:rPr>
        <w:t>5.2 工作条件</w:t>
      </w:r>
    </w:p>
    <w:p>
      <w:pPr>
        <w:spacing w:after="80" w:line="360" w:lineRule="auto"/>
        <w:ind w:firstLine="420"/>
      </w:pPr>
      <w:r>
        <w:rPr>
          <w:rFonts w:ascii="宋体" w:hAnsi="宋体" w:eastAsia="宋体"/>
          <w:sz w:val="24"/>
        </w:rPr>
        <w:t>本项目依托浙江工商大学"浙江省新型网络标准及应用技术重点实验室"（省级重点实验室），拥有优越的软硬件研究环境。</w:t>
      </w:r>
    </w:p>
    <w:p>
      <w:pPr>
        <w:spacing w:after="80" w:line="360" w:lineRule="auto"/>
        <w:ind w:firstLine="420"/>
      </w:pPr>
      <w:r>
        <w:rPr>
          <w:rFonts w:ascii="宋体" w:hAnsi="宋体" w:eastAsia="宋体"/>
          <w:b/>
          <w:sz w:val="24"/>
        </w:rPr>
        <w:t>（1）人工智能超算中心：</w:t>
      </w:r>
      <w:r>
        <w:rPr>
          <w:rFonts w:ascii="宋体" w:hAnsi="宋体" w:eastAsia="宋体"/>
          <w:sz w:val="24"/>
        </w:rPr>
        <w:t>配备NVIDIA A40显卡26块（每块48GB显存），可提供972.4 TFLOPS计算能力。</w:t>
      </w:r>
    </w:p>
    <w:p>
      <w:pPr>
        <w:spacing w:after="80" w:line="360" w:lineRule="auto"/>
        <w:ind w:firstLine="420"/>
      </w:pPr>
      <w:r>
        <w:rPr>
          <w:rFonts w:ascii="宋体" w:hAnsi="宋体" w:eastAsia="宋体"/>
          <w:b/>
          <w:sz w:val="24"/>
        </w:rPr>
        <w:t>（2）网络功能资源池：</w:t>
      </w:r>
      <w:r>
        <w:rPr>
          <w:rFonts w:ascii="宋体" w:hAnsi="宋体" w:eastAsia="宋体"/>
          <w:sz w:val="24"/>
        </w:rPr>
        <w:t>配备HP DL380、HP DL580系列服务器24台，光交换机2台，专业云存储设备4台/套。</w:t>
      </w:r>
    </w:p>
    <w:p>
      <w:pPr>
        <w:spacing w:after="80" w:line="360" w:lineRule="auto"/>
        <w:ind w:firstLine="420"/>
      </w:pPr>
      <w:r>
        <w:rPr>
          <w:rFonts w:ascii="宋体" w:hAnsi="宋体" w:eastAsia="宋体"/>
          <w:b/>
          <w:sz w:val="24"/>
        </w:rPr>
        <w:t>（3）高端网络测试设备：</w:t>
      </w:r>
      <w:r>
        <w:rPr>
          <w:rFonts w:ascii="宋体" w:hAnsi="宋体" w:eastAsia="宋体"/>
          <w:sz w:val="24"/>
        </w:rPr>
        <w:t>Spirent TESTCENTER高性能网络综合业务测试系统、SmartBits 600百兆级网络及路由测试仪、Avalanche 290千兆级高性能网络安全测试仪。</w:t>
      </w:r>
    </w:p>
    <w:p>
      <w:pPr>
        <w:spacing w:after="80" w:line="360" w:lineRule="auto"/>
        <w:ind w:firstLine="420"/>
      </w:pPr>
      <w:r>
        <w:rPr>
          <w:rFonts w:ascii="宋体" w:hAnsi="宋体" w:eastAsia="宋体"/>
          <w:b/>
          <w:sz w:val="24"/>
        </w:rPr>
        <w:t>（4）博士后在站单位支撑：</w:t>
      </w:r>
      <w:r>
        <w:rPr>
          <w:rFonts w:ascii="宋体" w:hAnsi="宋体" w:eastAsia="宋体"/>
          <w:sz w:val="24"/>
        </w:rPr>
        <w:t>申请者在职博士后在站单位南京大学"空天地一体化智能信息网络研究所"，团队开发的空天地一体化低空接入网仿真软件Ultra Star（获中国通信学会、中国电子学会"年度中国物联网领域十大科技进展"）可为本项目系统级仿真平台提供技术支撑。</w:t>
      </w:r>
    </w:p>
    <w:p>
      <w:pPr>
        <w:spacing w:after="80" w:line="360" w:lineRule="auto"/>
        <w:ind w:firstLine="420"/>
      </w:pPr>
      <w:r>
        <w:rPr>
          <w:rFonts w:ascii="宋体" w:hAnsi="宋体" w:eastAsia="宋体"/>
          <w:sz w:val="24"/>
        </w:rPr>
        <w:t>综上，本项目研究已具备齐全的软硬件设备环境。在以上研究条件的基础上，申请团队有信心通过本项目的资助，高效高质量地完成项目的研究目标。</w:t>
      </w:r>
    </w:p>
    <w:p>
      <w:pPr>
        <w:spacing w:before="240" w:after="120"/>
      </w:pPr>
      <w:r>
        <w:rPr>
          <w:rFonts w:ascii="黑体" w:hAnsi="黑体" w:eastAsia="黑体"/>
          <w:b/>
          <w:sz w:val="28"/>
        </w:rPr>
        <w:t>六、预期研究结果</w:t>
      </w:r>
    </w:p>
    <w:p>
      <w:pPr>
        <w:spacing w:after="80" w:line="360" w:lineRule="auto"/>
        <w:ind w:firstLine="420"/>
      </w:pPr>
      <w:r>
        <w:rPr>
          <w:rFonts w:ascii="宋体" w:hAnsi="宋体" w:eastAsia="宋体"/>
          <w:b/>
          <w:sz w:val="24"/>
        </w:rPr>
        <w:t>学术成果：</w:t>
      </w:r>
      <w:r>
        <w:rPr>
          <w:rFonts w:ascii="宋体" w:hAnsi="宋体" w:eastAsia="宋体"/>
          <w:sz w:val="24"/>
        </w:rPr>
        <w:t>在IEEE Transactions on Wireless Communications、IEEE Internet of Things Journal、通信学报等国内外高水平期刊和会议上发表学术论文4—6篇；申请国家发明专利2—3项；力争获得软件著作权1—2项。</w:t>
      </w:r>
    </w:p>
    <w:p>
      <w:pPr>
        <w:spacing w:after="80" w:line="360" w:lineRule="auto"/>
        <w:ind w:firstLine="420"/>
      </w:pPr>
      <w:r>
        <w:rPr>
          <w:rFonts w:ascii="宋体" w:hAnsi="宋体" w:eastAsia="宋体"/>
          <w:b/>
          <w:sz w:val="24"/>
        </w:rPr>
        <w:t>技术成果：</w:t>
      </w:r>
      <w:r>
        <w:rPr>
          <w:rFonts w:ascii="宋体" w:hAnsi="宋体" w:eastAsia="宋体"/>
          <w:sz w:val="24"/>
        </w:rPr>
        <w:t>构建NetTra-2025跨域网络流量基准数据集（含Milan 900节点城市级数据、Trentino省域级数据、MAWI骨干网数据）；开发ISTGCN可解释性网络流量预测模型、SSA-CMAL超参数优化算法及TTSPM博弈求解框架，形成完整的算法代码库和开源软件包。</w:t>
      </w:r>
    </w:p>
    <w:p>
      <w:pPr>
        <w:spacing w:after="80" w:line="360" w:lineRule="auto"/>
        <w:ind w:firstLine="420"/>
      </w:pPr>
      <w:r>
        <w:rPr>
          <w:rFonts w:ascii="宋体" w:hAnsi="宋体" w:eastAsia="宋体"/>
          <w:b/>
          <w:sz w:val="24"/>
        </w:rPr>
        <w:t>人才培养：</w:t>
      </w:r>
      <w:r>
        <w:rPr>
          <w:rFonts w:ascii="宋体" w:hAnsi="宋体" w:eastAsia="宋体"/>
          <w:sz w:val="24"/>
        </w:rPr>
        <w:t>培养硕士研究生3—4名，协助培养博士研究生1名。</w:t>
      </w:r>
    </w:p>
    <w:p>
      <w:pPr>
        <w:spacing w:after="80" w:line="360" w:lineRule="auto"/>
        <w:ind w:firstLine="420"/>
      </w:pPr>
      <w:r>
        <w:rPr>
          <w:rFonts w:ascii="宋体" w:hAnsi="宋体" w:eastAsia="宋体"/>
          <w:b/>
          <w:sz w:val="24"/>
        </w:rPr>
        <w:t>社会经济效益：</w:t>
      </w:r>
      <w:r>
        <w:rPr>
          <w:rFonts w:ascii="宋体" w:hAnsi="宋体" w:eastAsia="宋体"/>
          <w:sz w:val="24"/>
        </w:rPr>
        <w:t>研究成果可直接应用于移动通信网络的智能运维与资源管理，提升网络流量预测精度（RMSE较传统方法降低约29.5%）与资源利用效率，降低通信系统能耗48%至77%，为浙江省数字经济和5G/6G产业发展提供技术支撑。</w:t>
      </w:r>
    </w:p>
    <w:p>
      <w:pPr>
        <w:spacing w:before="240" w:after="120"/>
      </w:pPr>
      <w:r>
        <w:rPr>
          <w:rFonts w:ascii="黑体" w:hAnsi="黑体" w:eastAsia="黑体"/>
          <w:b/>
          <w:sz w:val="28"/>
        </w:rPr>
        <w:t>七、参考文献</w:t>
      </w:r>
    </w:p>
    <w:p>
      <w:pPr>
        <w:spacing w:after="40" w:line="300" w:lineRule="auto"/>
        <w:ind w:firstLine="420"/>
      </w:pPr>
      <w:r>
        <w:rPr>
          <w:rFonts w:ascii="宋体" w:hAnsi="宋体" w:eastAsia="宋体"/>
          <w:sz w:val="20"/>
        </w:rPr>
        <w:t>[1] Li Y, Yu R, Shahabi C, et al. Diffusion convolutional recurrent neural network: Data-driven traffic forecasting[J]. arXiv preprint arXiv:1707.01926, 2017.</w:t>
      </w:r>
    </w:p>
    <w:p>
      <w:pPr>
        <w:spacing w:after="40" w:line="300" w:lineRule="auto"/>
        <w:ind w:firstLine="420"/>
      </w:pPr>
      <w:r>
        <w:rPr>
          <w:rFonts w:ascii="宋体" w:hAnsi="宋体" w:eastAsia="宋体"/>
          <w:sz w:val="20"/>
        </w:rPr>
        <w:t>[2] Guo S, Lin Y, Feng N, et al. Attention based spatial-temporal graph convolutional networks for traffic flow forecasting[C]//Proceedings of the AAAI Conference on Artificial Intelligence. 2019, 33(1): 922-929.</w:t>
      </w:r>
    </w:p>
    <w:p>
      <w:pPr>
        <w:spacing w:after="40" w:line="300" w:lineRule="auto"/>
        <w:ind w:firstLine="420"/>
      </w:pPr>
      <w:r>
        <w:rPr>
          <w:rFonts w:ascii="宋体" w:hAnsi="宋体" w:eastAsia="宋体"/>
          <w:sz w:val="20"/>
        </w:rPr>
        <w:t>[3] Jiang W, Luo J. Graph neural network for traffic forecasting: A survey[J]. Expert Systems with Applications, 2022, 207: 117921.</w:t>
      </w:r>
    </w:p>
    <w:p>
      <w:pPr>
        <w:spacing w:after="40" w:line="300" w:lineRule="auto"/>
        <w:ind w:firstLine="420"/>
      </w:pPr>
      <w:r>
        <w:rPr>
          <w:rFonts w:ascii="宋体" w:hAnsi="宋体" w:eastAsia="宋体"/>
          <w:sz w:val="20"/>
        </w:rPr>
        <w:t>[4] Ferreira G O, Ravazzi C, Dabbene F, et al. Forecasting network traffic: A survey and tutorial with open-source comparative evaluation[J]. IEEE Access, 2023, 11: 6018-6044.</w:t>
      </w:r>
    </w:p>
    <w:p>
      <w:pPr>
        <w:spacing w:after="40" w:line="300" w:lineRule="auto"/>
        <w:ind w:firstLine="420"/>
      </w:pPr>
      <w:r>
        <w:rPr>
          <w:rFonts w:ascii="宋体" w:hAnsi="宋体" w:eastAsia="宋体"/>
          <w:sz w:val="20"/>
        </w:rPr>
        <w:t>[5] 康梦轩, 宋俊平, 范鹏飞, 等. 基于深度学习的网络流量预测研究综述[J]. 计算机工程与应用, 2021, 57(10): 9-16.</w:t>
      </w:r>
    </w:p>
    <w:p>
      <w:pPr>
        <w:spacing w:after="40" w:line="300" w:lineRule="auto"/>
        <w:ind w:firstLine="420"/>
      </w:pPr>
      <w:r>
        <w:rPr>
          <w:rFonts w:ascii="宋体" w:hAnsi="宋体" w:eastAsia="宋体"/>
          <w:sz w:val="20"/>
        </w:rPr>
        <w:t>[6] Vaswani A, Shazeer N, Parmar N, et al. Attention is all you need[J]. Advances in Neural Information Processing Systems, 2017, 30: 5998-6008.</w:t>
      </w:r>
    </w:p>
    <w:p>
      <w:pPr>
        <w:spacing w:after="40" w:line="300" w:lineRule="auto"/>
        <w:ind w:firstLine="420"/>
      </w:pPr>
      <w:r>
        <w:rPr>
          <w:rFonts w:ascii="宋体" w:hAnsi="宋体" w:eastAsia="宋体"/>
          <w:sz w:val="20"/>
        </w:rPr>
        <w:t>[7] Nie Y, Nguyen N, Sinha S, et al. A time series is worth 16 words: An efficient transformer-based model for time series forecasting[C]//International Conference on Learning Representations. 2023.</w:t>
      </w:r>
    </w:p>
    <w:p>
      <w:pPr>
        <w:spacing w:after="40" w:line="300" w:lineRule="auto"/>
        <w:ind w:firstLine="420"/>
      </w:pPr>
      <w:r>
        <w:rPr>
          <w:rFonts w:ascii="宋体" w:hAnsi="宋体" w:eastAsia="宋体"/>
          <w:sz w:val="20"/>
        </w:rPr>
        <w:t>[8] Zhou H, Zhang S, Peng J, et al. Informer: Beyond efficient transformer for long sequence time-series forecasting[C]//Proceedings of the AAAI Conference on Artificial Intelligence. 2021, 35(12): 11106-11115.</w:t>
      </w:r>
    </w:p>
    <w:p>
      <w:pPr>
        <w:spacing w:after="40" w:line="300" w:lineRule="auto"/>
        <w:ind w:firstLine="420"/>
      </w:pPr>
      <w:r>
        <w:rPr>
          <w:rFonts w:ascii="宋体" w:hAnsi="宋体" w:eastAsia="宋体"/>
          <w:sz w:val="20"/>
        </w:rPr>
        <w:t>[9] Wu H, Xu J, Wang J, et al. Autoformer: Decomposition transformers with auto-correlation for long-term series forecasting[J]. Advances in Neural Information Processing Systems, 2021, 34: 22419-22430.</w:t>
      </w:r>
    </w:p>
    <w:p>
      <w:pPr>
        <w:spacing w:after="40" w:line="300" w:lineRule="auto"/>
        <w:ind w:firstLine="420"/>
      </w:pPr>
      <w:r>
        <w:rPr>
          <w:rFonts w:ascii="宋体" w:hAnsi="宋体" w:eastAsia="宋体"/>
          <w:sz w:val="20"/>
        </w:rPr>
        <w:t>[10] Bergstra J, Bengio Y. Random search for hyper-parameter optimization[J]. The Journal of Machine Learning Research, 2012, 13(1): 281-305.</w:t>
      </w:r>
    </w:p>
    <w:p>
      <w:pPr>
        <w:spacing w:after="40" w:line="300" w:lineRule="auto"/>
        <w:ind w:firstLine="420"/>
      </w:pPr>
      <w:r>
        <w:rPr>
          <w:rFonts w:ascii="宋体" w:hAnsi="宋体" w:eastAsia="宋体"/>
          <w:sz w:val="20"/>
        </w:rPr>
        <w:t>[11] Snoek J, Larochelle H, Adams R P. Practical bayesian optimization of machine learning algorithms[J]. Advances in Neural Information Processing Systems, 2012, 25: 1-9.</w:t>
      </w:r>
    </w:p>
    <w:p>
      <w:pPr>
        <w:spacing w:after="40" w:line="300" w:lineRule="auto"/>
        <w:ind w:firstLine="420"/>
      </w:pPr>
      <w:r>
        <w:rPr>
          <w:rFonts w:ascii="宋体" w:hAnsi="宋体" w:eastAsia="宋体"/>
          <w:sz w:val="20"/>
        </w:rPr>
        <w:t>[12] Mirjalili S, Gandomi A H, Mirjalili S Z, et al. Salp Swarm Algorithm: A bio-inspired optimizer for engineering design problems[J]. Advances in Engineering Software, 2017, 114: 163-191.</w:t>
      </w:r>
    </w:p>
    <w:p>
      <w:pPr>
        <w:spacing w:after="40" w:line="300" w:lineRule="auto"/>
        <w:ind w:firstLine="420"/>
      </w:pPr>
      <w:r>
        <w:rPr>
          <w:rFonts w:ascii="宋体" w:hAnsi="宋体" w:eastAsia="宋体"/>
          <w:sz w:val="20"/>
        </w:rPr>
        <w:t>[13] Abualigah L, Shehab M, Alshinwan M, et al. Salp swarm algorithm: A comprehensive survey[J]. Neural Computing and Applications, 2020, 32(15): 11195-11215.</w:t>
      </w:r>
    </w:p>
    <w:p>
      <w:pPr>
        <w:spacing w:after="40" w:line="300" w:lineRule="auto"/>
        <w:ind w:firstLine="420"/>
      </w:pPr>
      <w:r>
        <w:rPr>
          <w:rFonts w:ascii="宋体" w:hAnsi="宋体" w:eastAsia="宋体"/>
          <w:sz w:val="20"/>
        </w:rPr>
        <w:t>[14] Falkner S, Klein A, Hutter F. BOHB: Robust and efficient hyperparameter optimization at scale[C]//International Conference on Machine Learning. PMLR, 2018: 1437-1446.</w:t>
      </w:r>
    </w:p>
    <w:p>
      <w:pPr>
        <w:spacing w:after="40" w:line="300" w:lineRule="auto"/>
        <w:ind w:firstLine="420"/>
      </w:pPr>
      <w:r>
        <w:rPr>
          <w:rFonts w:ascii="宋体" w:hAnsi="宋体" w:eastAsia="宋体"/>
          <w:sz w:val="20"/>
        </w:rPr>
        <w:t>[15] Zhang Z, Wu Y, Chu X, et al. Energy-efficient transmission rate selection and power control for relay-assisted device-to-device communications underlaying cellular networks[J]. IEEE Wireless Communications Letters, 2020, 9(8): 1133-1136.</w:t>
      </w:r>
    </w:p>
    <w:p>
      <w:pPr>
        <w:spacing w:after="40" w:line="300" w:lineRule="auto"/>
        <w:ind w:firstLine="420"/>
      </w:pPr>
      <w:r>
        <w:rPr>
          <w:rFonts w:ascii="宋体" w:hAnsi="宋体" w:eastAsia="宋体"/>
          <w:sz w:val="20"/>
        </w:rPr>
        <w:t>[16] Ma B, Zhang Z, Zhang J, et al. Time efficient joint UAV-BS deployment and user association based on machine learning[J]. IEEE Internet of Things Journal, 2023, 10(14): 13077-13094.</w:t>
      </w:r>
    </w:p>
    <w:p>
      <w:pPr>
        <w:spacing w:after="40" w:line="300" w:lineRule="auto"/>
        <w:ind w:firstLine="420"/>
      </w:pPr>
      <w:r>
        <w:rPr>
          <w:rFonts w:ascii="宋体" w:hAnsi="宋体" w:eastAsia="宋体"/>
          <w:sz w:val="20"/>
        </w:rPr>
        <w:t>[17] Zhang Z, Hou J, Chu X, et al. Multi-agent deep reinforcement learning based downlink beamforming in heterogeneous networks[J]. IEEE Transactions on Wireless Communications, 2023, 22(6): 4247-4263.</w:t>
      </w:r>
    </w:p>
    <w:p>
      <w:pPr>
        <w:spacing w:after="40" w:line="300" w:lineRule="auto"/>
        <w:ind w:firstLine="420"/>
      </w:pPr>
      <w:r>
        <w:rPr>
          <w:rFonts w:ascii="宋体" w:hAnsi="宋体" w:eastAsia="宋体"/>
          <w:sz w:val="20"/>
        </w:rPr>
        <w:t>[18] Jiang X, Chen S, Gou J, et al. Meta-feature mapping and black-winged kite optimization-based automated network traffic prediction framework[J]. 通信学报, 2025, 46(12): 326-346.</w:t>
      </w:r>
    </w:p>
    <w:p>
      <w:pPr>
        <w:spacing w:after="40" w:line="300" w:lineRule="auto"/>
        <w:ind w:firstLine="420"/>
      </w:pPr>
      <w:r>
        <w:rPr>
          <w:rFonts w:ascii="宋体" w:hAnsi="宋体" w:eastAsia="宋体"/>
          <w:sz w:val="20"/>
        </w:rPr>
        <w:t>[19] 张子天*, 温之馨, 诸葛斌, 等. 基于图卷积神经网络的分解可解释性的蜂窝网络流量预测模型[J]. 电信科学, 2025, 41(9).</w:t>
      </w:r>
    </w:p>
    <w:p>
      <w:pPr>
        <w:spacing w:after="40" w:line="300" w:lineRule="auto"/>
        <w:ind w:firstLine="420"/>
      </w:pPr>
      <w:r>
        <w:rPr>
          <w:rFonts w:ascii="宋体" w:hAnsi="宋体" w:eastAsia="宋体"/>
          <w:sz w:val="20"/>
        </w:rPr>
        <w:t>[20] Wang L, Zhang J, Gao Y, et al. Hyperparameter optimization for wireless network traffic prediction models with a novel meta-learning framework[J]. IEEE Internet of Things Journal, 2025, 12(15): 29514-29528.</w:t>
      </w:r>
    </w:p>
    <w:p>
      <w:pPr>
        <w:spacing w:after="40" w:line="300" w:lineRule="auto"/>
        <w:ind w:firstLine="420"/>
      </w:pPr>
      <w:r>
        <w:rPr>
          <w:rFonts w:ascii="宋体" w:hAnsi="宋体" w:eastAsia="宋体"/>
          <w:sz w:val="20"/>
        </w:rPr>
        <w:t>[21] Li F, Zhang Z, Chu X, et al. A meta-learning based framework for cell-level mobile network traffic prediction[J]. IEEE Transactions on Wireless Communications, 2023, 22(6): 4264-4280.</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