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  <w:b/>
          <w:color w:val="000000"/>
          <w:sz w:val="32"/>
        </w:rPr>
        <w:t>致  谢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本论文在导师郑根成教授的悉心指导下完成。郑师以其深厚的哲学功底和开阔的学术视野，在选题立意、框架构建及文献考证等方面给予我全方位指导，谨此致以最诚挚的感谢。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感谢浙江省双通班项目提供的宝贵学习平台，感谢本寺方丈和尚及常住大众的支持与包容，使我得以安心完成学业。感谢同门师兄师弟在学习过程中的切磋交流，以及父母家人的默默付出。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佛法云"上报四重恩"，愿以此微薄之学术成果，为佛教中国化的理论探索略尽绵薄，不负国家培养、师长教诲与三宝慈恩。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释果顺 谨识</w:t>
      </w:r>
    </w:p>
    <w:p>
      <w:pPr>
        <w:spacing w:line="360" w:lineRule="auto" w:after="120"/>
        <w:ind w:firstLine="480"/>
      </w:pPr>
      <w:r>
        <w:rPr>
          <w:rFonts w:ascii="宋体" w:hAnsi="宋体"/>
          <w:sz w:val="24"/>
        </w:rPr>
        <w:t>二〇二六年六月于杭州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