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ABC00">
      <w:pPr>
        <w:pStyle w:val="3"/>
        <w:spacing w:before="360" w:after="240"/>
        <w:rPr>
          <w:rFonts w:ascii="黑体" w:hAnsi="黑体" w:eastAsia="黑体"/>
          <w:b/>
          <w:sz w:val="36"/>
          <w:szCs w:val="36"/>
        </w:rPr>
      </w:pPr>
      <w:r>
        <w:rPr>
          <w:rFonts w:hint="eastAsia" w:eastAsia="仿宋" w:cs="仿宋" w:asciiTheme="minorEastAsia" w:hAnsiTheme="minorEastAsia"/>
          <w:sz w:val="36"/>
          <w:szCs w:val="36"/>
        </w:rPr>
        <w:t>《利玛窦译名实践——从</w:t>
      </w:r>
      <w:r>
        <w:rPr>
          <w:rFonts w:hint="eastAsia" w:eastAsia="仿宋" w:cs="仿宋" w:asciiTheme="minorEastAsia" w:hAnsiTheme="minorEastAsia"/>
          <w:sz w:val="36"/>
          <w:szCs w:val="36"/>
          <w:lang w:eastAsia="zh-CN"/>
        </w:rPr>
        <w:t>“太极”“理”</w:t>
      </w:r>
      <w:r>
        <w:rPr>
          <w:rFonts w:hint="eastAsia" w:eastAsia="仿宋" w:cs="仿宋" w:asciiTheme="minorEastAsia" w:hAnsiTheme="minorEastAsia"/>
          <w:sz w:val="36"/>
          <w:szCs w:val="36"/>
        </w:rPr>
        <w:t>的诠释看</w:t>
      </w:r>
      <w:r>
        <w:rPr>
          <w:rFonts w:hint="eastAsia" w:eastAsia="仿宋" w:cs="仿宋" w:asciiTheme="minorEastAsia" w:hAnsiTheme="minorEastAsia"/>
          <w:sz w:val="36"/>
          <w:szCs w:val="36"/>
          <w:lang w:val="en-US" w:eastAsia="zh-CN"/>
        </w:rPr>
        <w:t>耶儒</w:t>
      </w:r>
      <w:r>
        <w:rPr>
          <w:rFonts w:hint="eastAsia" w:eastAsia="仿宋" w:cs="仿宋" w:asciiTheme="minorEastAsia" w:hAnsiTheme="minorEastAsia"/>
          <w:sz w:val="36"/>
          <w:szCs w:val="36"/>
        </w:rPr>
        <w:t>思想的碰撞</w:t>
      </w:r>
      <w:r>
        <w:rPr>
          <w:rFonts w:hint="eastAsia" w:eastAsia="仿宋" w:cs="仿宋" w:asciiTheme="minorEastAsia" w:hAnsiTheme="minorEastAsia"/>
          <w:sz w:val="36"/>
          <w:szCs w:val="36"/>
          <w:lang w:val="en-US" w:eastAsia="zh-CN"/>
        </w:rPr>
        <w:t>与调适</w:t>
      </w:r>
      <w:r>
        <w:rPr>
          <w:rFonts w:hint="eastAsia" w:eastAsia="仿宋" w:cs="仿宋" w:asciiTheme="minorEastAsia" w:hAnsiTheme="minorEastAsia"/>
          <w:sz w:val="36"/>
          <w:szCs w:val="36"/>
        </w:rPr>
        <w:t>》</w:t>
      </w:r>
    </w:p>
    <w:p w14:paraId="7DD20334">
      <w:pPr>
        <w:pStyle w:val="3"/>
        <w:spacing w:before="360" w:after="240"/>
      </w:pPr>
      <w:r>
        <w:rPr>
          <w:rFonts w:ascii="黑体" w:hAnsi="黑体" w:eastAsia="黑体"/>
          <w:b/>
          <w:sz w:val="36"/>
        </w:rPr>
        <w:t>摘要</w:t>
      </w:r>
    </w:p>
    <w:p w14:paraId="20316973">
      <w:pPr>
        <w:spacing w:line="360" w:lineRule="auto"/>
        <w:ind w:firstLine="420"/>
        <w:jc w:val="both"/>
      </w:pPr>
      <w:r>
        <w:rPr>
          <w:rFonts w:ascii="宋体" w:hAnsi="宋体" w:eastAsia="宋体"/>
          <w:b w:val="0"/>
          <w:sz w:val="24"/>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机制—意义”为主线：首先分析利玛窦在《天主实义》中采用的“釜底抽薪”与“借壳上市”两种修辞策略；其次揭示“以西格中”的概念化过程，即用阿奎那式的“存有”层级学说改造宋儒的“理—气—太极”体系；再次跟踪明清士大夫（徐光启、李贽、黄宗羲等）对利玛窦理论的接受与变异，展示“创造性误解”在跨文化传播中的关键作用；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p>
    <w:p w14:paraId="493C4269">
      <w:pPr>
        <w:spacing w:line="360" w:lineRule="auto"/>
        <w:jc w:val="both"/>
      </w:pPr>
      <w:r>
        <w:rPr>
          <w:rFonts w:ascii="黑体" w:hAnsi="黑体" w:eastAsia="黑体"/>
          <w:b w:val="0"/>
          <w:sz w:val="24"/>
        </w:rPr>
        <w:t>关键词：</w:t>
      </w:r>
      <w:r>
        <w:rPr>
          <w:rFonts w:ascii="宋体" w:hAnsi="宋体" w:eastAsia="宋体"/>
          <w:b w:val="0"/>
          <w:sz w:val="24"/>
        </w:rPr>
        <w:t>利玛窦；《天主实义》；理与太极；耶儒对话；概念挪用</w:t>
      </w:r>
    </w:p>
    <w:p w14:paraId="6AACAB54">
      <w:pPr>
        <w:pStyle w:val="3"/>
        <w:spacing w:before="360" w:after="240"/>
      </w:pPr>
      <w:r>
        <w:rPr>
          <w:rFonts w:ascii="黑体" w:hAnsi="黑体" w:eastAsia="黑体"/>
          <w:b/>
          <w:sz w:val="36"/>
        </w:rPr>
        <w:t>第一章 绪论</w:t>
      </w:r>
      <w:bookmarkStart w:id="0" w:name="_GoBack"/>
      <w:bookmarkEnd w:id="0"/>
    </w:p>
    <w:p w14:paraId="5B4A9B26">
      <w:pPr>
        <w:pStyle w:val="4"/>
        <w:spacing w:before="240" w:after="160"/>
      </w:pPr>
      <w:r>
        <w:rPr>
          <w:rFonts w:ascii="黑体" w:hAnsi="黑体" w:eastAsia="黑体"/>
          <w:b/>
          <w:sz w:val="32"/>
        </w:rPr>
        <w:t>1.1 问题缘起</w:t>
      </w:r>
    </w:p>
    <w:p w14:paraId="5AA55579">
      <w:pPr>
        <w:spacing w:line="360" w:lineRule="auto"/>
        <w:ind w:firstLine="420"/>
        <w:jc w:val="both"/>
        <w:rPr>
          <w:rFonts w:ascii="宋体" w:hAnsi="宋体" w:eastAsia="宋体"/>
          <w:b w:val="0"/>
          <w:sz w:val="24"/>
        </w:rPr>
      </w:pPr>
      <w:r>
        <w:rPr>
          <w:rFonts w:ascii="宋体" w:hAnsi="宋体" w:eastAsia="宋体"/>
          <w:b w:val="0"/>
          <w:sz w:val="24"/>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如果不理解“理”与“太极”在宋明思想世界中的位置，就无法理解利玛窦所面对的困难。朱熹（1130–1200）在《朱子语类》中明确说过：“太极只是一个理字。”① 在程朱理学的体系里，“理”既是宇宙万物的本源秩序，又是人伦道德的终极根据。它无形无象、无生无灭，却又遍在一切——既是“所以然之故”，又是“所当然之则”。周敦颐（1017–1073）《太极图说》开篇便称“无极而太极”，标志着宇宙论与本体论的统一。② 到明代中后期，“理”与“太极”不仅是哲学思辨的范畴，更是科举考试中士人必须熟练掌握的核心概念</w:t>
      </w:r>
      <w:r>
        <w:rPr>
          <w:rFonts w:ascii="宋体" w:hAnsi="宋体" w:eastAsia="宋体"/>
          <w:b w:val="0"/>
          <w:color w:val="auto"/>
          <w:sz w:val="24"/>
        </w:rPr>
        <w:t>。</w:t>
      </w:r>
      <w:r>
        <w:rPr>
          <w:rFonts w:ascii="宋体" w:hAnsi="宋体" w:eastAsia="宋体"/>
          <w:b w:val="0"/>
          <w:sz w:val="24"/>
        </w:rPr>
        <w:t>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③ 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p>
    <w:p w14:paraId="56E225D9">
      <w:pPr>
        <w:spacing w:line="360" w:lineRule="auto"/>
        <w:jc w:val="both"/>
      </w:pPr>
      <w:r>
        <w:rPr>
          <w:rFonts w:ascii="宋体" w:hAnsi="宋体" w:eastAsia="宋体"/>
          <w:b w:val="0"/>
          <w:sz w:val="24"/>
        </w:rPr>
        <w:t>注释：</w:t>
      </w:r>
    </w:p>
    <w:p w14:paraId="0896AAED">
      <w:pPr>
        <w:spacing w:line="300" w:lineRule="auto"/>
        <w:jc w:val="both"/>
      </w:pPr>
      <w:r>
        <w:rPr>
          <w:rFonts w:ascii="宋体" w:hAnsi="宋体" w:eastAsia="宋体"/>
          <w:b w:val="0"/>
          <w:sz w:val="18"/>
        </w:rPr>
        <w:t>① 朱熹：《朱子语类》卷一，中华书局，1986年，第1页。</w:t>
      </w:r>
    </w:p>
    <w:p w14:paraId="31941AA9">
      <w:pPr>
        <w:spacing w:line="300" w:lineRule="auto"/>
        <w:jc w:val="both"/>
      </w:pPr>
      <w:r>
        <w:rPr>
          <w:rFonts w:ascii="宋体" w:hAnsi="宋体" w:eastAsia="宋体"/>
          <w:b w:val="0"/>
          <w:sz w:val="18"/>
        </w:rPr>
        <w:t>② 周敦颐：《周敦颐集》，中华书局，2009年，第3–8页。</w:t>
      </w:r>
    </w:p>
    <w:p w14:paraId="54B0E57A">
      <w:pPr>
        <w:spacing w:line="300" w:lineRule="auto"/>
        <w:jc w:val="both"/>
        <w:rPr>
          <w:rFonts w:ascii="宋体" w:hAnsi="宋体" w:eastAsia="宋体"/>
          <w:b w:val="0"/>
          <w:sz w:val="18"/>
        </w:rPr>
      </w:pPr>
      <w:r>
        <w:rPr>
          <w:rFonts w:ascii="宋体" w:hAnsi="宋体" w:eastAsia="宋体"/>
          <w:b w:val="0"/>
          <w:sz w:val="18"/>
        </w:rPr>
        <w:t>③ 利玛窦：《天主实义》，载《利玛窦中文著译集》，复旦大学出版社，2001年，第16–20页。</w:t>
      </w:r>
    </w:p>
    <w:p w14:paraId="71AB5CE9">
      <w:pPr>
        <w:pStyle w:val="4"/>
        <w:spacing w:before="240" w:after="160"/>
      </w:pPr>
      <w:r>
        <w:rPr>
          <w:rFonts w:ascii="黑体" w:hAnsi="黑体" w:eastAsia="黑体"/>
          <w:b/>
          <w:sz w:val="32"/>
        </w:rPr>
        <w:t>1.2 研究现状</w:t>
      </w:r>
    </w:p>
    <w:p w14:paraId="03D517D0">
      <w:pPr>
        <w:spacing w:line="360" w:lineRule="auto"/>
        <w:ind w:firstLine="420"/>
        <w:jc w:val="both"/>
      </w:pPr>
      <w:r>
        <w:rPr>
          <w:rFonts w:ascii="宋体" w:hAnsi="宋体" w:eastAsia="宋体"/>
          <w:b w:val="0"/>
          <w:sz w:val="24"/>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④ 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⑤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⑥ 然而，另一派学者，如香港中文大学的黄保罗（Paulos Huang），则主张利玛窦对“理”的批评实际上是一种“有意扭曲”，其目的不是为了理解朱熹，而是为了在儒耶之间制造出一个“可替换的间隙”，从而在语义上为“Deus”的进入预留空间。⑦ 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⑧ 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⑨ 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2C4F332F">
      <w:pPr>
        <w:spacing w:line="300" w:lineRule="auto"/>
        <w:jc w:val="both"/>
      </w:pPr>
      <w:r>
        <w:rPr>
          <w:rFonts w:ascii="宋体" w:hAnsi="宋体" w:eastAsia="宋体"/>
          <w:b w:val="0"/>
          <w:sz w:val="18"/>
        </w:rPr>
        <w:t>④ 孙尚扬：《明末耶儒之间的论辩及其现代意义》，《世界宗教研究》，1993年第3期，第25–36页。</w:t>
      </w:r>
    </w:p>
    <w:p w14:paraId="1D1C16D4">
      <w:pPr>
        <w:spacing w:line="300" w:lineRule="auto"/>
        <w:jc w:val="both"/>
      </w:pPr>
      <w:r>
        <w:rPr>
          <w:rFonts w:ascii="宋体" w:hAnsi="宋体" w:eastAsia="宋体"/>
          <w:b w:val="0"/>
          <w:sz w:val="18"/>
        </w:rPr>
        <w:t>⑤ Jean-Paul Wiest, “From Matteo Ricci to Jacques Gernet: The Changing Image of the Chinese in Western Scholarship,” Chinese Studies, vol. 9, no. 1 (1997), pp. 23–47.</w:t>
      </w:r>
    </w:p>
    <w:p w14:paraId="69A3D3C5">
      <w:pPr>
        <w:spacing w:line="300" w:lineRule="auto"/>
        <w:jc w:val="both"/>
      </w:pPr>
      <w:r>
        <w:rPr>
          <w:rFonts w:ascii="宋体" w:hAnsi="宋体" w:eastAsia="宋体"/>
          <w:b w:val="0"/>
          <w:sz w:val="18"/>
        </w:rPr>
        <w:t>⑥ 朱谦之：《中国哲学对欧洲的影响》，河北人民出版社，2004年，第67–70页。</w:t>
      </w:r>
    </w:p>
    <w:p w14:paraId="66E8720A">
      <w:pPr>
        <w:spacing w:line="300" w:lineRule="auto"/>
        <w:jc w:val="both"/>
      </w:pPr>
      <w:r>
        <w:rPr>
          <w:rFonts w:ascii="宋体" w:hAnsi="宋体" w:eastAsia="宋体"/>
          <w:b w:val="0"/>
          <w:sz w:val="18"/>
        </w:rPr>
        <w:t>⑦ Paulos Huang, Confronting Confucianism: The Christian Understanding of Ru Tradition in Late Ming China (Leiden: Brill, 2007), pp. 98–110.</w:t>
      </w:r>
    </w:p>
    <w:p w14:paraId="32B63BC4">
      <w:pPr>
        <w:spacing w:line="300" w:lineRule="auto"/>
        <w:jc w:val="both"/>
      </w:pPr>
      <w:r>
        <w:rPr>
          <w:rFonts w:ascii="宋体" w:hAnsi="宋体" w:eastAsia="宋体"/>
          <w:b w:val="0"/>
          <w:sz w:val="18"/>
        </w:rPr>
        <w:t>⑧ 林金水：《徐光启与利玛窦关系考》，《中国史研究》，2001年第2期，第81–93页。</w:t>
      </w:r>
    </w:p>
    <w:p w14:paraId="5EF864A8">
      <w:pPr>
        <w:spacing w:line="300" w:lineRule="auto"/>
        <w:jc w:val="both"/>
      </w:pPr>
      <w:r>
        <w:rPr>
          <w:rFonts w:ascii="宋体" w:hAnsi="宋体" w:eastAsia="宋体"/>
          <w:b w:val="0"/>
          <w:sz w:val="18"/>
        </w:rPr>
        <w:t>⑨ 黄宗羲：《明夷待访录》，中华书局，2011年，第45页。</w:t>
      </w:r>
    </w:p>
    <w:p w14:paraId="699BD781">
      <w:pPr>
        <w:pStyle w:val="4"/>
        <w:spacing w:before="240" w:after="160"/>
      </w:pPr>
      <w:r>
        <w:rPr>
          <w:rFonts w:ascii="黑体" w:hAnsi="黑体" w:eastAsia="黑体"/>
          <w:b/>
          <w:sz w:val="32"/>
        </w:rPr>
        <w:t>1.3 方法与主线</w:t>
      </w:r>
    </w:p>
    <w:p w14:paraId="12724346">
      <w:pPr>
        <w:spacing w:line="360" w:lineRule="auto"/>
        <w:ind w:firstLine="420"/>
        <w:jc w:val="both"/>
      </w:pPr>
      <w:r>
        <w:rPr>
          <w:rFonts w:ascii="宋体" w:hAnsi="宋体" w:eastAsia="宋体"/>
          <w:b w:val="0"/>
          <w:sz w:val="24"/>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 德国学者科塞雷克（Reinhart Koselleck）在其奠基性著作《概念史与社会史》中提出，每一个重要的哲学或政治概念，都承载着特定历史语境中的经验与期待。当概念穿越不同文化边界时，它们的“语义场”会发生系统性的位移。① 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机制（第四章）。本章是全文的核心分析模块。在利玛窦的文本中，存在着一套虽然未明确表述却可清晰辨识的“概念化”机制——即如何将一个经院哲学的概念体系转换成中文术语，并使其看似“自然”地嵌入儒家话语。本文将以阿奎那的“存有层级”（gradus entium）学说为参照，揭示利玛窦的“理”批判背后所依赖的西方形而上学预设，进而展示一种跨文化“意义置换”的具体操作方法。 第三阶：意义（第五章、第六章）。在完成了策略与机制的剖析之后，本文转向对整体案例的评估。第五章分析利玛窦之后明清士大夫的接受状况——他们实际上接受了什么、拒绝了什么、又创造了什么。第六章结语则将视野拉回当代，讨论利玛窦案例对于今天全球语境下跨文明对话的理论启示，尤其是“概念挪用”作为一种不可避免的文化行为，其积极与消极面向分别是什么。 这一“策略—机制—意义”的链条，并非线性的因果序列，而是三个彼此缠绕的分析层次。策略的选择受到机制的制约，而机制只有在接受者的实际反应中才显现出完整的意义。本文的目的不是提供一把万能钥匙，而是尝试将这三个层次同时纳入视野，以期对利玛窦的思想操作做出一次较为系统的理解。 注释：</w:t>
      </w:r>
    </w:p>
    <w:p w14:paraId="26D0E024">
      <w:pPr>
        <w:spacing w:line="300" w:lineRule="auto"/>
        <w:jc w:val="both"/>
      </w:pPr>
      <w:r>
        <w:rPr>
          <w:rFonts w:ascii="宋体" w:hAnsi="宋体" w:eastAsia="宋体"/>
          <w:b w:val="0"/>
          <w:sz w:val="18"/>
        </w:rPr>
        <w:t>① Reinhart Koselleck, “Begriffsgeschichte und Sozialgeschichte,” in Vergangene Zukunft: Zur Semantik geschichtlicher Zeiten (Frankfurt: Suhrkamp, 1979), S. 107–129.</w:t>
      </w:r>
    </w:p>
    <w:p w14:paraId="3A04AA22">
      <w:pPr>
        <w:pStyle w:val="5"/>
        <w:spacing w:before="160" w:after="120"/>
      </w:pPr>
      <w:r>
        <w:rPr>
          <w:rFonts w:ascii="黑体" w:hAnsi="黑体" w:eastAsia="黑体"/>
          <w:b/>
          <w:sz w:val="28"/>
        </w:rPr>
        <w:t>本章小结</w:t>
      </w:r>
    </w:p>
    <w:p w14:paraId="539B9EFB">
      <w:pPr>
        <w:spacing w:line="360" w:lineRule="auto"/>
        <w:ind w:firstLine="420"/>
        <w:jc w:val="both"/>
      </w:pPr>
      <w:r>
        <w:rPr>
          <w:rFonts w:ascii="宋体" w:hAnsi="宋体" w:eastAsia="宋体"/>
          <w:b w:val="0"/>
          <w:sz w:val="24"/>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机制—意义”三层联动分析的尝试，仍尚付阙如。为此，本文提出以概念史、修辞分析与接受史为三重方法，沿着“策略（第二章、第三章）—机制（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p>
    <w:p w14:paraId="5E1F9EAC">
      <w:pPr>
        <w:pStyle w:val="3"/>
        <w:spacing w:before="360" w:after="240"/>
      </w:pPr>
      <w:r>
        <w:rPr>
          <w:rFonts w:ascii="黑体" w:hAnsi="黑体" w:eastAsia="黑体"/>
          <w:b/>
          <w:sz w:val="36"/>
        </w:rPr>
        <w:t>第二章 利玛窦面对的“理—太极”困境</w:t>
      </w:r>
    </w:p>
    <w:p w14:paraId="7299889B">
      <w:pPr>
        <w:pStyle w:val="4"/>
        <w:spacing w:before="240" w:after="160"/>
      </w:pPr>
      <w:r>
        <w:rPr>
          <w:rFonts w:ascii="黑体" w:hAnsi="黑体" w:eastAsia="黑体"/>
          <w:b/>
          <w:sz w:val="32"/>
        </w:rPr>
        <w:t>2.1 宋儒体系中的“理”与“太极”：本体论与宇宙论的双重功能</w:t>
      </w:r>
    </w:p>
    <w:p w14:paraId="7B813447">
      <w:pPr>
        <w:spacing w:line="360" w:lineRule="auto"/>
        <w:ind w:firstLine="420"/>
        <w:jc w:val="both"/>
      </w:pPr>
      <w:r>
        <w:rPr>
          <w:rFonts w:ascii="宋体" w:hAnsi="宋体" w:eastAsia="宋体"/>
          <w:b w:val="0"/>
          <w:sz w:val="24"/>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p>
    <w:p w14:paraId="477A1155">
      <w:pPr>
        <w:pStyle w:val="4"/>
        <w:spacing w:before="240" w:after="160"/>
      </w:pPr>
      <w:r>
        <w:rPr>
          <w:rFonts w:ascii="黑体" w:hAnsi="黑体" w:eastAsia="黑体"/>
          <w:b/>
          <w:sz w:val="32"/>
        </w:rPr>
        <w:t>2.1.1 “太极”的词源与哲学化过程</w:t>
      </w:r>
    </w:p>
    <w:p w14:paraId="7C77C6BA">
      <w:pPr>
        <w:spacing w:line="360" w:lineRule="auto"/>
        <w:ind w:firstLine="420"/>
        <w:jc w:val="both"/>
      </w:pPr>
      <w:r>
        <w:rPr>
          <w:rFonts w:ascii="宋体" w:hAnsi="宋体" w:eastAsia="宋体"/>
          <w:b w:val="0"/>
          <w:sz w:val="24"/>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p>
    <w:p w14:paraId="6D828FC0">
      <w:pPr>
        <w:jc w:val="both"/>
      </w:pPr>
      <w:r>
        <w:t>朱熹在对《周易》的注释中，对“太极”的含义做了进一步阐发：“太极者，象数未形而其理已具之称，形器已具而其理无朕之目。在河图洛书，皆虚中之象也；及夫卦画既立，体象已该，则太极为已划之位，虚而无体，乃复一之本原也。”（朱熹：《周易本义》，中华书局，2009年，第9页）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蒙培元：《理学范畴系统》，人民出版社，1989年，第84页）</w:t>
      </w:r>
    </w:p>
    <w:p w14:paraId="423C2329">
      <w:pPr>
        <w:pStyle w:val="4"/>
        <w:spacing w:before="240" w:after="160"/>
      </w:pPr>
      <w:r>
        <w:rPr>
          <w:rFonts w:ascii="黑体" w:hAnsi="黑体" w:eastAsia="黑体"/>
          <w:b/>
          <w:sz w:val="32"/>
        </w:rPr>
        <w:t>2.1.2 “理”的多重含义</w:t>
      </w:r>
    </w:p>
    <w:p w14:paraId="7248D2B3">
      <w:pPr>
        <w:spacing w:line="360" w:lineRule="auto"/>
        <w:ind w:firstLine="420"/>
        <w:jc w:val="both"/>
      </w:pPr>
      <w:r>
        <w:rPr>
          <w:rFonts w:ascii="宋体" w:hAnsi="宋体" w:eastAsia="宋体"/>
          <w:b w:val="0"/>
          <w:sz w:val="24"/>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 。这里的“理”，不依赖于任何具体事物而独立存在，是宇宙万物存在的终极根据。它无形无象，却实实在在地“存在”着——这种存在是逻辑上的先在，而非时间上的先在。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p>
    <w:p w14:paraId="5AEE1D9A">
      <w:pPr>
        <w:jc w:val="both"/>
      </w:pPr>
      <w: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蒙培元：《理学范畴系统》，人民出版社，1989年，第31页）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同上，第47页）</w:t>
      </w:r>
    </w:p>
    <w:p w14:paraId="27464FC5">
      <w:pPr>
        <w:jc w:val="both"/>
      </w:pPr>
      <w: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同上，第89页）</w:t>
      </w:r>
    </w:p>
    <w:p w14:paraId="415F2E6F">
      <w:pPr>
        <w:jc w:val="both"/>
      </w:pPr>
      <w:r>
        <w:t>朱熹在《朱子语类》中对“理”的形而上地位有更为明确的表述：“未有天地之先，毕竟也只是理。有此理，便有此天地；若无此理，便亦无天地，无人无物，都无该载了！有理，便有气流行，发育万物。”（朱熹：《朱子语类》卷一，中华书局，1986年，第1页）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p>
    <w:p w14:paraId="22C8E49D">
      <w:pPr>
        <w:jc w:val="both"/>
      </w:pPr>
      <w: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周敦颐：《太极图说》，载《周敦颐集》，中华书局，2009年，第3页）</w:t>
      </w:r>
    </w:p>
    <w:p w14:paraId="2ADDF319">
      <w:pPr>
        <w:jc w:val="both"/>
      </w:pPr>
      <w: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蒙培元：《理学范畴系统》，人民出版社，1989年，第79页）</w:t>
      </w:r>
    </w:p>
    <w:p w14:paraId="103309C0">
      <w:pPr>
        <w:jc w:val="both"/>
      </w:pPr>
      <w:r>
        <w:t>程颐在《遗书》中对“理”的普遍性有更为简洁的表述：“天下只是一个理”；又说：“一物之理即万物之理，一事之理即万事之理，吾心之理即宇宙之理。”（程颢、程颐：《二程遗书》卷二，上海古籍出版社，2000年，第15页）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蒙培元：《理学范畴系统》，人民出版社，1989年，第61页）</w:t>
      </w:r>
    </w:p>
    <w:p w14:paraId="25287B44">
      <w:pPr>
        <w:jc w:val="both"/>
      </w:pPr>
      <w:r>
        <w:t>朱熹在《朱子语类》中对“理”的本体论地位有更为直接的表述：“理也者，形而上之道也，生物之本也；气也者，形而下之器也，生物之具也。是以人物之生，必禀此理，然后有性；必禀此气，然后有形。”（朱熹：《朱子语类》卷一，中华书局，1986年，第2页）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p>
    <w:p w14:paraId="47FC9940">
      <w:pPr>
        <w:pStyle w:val="4"/>
        <w:spacing w:before="240" w:after="160"/>
      </w:pPr>
      <w:r>
        <w:rPr>
          <w:rFonts w:ascii="黑体" w:hAnsi="黑体" w:eastAsia="黑体"/>
          <w:b/>
          <w:sz w:val="32"/>
        </w:rPr>
        <w:t>2.1.3 “太极即理”的理论张力</w:t>
      </w:r>
    </w:p>
    <w:p w14:paraId="1B576105">
      <w:pPr>
        <w:spacing w:line="360" w:lineRule="auto"/>
        <w:ind w:firstLine="420"/>
        <w:jc w:val="both"/>
        <w:rPr>
          <w:rFonts w:ascii="宋体" w:hAnsi="宋体" w:eastAsia="宋体"/>
          <w:b w:val="0"/>
          <w:sz w:val="24"/>
        </w:rPr>
      </w:pPr>
      <w:r>
        <w:rPr>
          <w:rFonts w:ascii="宋体" w:hAnsi="宋体" w:eastAsia="宋体"/>
          <w:b w:val="0"/>
          <w:sz w:val="24"/>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p>
    <w:p w14:paraId="72494B7F">
      <w:pPr>
        <w:pStyle w:val="4"/>
        <w:spacing w:before="240" w:after="160"/>
      </w:pPr>
      <w:r>
        <w:rPr>
          <w:rFonts w:ascii="黑体" w:hAnsi="黑体" w:eastAsia="黑体"/>
          <w:b/>
          <w:sz w:val="32"/>
        </w:rPr>
        <w:t>2.2 《天主实义》的文本结构与论辩策略</w:t>
      </w:r>
    </w:p>
    <w:p w14:paraId="4A41B7AF">
      <w:pPr>
        <w:spacing w:line="360" w:lineRule="auto"/>
        <w:ind w:firstLine="420"/>
        <w:jc w:val="both"/>
      </w:pPr>
      <w:r>
        <w:rPr>
          <w:rFonts w:ascii="宋体" w:hAnsi="宋体" w:eastAsia="宋体"/>
          <w:b w:val="0"/>
          <w:sz w:val="24"/>
        </w:rPr>
        <w:t>在厘清了程朱理学中“理”与“太极”的本来面貌之后，我们现在可以转向利玛窦的文本，分析他如何在《天主实义》中展开对这两个概念的批判。</w:t>
      </w:r>
    </w:p>
    <w:p w14:paraId="2E86C6D8">
      <w:pPr>
        <w:pStyle w:val="4"/>
        <w:spacing w:before="240" w:after="160"/>
      </w:pPr>
      <w:r>
        <w:rPr>
          <w:rFonts w:ascii="黑体" w:hAnsi="黑体" w:eastAsia="黑体"/>
          <w:b/>
          <w:sz w:val="32"/>
        </w:rPr>
        <w:t>2.2.1 “中士”与“西士”的对话形式</w:t>
      </w:r>
    </w:p>
    <w:p w14:paraId="5411E4BA">
      <w:pPr>
        <w:spacing w:line="360" w:lineRule="auto"/>
        <w:ind w:firstLine="420"/>
        <w:jc w:val="both"/>
      </w:pPr>
      <w:r>
        <w:rPr>
          <w:rFonts w:ascii="宋体" w:hAnsi="宋体" w:eastAsia="宋体"/>
          <w:b w:val="0"/>
          <w:sz w:val="24"/>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在论证中占据了“主动解疑”而非“被动辩解”的位置。 值得注意的是，书中“中士”并非一个完全被动的角色。他经常提出尖锐的质疑，而这些质疑恰恰反映了利玛窦所预期的中国读者的“思想防线”。通过让“西士”逐一化解这些质疑，利玛窦实际上完成了一场针对潜在读者心理的“预演式”说服。</w:t>
      </w:r>
    </w:p>
    <w:p w14:paraId="3CCBE10A">
      <w:pPr>
        <w:pStyle w:val="4"/>
        <w:spacing w:before="240" w:after="160"/>
      </w:pPr>
      <w:r>
        <w:rPr>
          <w:rFonts w:ascii="黑体" w:hAnsi="黑体" w:eastAsia="黑体"/>
          <w:b/>
          <w:sz w:val="32"/>
        </w:rPr>
        <w:t>2.2.2 利玛窦对“太极”的批判</w:t>
      </w:r>
    </w:p>
    <w:p w14:paraId="58D5B6B6">
      <w:pPr>
        <w:spacing w:line="360" w:lineRule="auto"/>
        <w:ind w:firstLine="420"/>
        <w:jc w:val="both"/>
      </w:pPr>
      <w:r>
        <w:rPr>
          <w:rFonts w:ascii="宋体" w:hAnsi="宋体" w:eastAsia="宋体"/>
          <w:b w:val="0"/>
          <w:sz w:val="24"/>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 。这一批判的核心依据正是西方经院哲学中“自立者”（substance）与“依赖者”（accident）的区分——利玛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p>
    <w:p w14:paraId="1CB60A5B">
      <w:pPr>
        <w:pStyle w:val="4"/>
        <w:spacing w:before="240" w:after="160"/>
      </w:pPr>
      <w:r>
        <w:rPr>
          <w:rFonts w:ascii="黑体" w:hAnsi="黑体" w:eastAsia="黑体"/>
          <w:b/>
          <w:sz w:val="32"/>
        </w:rPr>
        <w:t>2.2.3 将“理”判定为“依赖者”：经院哲学框架的引入</w:t>
      </w:r>
    </w:p>
    <w:p w14:paraId="782BC252">
      <w:pPr>
        <w:spacing w:line="360" w:lineRule="auto"/>
        <w:ind w:firstLine="420"/>
        <w:jc w:val="both"/>
      </w:pPr>
      <w:r>
        <w:rPr>
          <w:rFonts w:ascii="宋体" w:hAnsi="宋体" w:eastAsia="宋体"/>
          <w:b w:val="0"/>
          <w:sz w:val="24"/>
        </w:rPr>
        <w:t>在上述批判中，最具根本性的一步是利玛窦将“理”判定为“依赖者”。他依据经院哲学的分类原则——“物之宗品有二，有自立者，有依赖者”——将“理”归入后者 。这一判定的理论前提是：存在者可以分为两类——一类是“自立者”（substance），即能够独立存在的实体；另一类是“依赖者”（accident），即必须依附于实体才能存在的属性或关系。在利玛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p>
    <w:p w14:paraId="3299538A">
      <w:pPr>
        <w:pStyle w:val="4"/>
        <w:spacing w:before="240" w:after="160"/>
      </w:pPr>
      <w:r>
        <w:rPr>
          <w:rFonts w:ascii="黑体" w:hAnsi="黑体" w:eastAsia="黑体"/>
          <w:b/>
          <w:sz w:val="32"/>
        </w:rPr>
        <w:t>2.3 两种本体论路径的相遇与错位</w:t>
      </w:r>
    </w:p>
    <w:p w14:paraId="64971DF3">
      <w:pPr>
        <w:spacing w:line="360" w:lineRule="auto"/>
        <w:ind w:firstLine="420"/>
        <w:jc w:val="both"/>
      </w:pPr>
      <w:r>
        <w:rPr>
          <w:rFonts w:ascii="宋体" w:hAnsi="宋体" w:eastAsia="宋体"/>
          <w:b w:val="0"/>
          <w:sz w:val="24"/>
        </w:rPr>
        <w:t>经过前两节的分析，我们现在可以更系统地审视利玛窦与程朱理学之间的根本分歧。这一分歧，远不止于对几个概念的异义理解，而是两种本体论路径的深层相遇与错位。</w:t>
      </w:r>
    </w:p>
    <w:p w14:paraId="4B9323E0">
      <w:pPr>
        <w:pStyle w:val="4"/>
        <w:spacing w:before="240" w:after="160"/>
      </w:pPr>
      <w:r>
        <w:rPr>
          <w:rFonts w:ascii="黑体" w:hAnsi="黑体" w:eastAsia="黑体"/>
          <w:b/>
          <w:sz w:val="32"/>
        </w:rPr>
        <w:t>2.3.1 从“理”与“上帝”的错位看跨文化对话的困境</w:t>
      </w:r>
    </w:p>
    <w:p w14:paraId="49640AFD">
      <w:pPr>
        <w:spacing w:line="360" w:lineRule="auto"/>
        <w:ind w:firstLine="420"/>
        <w:jc w:val="both"/>
      </w:pPr>
      <w:r>
        <w:rPr>
          <w:rFonts w:ascii="宋体" w:hAnsi="宋体" w:eastAsia="宋体"/>
          <w:b w:val="0"/>
          <w:sz w:val="24"/>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p>
    <w:p w14:paraId="10AFB05F">
      <w:pPr>
        <w:pStyle w:val="4"/>
        <w:spacing w:before="240" w:after="160"/>
      </w:pPr>
      <w:r>
        <w:rPr>
          <w:rFonts w:ascii="黑体" w:hAnsi="黑体" w:eastAsia="黑体"/>
          <w:b/>
          <w:sz w:val="32"/>
        </w:rPr>
        <w:t>2.3.2 谁误解了谁？——跨文化理解中的“有意曲解”</w:t>
      </w:r>
    </w:p>
    <w:p w14:paraId="0474E974">
      <w:pPr>
        <w:spacing w:line="360" w:lineRule="auto"/>
        <w:ind w:firstLine="420"/>
        <w:jc w:val="both"/>
      </w:pPr>
      <w:r>
        <w:rPr>
          <w:rFonts w:ascii="宋体" w:hAnsi="宋体" w:eastAsia="宋体"/>
          <w:b w:val="0"/>
          <w:sz w:val="24"/>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p>
    <w:p w14:paraId="4D5BFE83">
      <w:pPr>
        <w:pStyle w:val="5"/>
        <w:spacing w:before="160" w:after="120"/>
      </w:pPr>
      <w:r>
        <w:rPr>
          <w:rFonts w:ascii="黑体" w:hAnsi="黑体" w:eastAsia="黑体"/>
          <w:b/>
          <w:sz w:val="28"/>
        </w:rPr>
        <w:t>本章小结</w:t>
      </w:r>
    </w:p>
    <w:p w14:paraId="3F8739B6">
      <w:pPr>
        <w:spacing w:line="360" w:lineRule="auto"/>
        <w:ind w:firstLine="420"/>
        <w:jc w:val="both"/>
      </w:pPr>
      <w:r>
        <w:rPr>
          <w:rFonts w:ascii="宋体" w:hAnsi="宋体" w:eastAsia="宋体"/>
          <w:b w:val="0"/>
          <w:sz w:val="24"/>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p>
    <w:p w14:paraId="6EDFEF41">
      <w:pPr>
        <w:pStyle w:val="3"/>
        <w:spacing w:before="360" w:after="240"/>
      </w:pPr>
      <w:r>
        <w:rPr>
          <w:rFonts w:ascii="黑体" w:hAnsi="黑体" w:eastAsia="黑体"/>
          <w:b/>
          <w:sz w:val="36"/>
        </w:rPr>
        <w:t>第三章 概念挪用与改造</w:t>
      </w:r>
    </w:p>
    <w:p w14:paraId="7D0030B4">
      <w:pPr>
        <w:pStyle w:val="4"/>
        <w:spacing w:before="240" w:after="160"/>
      </w:pPr>
      <w:r>
        <w:rPr>
          <w:rFonts w:ascii="黑体" w:hAnsi="黑体" w:eastAsia="黑体"/>
          <w:b/>
          <w:sz w:val="32"/>
        </w:rPr>
        <w:t>3.1 “釜底抽薪”：拆解“理”与“太极”的本体论地位</w:t>
      </w:r>
    </w:p>
    <w:p w14:paraId="0EA4E499">
      <w:pPr>
        <w:spacing w:line="360" w:lineRule="auto"/>
        <w:ind w:firstLine="420"/>
        <w:jc w:val="both"/>
      </w:pPr>
      <w:r>
        <w:rPr>
          <w:rFonts w:ascii="宋体" w:hAnsi="宋体" w:eastAsia="宋体"/>
          <w:b w:val="0"/>
          <w:sz w:val="24"/>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p>
    <w:p w14:paraId="42BD5AF0">
      <w:pPr>
        <w:pStyle w:val="4"/>
        <w:spacing w:before="240" w:after="160"/>
      </w:pPr>
      <w:r>
        <w:rPr>
          <w:rFonts w:ascii="黑体" w:hAnsi="黑体" w:eastAsia="黑体"/>
          <w:b/>
          <w:sz w:val="32"/>
        </w:rPr>
        <w:t>3.1.1 概念层级的下移：从“本体”到“属性”</w:t>
      </w:r>
    </w:p>
    <w:p w14:paraId="02C55446">
      <w:pPr>
        <w:spacing w:line="360" w:lineRule="auto"/>
        <w:ind w:firstLine="420"/>
        <w:jc w:val="both"/>
      </w:pPr>
      <w:r>
        <w:rPr>
          <w:rFonts w:ascii="宋体" w:hAnsi="宋体" w:eastAsia="宋体"/>
          <w:b w:val="0"/>
          <w:sz w:val="24"/>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p>
    <w:p w14:paraId="0A60CB43">
      <w:pPr>
        <w:pStyle w:val="4"/>
        <w:spacing w:before="240" w:after="160"/>
      </w:pPr>
      <w:r>
        <w:rPr>
          <w:rFonts w:ascii="黑体" w:hAnsi="黑体" w:eastAsia="黑体"/>
          <w:b/>
          <w:sz w:val="32"/>
        </w:rPr>
        <w:t>3.1.2 功能属性的剥离：否定“理”作为生成原则的身份</w:t>
      </w:r>
    </w:p>
    <w:p w14:paraId="6DFA7328">
      <w:pPr>
        <w:spacing w:line="360" w:lineRule="auto"/>
        <w:ind w:firstLine="420"/>
        <w:jc w:val="both"/>
      </w:pPr>
      <w:r>
        <w:rPr>
          <w:rFonts w:ascii="宋体" w:hAnsi="宋体" w:eastAsia="宋体"/>
          <w:b w:val="0"/>
          <w:sz w:val="24"/>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p>
    <w:p w14:paraId="52FC45C6">
      <w:pPr>
        <w:pStyle w:val="4"/>
        <w:spacing w:before="240" w:after="160"/>
      </w:pPr>
      <w:r>
        <w:rPr>
          <w:rFonts w:ascii="黑体" w:hAnsi="黑体" w:eastAsia="黑体"/>
          <w:b/>
          <w:sz w:val="32"/>
        </w:rPr>
        <w:t>3.1.3 经典权威的反转：以“古儒”压“今儒”</w:t>
      </w:r>
    </w:p>
    <w:p w14:paraId="66715212">
      <w:pPr>
        <w:spacing w:line="360" w:lineRule="auto"/>
        <w:ind w:firstLine="420"/>
        <w:jc w:val="both"/>
      </w:pPr>
      <w:r>
        <w:rPr>
          <w:rFonts w:ascii="宋体" w:hAnsi="宋体" w:eastAsia="宋体"/>
          <w:b w:val="0"/>
          <w:sz w:val="24"/>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p>
    <w:p w14:paraId="6D7FA951">
      <w:pPr>
        <w:pStyle w:val="4"/>
        <w:spacing w:before="240" w:after="160"/>
      </w:pPr>
      <w:r>
        <w:rPr>
          <w:rFonts w:ascii="黑体" w:hAnsi="黑体" w:eastAsia="黑体"/>
          <w:b/>
          <w:sz w:val="32"/>
        </w:rPr>
        <w:t>3.2 “借壳上市”：重塑“上帝”概念的权威性</w:t>
      </w:r>
    </w:p>
    <w:p w14:paraId="11CE4FE5">
      <w:pPr>
        <w:spacing w:line="360" w:lineRule="auto"/>
        <w:ind w:firstLine="420"/>
        <w:jc w:val="both"/>
      </w:pPr>
      <w:r>
        <w:rPr>
          <w:rFonts w:ascii="宋体" w:hAnsi="宋体" w:eastAsia="宋体"/>
          <w:b w:val="0"/>
          <w:sz w:val="24"/>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p>
    <w:p w14:paraId="7DD1151D">
      <w:pPr>
        <w:pStyle w:val="4"/>
        <w:spacing w:before="240" w:after="160"/>
      </w:pPr>
      <w:r>
        <w:rPr>
          <w:rFonts w:ascii="黑体" w:hAnsi="黑体" w:eastAsia="黑体"/>
          <w:b/>
          <w:sz w:val="32"/>
        </w:rPr>
        <w:t>3.2.1 重新定义“上帝”：“生生”之力与位格性</w:t>
      </w:r>
    </w:p>
    <w:p w14:paraId="1AFDDA09">
      <w:pPr>
        <w:spacing w:line="360" w:lineRule="auto"/>
        <w:ind w:firstLine="420"/>
        <w:jc w:val="both"/>
      </w:pPr>
      <w:r>
        <w:rPr>
          <w:rFonts w:ascii="宋体" w:hAnsi="宋体" w:eastAsia="宋体"/>
          <w:b w:val="0"/>
          <w:sz w:val="24"/>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p>
    <w:p w14:paraId="7F0242F2">
      <w:pPr>
        <w:pStyle w:val="4"/>
        <w:spacing w:before="240" w:after="160"/>
      </w:pPr>
      <w:r>
        <w:rPr>
          <w:rFonts w:ascii="黑体" w:hAnsi="黑体" w:eastAsia="黑体"/>
          <w:b/>
          <w:sz w:val="32"/>
        </w:rPr>
        <w:t>3.2.2 经典证据的拼合：“上帝”在先秦儒家中的角色</w:t>
      </w:r>
    </w:p>
    <w:p w14:paraId="12A25EE6">
      <w:pPr>
        <w:spacing w:line="360" w:lineRule="auto"/>
        <w:ind w:firstLine="420"/>
        <w:jc w:val="both"/>
      </w:pPr>
      <w:r>
        <w:rPr>
          <w:rFonts w:ascii="宋体" w:hAnsi="宋体" w:eastAsia="宋体"/>
          <w:b w:val="0"/>
          <w:sz w:val="24"/>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p>
    <w:p w14:paraId="5D905ACC">
      <w:pPr>
        <w:pStyle w:val="4"/>
        <w:spacing w:before="240" w:after="160"/>
      </w:pPr>
      <w:r>
        <w:rPr>
          <w:rFonts w:ascii="黑体" w:hAnsi="黑体" w:eastAsia="黑体"/>
          <w:b/>
          <w:sz w:val="32"/>
        </w:rPr>
        <w:t>3.2.3 “借壳”还是“换核”？——概念移植的内在张力</w:t>
      </w:r>
    </w:p>
    <w:p w14:paraId="735FD998">
      <w:pPr>
        <w:spacing w:line="360" w:lineRule="auto"/>
        <w:ind w:firstLine="420"/>
        <w:jc w:val="both"/>
      </w:pPr>
      <w:r>
        <w:rPr>
          <w:rFonts w:ascii="宋体" w:hAnsi="宋体" w:eastAsia="宋体"/>
          <w:b w:val="0"/>
          <w:sz w:val="24"/>
        </w:rPr>
        <w:t>“借壳上市”这一比喻，虽然形象地描述了利玛窦的策略，但也隐含着一个内在张力：当“外壳”（“上帝”一词）被移植到一个全新的文化语境中时，它原有的“内容”（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p>
    <w:p w14:paraId="7D46329B">
      <w:pPr>
        <w:pStyle w:val="4"/>
        <w:spacing w:before="240" w:after="160"/>
      </w:pPr>
      <w:r>
        <w:rPr>
          <w:rFonts w:ascii="黑体" w:hAnsi="黑体" w:eastAsia="黑体"/>
          <w:b/>
          <w:sz w:val="32"/>
        </w:rPr>
        <w:t>3.3 两种策略的内在关联与张力</w:t>
      </w:r>
    </w:p>
    <w:p w14:paraId="6912574F">
      <w:pPr>
        <w:spacing w:line="360" w:lineRule="auto"/>
        <w:ind w:firstLine="420"/>
        <w:jc w:val="both"/>
      </w:pPr>
      <w:r>
        <w:rPr>
          <w:rFonts w:ascii="宋体" w:hAnsi="宋体" w:eastAsia="宋体"/>
          <w:b w:val="0"/>
          <w:sz w:val="24"/>
        </w:rPr>
        <w:t>经过前两节的分别分析，我们现在可以回到一个更根本的问题：“釜底抽薪”与“借壳上市”这两种策略之间，存在着怎样的内在关联与张力？</w:t>
      </w:r>
    </w:p>
    <w:p w14:paraId="295F2B05">
      <w:pPr>
        <w:pStyle w:val="4"/>
        <w:spacing w:before="240" w:after="160"/>
      </w:pPr>
      <w:r>
        <w:rPr>
          <w:rFonts w:ascii="黑体" w:hAnsi="黑体" w:eastAsia="黑体"/>
          <w:b/>
          <w:sz w:val="32"/>
        </w:rPr>
        <w:t>3.3.1 策略的内在统一：破与立的共生关系</w:t>
      </w:r>
    </w:p>
    <w:p w14:paraId="3D65EED4">
      <w:pPr>
        <w:spacing w:line="360" w:lineRule="auto"/>
        <w:ind w:firstLine="420"/>
        <w:jc w:val="both"/>
      </w:pPr>
      <w:r>
        <w:rPr>
          <w:rFonts w:ascii="宋体" w:hAnsi="宋体" w:eastAsia="宋体"/>
          <w:b w:val="0"/>
          <w:sz w:val="24"/>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p>
    <w:p w14:paraId="39869F58">
      <w:pPr>
        <w:pStyle w:val="4"/>
        <w:spacing w:before="240" w:after="160"/>
      </w:pPr>
      <w:r>
        <w:rPr>
          <w:rFonts w:ascii="黑体" w:hAnsi="黑体" w:eastAsia="黑体"/>
          <w:b/>
          <w:sz w:val="32"/>
        </w:rPr>
        <w:t>3.3.2 策略的内在张力：适应与抗拒的辩证</w:t>
      </w:r>
    </w:p>
    <w:p w14:paraId="3F92DD3F">
      <w:pPr>
        <w:spacing w:line="360" w:lineRule="auto"/>
        <w:ind w:firstLine="420"/>
        <w:jc w:val="both"/>
      </w:pPr>
      <w:r>
        <w:rPr>
          <w:rFonts w:ascii="宋体" w:hAnsi="宋体" w:eastAsia="宋体"/>
          <w:b w:val="0"/>
          <w:sz w:val="24"/>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p>
    <w:p w14:paraId="7425FE31">
      <w:pPr>
        <w:pStyle w:val="4"/>
        <w:spacing w:before="240" w:after="160"/>
      </w:pPr>
      <w:r>
        <w:rPr>
          <w:rFonts w:ascii="黑体" w:hAnsi="黑体" w:eastAsia="黑体"/>
          <w:b/>
          <w:sz w:val="32"/>
        </w:rPr>
        <w:t>3.3.3 “以西洋的格中国文化之物”——概念挪用的深层本质</w:t>
      </w:r>
    </w:p>
    <w:p w14:paraId="621A471F">
      <w:pPr>
        <w:spacing w:line="360" w:lineRule="auto"/>
        <w:ind w:firstLine="420"/>
        <w:jc w:val="both"/>
      </w:pPr>
      <w:r>
        <w:rPr>
          <w:rFonts w:ascii="宋体" w:hAnsi="宋体" w:eastAsia="宋体"/>
          <w:b w:val="0"/>
          <w:sz w:val="24"/>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p>
    <w:p w14:paraId="08FF6279">
      <w:pPr>
        <w:pStyle w:val="5"/>
        <w:spacing w:before="160" w:after="120"/>
      </w:pPr>
      <w:r>
        <w:rPr>
          <w:rFonts w:ascii="黑体" w:hAnsi="黑体" w:eastAsia="黑体"/>
          <w:b/>
          <w:sz w:val="28"/>
        </w:rPr>
        <w:t>本章小结</w:t>
      </w:r>
    </w:p>
    <w:p w14:paraId="1FF2545C">
      <w:pPr>
        <w:spacing w:line="360" w:lineRule="auto"/>
        <w:ind w:firstLine="420"/>
        <w:jc w:val="both"/>
      </w:pPr>
      <w:r>
        <w:rPr>
          <w:rFonts w:ascii="宋体" w:hAnsi="宋体" w:eastAsia="宋体"/>
          <w:b w:val="0"/>
          <w:sz w:val="24"/>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p>
    <w:p w14:paraId="03067BE2">
      <w:pPr>
        <w:pStyle w:val="3"/>
        <w:spacing w:before="360" w:after="240"/>
      </w:pPr>
      <w:r>
        <w:rPr>
          <w:rFonts w:ascii="黑体" w:hAnsi="黑体" w:eastAsia="黑体"/>
          <w:b/>
          <w:sz w:val="36"/>
        </w:rPr>
        <w:t>第四章 接受与变异</w:t>
      </w:r>
    </w:p>
    <w:p w14:paraId="0947835C">
      <w:pPr>
        <w:pStyle w:val="4"/>
        <w:spacing w:before="240" w:after="160"/>
      </w:pPr>
      <w:r>
        <w:rPr>
          <w:rFonts w:ascii="黑体" w:hAnsi="黑体" w:eastAsia="黑体"/>
          <w:b/>
          <w:sz w:val="32"/>
        </w:rPr>
        <w:t>4.1 接受的分野：三种不同类型的回应</w:t>
      </w:r>
    </w:p>
    <w:p w14:paraId="26CE2CBD">
      <w:pPr>
        <w:spacing w:line="360" w:lineRule="auto"/>
        <w:ind w:firstLine="420"/>
        <w:jc w:val="both"/>
      </w:pPr>
      <w:r>
        <w:rPr>
          <w:rFonts w:ascii="宋体" w:hAnsi="宋体" w:eastAsia="宋体"/>
          <w:b w:val="0"/>
          <w:sz w:val="24"/>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p>
    <w:p w14:paraId="3D100D3F">
      <w:pPr>
        <w:pStyle w:val="4"/>
        <w:spacing w:before="240" w:after="160"/>
      </w:pPr>
      <w:r>
        <w:rPr>
          <w:rFonts w:ascii="黑体" w:hAnsi="黑体" w:eastAsia="黑体"/>
          <w:b/>
          <w:sz w:val="32"/>
        </w:rPr>
        <w:t>4.1.1 合作性接受：徐光启与李之藻的“补儒”路径</w:t>
      </w:r>
    </w:p>
    <w:p w14:paraId="259C5AF6">
      <w:pPr>
        <w:spacing w:line="360" w:lineRule="auto"/>
        <w:ind w:firstLine="420"/>
        <w:jc w:val="both"/>
      </w:pPr>
      <w:r>
        <w:rPr>
          <w:rFonts w:ascii="宋体" w:hAnsi="宋体" w:eastAsia="宋体"/>
          <w:b w:val="0"/>
          <w:sz w:val="24"/>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p>
    <w:p w14:paraId="3E088B07">
      <w:pPr>
        <w:pStyle w:val="4"/>
        <w:spacing w:before="240" w:after="160"/>
      </w:pPr>
      <w:r>
        <w:rPr>
          <w:rFonts w:ascii="黑体" w:hAnsi="黑体" w:eastAsia="黑体"/>
          <w:b/>
          <w:sz w:val="32"/>
        </w:rPr>
        <w:t>4.1.2 选择性借鉴：李贽等异端思想家的独特视角</w:t>
      </w:r>
    </w:p>
    <w:p w14:paraId="6EB0A95D">
      <w:pPr>
        <w:spacing w:line="360" w:lineRule="auto"/>
        <w:ind w:firstLine="420"/>
        <w:jc w:val="both"/>
      </w:pPr>
      <w:r>
        <w:rPr>
          <w:rFonts w:ascii="宋体" w:hAnsi="宋体" w:eastAsia="宋体"/>
          <w:b w:val="0"/>
          <w:sz w:val="24"/>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p>
    <w:p w14:paraId="45A1B785">
      <w:pPr>
        <w:pStyle w:val="4"/>
        <w:spacing w:before="240" w:after="160"/>
      </w:pPr>
      <w:r>
        <w:rPr>
          <w:rFonts w:ascii="黑体" w:hAnsi="黑体" w:eastAsia="黑体"/>
          <w:b/>
          <w:sz w:val="32"/>
        </w:rPr>
        <w:t>4.1.3 批判性拒绝：黄宗羲与明清之际的反教浪潮</w:t>
      </w:r>
    </w:p>
    <w:p w14:paraId="0D0F6BCC">
      <w:pPr>
        <w:spacing w:line="360" w:lineRule="auto"/>
        <w:ind w:firstLine="420"/>
        <w:jc w:val="both"/>
      </w:pPr>
      <w:r>
        <w:rPr>
          <w:rFonts w:ascii="宋体" w:hAnsi="宋体" w:eastAsia="宋体"/>
          <w:b w:val="0"/>
          <w:sz w:val="24"/>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p>
    <w:p w14:paraId="3E2C6AAE">
      <w:pPr>
        <w:pStyle w:val="4"/>
        <w:spacing w:before="240" w:after="160"/>
      </w:pPr>
      <w:r>
        <w:rPr>
          <w:rFonts w:ascii="黑体" w:hAnsi="黑体" w:eastAsia="黑体"/>
          <w:b/>
          <w:sz w:val="32"/>
        </w:rPr>
        <w:t>4.1.4 三种模式的方法论启示</w:t>
      </w:r>
    </w:p>
    <w:p w14:paraId="510F2431">
      <w:pPr>
        <w:spacing w:line="360" w:lineRule="auto"/>
        <w:ind w:firstLine="420"/>
        <w:jc w:val="both"/>
      </w:pPr>
      <w:r>
        <w:rPr>
          <w:rFonts w:ascii="宋体" w:hAnsi="宋体" w:eastAsia="宋体"/>
          <w:b w:val="0"/>
          <w:sz w:val="24"/>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p>
    <w:p w14:paraId="79C2C43B">
      <w:pPr>
        <w:pStyle w:val="4"/>
        <w:spacing w:before="240" w:after="160"/>
      </w:pPr>
      <w:r>
        <w:rPr>
          <w:rFonts w:ascii="黑体" w:hAnsi="黑体" w:eastAsia="黑体"/>
          <w:b/>
          <w:sz w:val="32"/>
        </w:rPr>
        <w:t>4.2 “创造性误解”的机制分析</w:t>
      </w:r>
    </w:p>
    <w:p w14:paraId="229B73EA">
      <w:pPr>
        <w:spacing w:line="360" w:lineRule="auto"/>
        <w:ind w:firstLine="420"/>
        <w:jc w:val="both"/>
      </w:pPr>
      <w:r>
        <w:rPr>
          <w:rFonts w:ascii="宋体" w:hAnsi="宋体" w:eastAsia="宋体"/>
          <w:b w:val="0"/>
          <w:sz w:val="24"/>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p>
    <w:p w14:paraId="437C85FE">
      <w:pPr>
        <w:pStyle w:val="4"/>
        <w:spacing w:before="240" w:after="160"/>
      </w:pPr>
      <w:r>
        <w:rPr>
          <w:rFonts w:ascii="黑体" w:hAnsi="黑体" w:eastAsia="黑体"/>
          <w:b/>
          <w:sz w:val="32"/>
        </w:rPr>
        <w:t>4.2.1 “前理解”的结构性制约：接受者为何必然“误读”</w:t>
      </w:r>
    </w:p>
    <w:p w14:paraId="0278004D">
      <w:pPr>
        <w:spacing w:line="360" w:lineRule="auto"/>
        <w:ind w:firstLine="420"/>
        <w:jc w:val="both"/>
      </w:pPr>
      <w:r>
        <w:rPr>
          <w:rFonts w:ascii="宋体" w:hAnsi="宋体" w:eastAsia="宋体"/>
          <w:b w:val="0"/>
          <w:sz w:val="24"/>
        </w:rPr>
        <w:t>德国哲学家伽达默尔（Hans-Georg Gadamer）在《真理与方法》中指出，任何理解都必然带着理解者自身的“前理解”（Vorverständnis）——由文化传统、语言结构和历史境遇共同构成。它既是理解的必要条件，也是理解的限度所在。</w:t>
      </w:r>
    </w:p>
    <w:p w14:paraId="5063B0F3">
      <w:pPr>
        <w:spacing w:line="360" w:lineRule="auto"/>
        <w:ind w:firstLine="420"/>
        <w:jc w:val="both"/>
      </w:pPr>
      <w:r>
        <w:rPr>
          <w:rFonts w:ascii="宋体" w:hAnsi="宋体" w:eastAsia="宋体"/>
          <w:b w:val="0"/>
          <w:sz w:val="24"/>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p>
    <w:p w14:paraId="2C41844A">
      <w:pPr>
        <w:pStyle w:val="4"/>
        <w:spacing w:before="240" w:after="160"/>
      </w:pPr>
      <w:r>
        <w:rPr>
          <w:rFonts w:ascii="黑体" w:hAnsi="黑体" w:eastAsia="黑体"/>
          <w:b/>
          <w:sz w:val="32"/>
        </w:rPr>
        <w:t>4.2.2 “意义的游移”：从作者意图到接受者意义的滑移</w:t>
      </w:r>
    </w:p>
    <w:p w14:paraId="4E68BEFC">
      <w:pPr>
        <w:spacing w:line="360" w:lineRule="auto"/>
        <w:ind w:firstLine="420"/>
        <w:jc w:val="both"/>
      </w:pPr>
      <w:r>
        <w:rPr>
          <w:rFonts w:ascii="宋体" w:hAnsi="宋体" w:eastAsia="宋体"/>
          <w:b w:val="0"/>
          <w:sz w:val="24"/>
        </w:rPr>
        <w:t>解释学传统中的“意义游移”（slippage of meaning）揭示了一个基本事实：当信息从发送者传递到接收者时，意义总会发生偏移。在跨文化传播中，由于双方处于不同的文化系统，这种偏移的幅度往往更大。</w:t>
      </w:r>
    </w:p>
    <w:p w14:paraId="3FAB232F">
      <w:pPr>
        <w:spacing w:line="360" w:lineRule="auto"/>
        <w:ind w:firstLine="420"/>
        <w:jc w:val="both"/>
      </w:pPr>
      <w:r>
        <w:rPr>
          <w:rFonts w:ascii="宋体" w:hAnsi="宋体" w:eastAsia="宋体"/>
          <w:b w:val="0"/>
          <w:sz w:val="24"/>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p>
    <w:p w14:paraId="49F7861E">
      <w:pPr>
        <w:pStyle w:val="4"/>
        <w:spacing w:before="240" w:after="160"/>
      </w:pPr>
      <w:r>
        <w:rPr>
          <w:rFonts w:ascii="黑体" w:hAnsi="黑体" w:eastAsia="黑体"/>
          <w:b/>
          <w:sz w:val="32"/>
        </w:rPr>
        <w:t>4.2.3 “创造性误解”的历史效果：新思想的诞生</w:t>
      </w:r>
    </w:p>
    <w:p w14:paraId="4660A80E">
      <w:pPr>
        <w:spacing w:line="360" w:lineRule="auto"/>
        <w:ind w:firstLine="420"/>
        <w:jc w:val="both"/>
      </w:pPr>
      <w:r>
        <w:rPr>
          <w:rFonts w:ascii="宋体" w:hAnsi="宋体" w:eastAsia="宋体"/>
          <w:b w:val="0"/>
          <w:sz w:val="24"/>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p>
    <w:p w14:paraId="12B97986">
      <w:pPr>
        <w:spacing w:line="360" w:lineRule="auto"/>
        <w:ind w:firstLine="420"/>
        <w:jc w:val="both"/>
      </w:pPr>
      <w:r>
        <w:rPr>
          <w:rFonts w:ascii="宋体" w:hAnsi="宋体" w:eastAsia="宋体"/>
          <w:b w:val="0"/>
          <w:sz w:val="24"/>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p>
    <w:p w14:paraId="2BB0E93D">
      <w:pPr>
        <w:pStyle w:val="4"/>
        <w:spacing w:before="240" w:after="160"/>
      </w:pPr>
      <w:r>
        <w:rPr>
          <w:rFonts w:ascii="黑体" w:hAnsi="黑体" w:eastAsia="黑体"/>
          <w:b/>
          <w:sz w:val="32"/>
        </w:rPr>
        <w:t>4.2.4 “误解”作为跨文化传播的常态与动力</w:t>
      </w:r>
    </w:p>
    <w:p w14:paraId="6C76B2B1">
      <w:pPr>
        <w:spacing w:line="360" w:lineRule="auto"/>
        <w:ind w:firstLine="420"/>
        <w:jc w:val="both"/>
      </w:pPr>
      <w:r>
        <w:rPr>
          <w:rFonts w:ascii="宋体" w:hAnsi="宋体" w:eastAsia="宋体"/>
          <w:b w:val="0"/>
          <w:sz w:val="24"/>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p>
    <w:p w14:paraId="591D7850">
      <w:pPr>
        <w:pStyle w:val="4"/>
        <w:spacing w:before="240" w:after="160"/>
      </w:pPr>
      <w:r>
        <w:rPr>
          <w:rFonts w:ascii="黑体" w:hAnsi="黑体" w:eastAsia="黑体"/>
          <w:b/>
          <w:sz w:val="32"/>
        </w:rPr>
        <w:t>4.3 从“礼仪之争”到思想遗产</w:t>
      </w:r>
    </w:p>
    <w:p w14:paraId="31CC36D7">
      <w:pPr>
        <w:spacing w:line="360" w:lineRule="auto"/>
        <w:ind w:firstLine="420"/>
        <w:jc w:val="both"/>
      </w:pPr>
      <w:r>
        <w:rPr>
          <w:rFonts w:ascii="宋体" w:hAnsi="宋体" w:eastAsia="宋体"/>
          <w:b w:val="0"/>
          <w:sz w:val="24"/>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p>
    <w:p w14:paraId="6B56CB18">
      <w:pPr>
        <w:pStyle w:val="4"/>
        <w:spacing w:before="240" w:after="160"/>
      </w:pPr>
      <w:r>
        <w:rPr>
          <w:rFonts w:ascii="黑体" w:hAnsi="黑体" w:eastAsia="黑体"/>
          <w:b/>
          <w:sz w:val="32"/>
        </w:rPr>
        <w:t>4.3.1 “礼仪之争”中的核心分歧：两个关键问题的回响</w:t>
      </w:r>
    </w:p>
    <w:p w14:paraId="525E250B">
      <w:pPr>
        <w:spacing w:line="360" w:lineRule="auto"/>
        <w:ind w:firstLine="420"/>
        <w:jc w:val="both"/>
      </w:pPr>
      <w:r>
        <w:rPr>
          <w:rFonts w:ascii="宋体" w:hAnsi="宋体" w:eastAsia="宋体"/>
          <w:b w:val="0"/>
          <w:sz w:val="24"/>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p>
    <w:p w14:paraId="3C6CEBFC">
      <w:pPr>
        <w:pStyle w:val="4"/>
        <w:spacing w:before="240" w:after="160"/>
      </w:pPr>
      <w:r>
        <w:rPr>
          <w:rFonts w:ascii="黑体" w:hAnsi="黑体" w:eastAsia="黑体"/>
          <w:b/>
          <w:sz w:val="32"/>
        </w:rPr>
        <w:t>4.3.2 利玛窦策略的未完成性</w:t>
      </w:r>
    </w:p>
    <w:p w14:paraId="08D55588">
      <w:pPr>
        <w:spacing w:line="360" w:lineRule="auto"/>
        <w:ind w:firstLine="420"/>
        <w:jc w:val="both"/>
      </w:pPr>
      <w:r>
        <w:rPr>
          <w:rFonts w:ascii="宋体" w:hAnsi="宋体" w:eastAsia="宋体"/>
          <w:b w:val="0"/>
          <w:sz w:val="24"/>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p>
    <w:p w14:paraId="26FAB50D">
      <w:pPr>
        <w:spacing w:line="360" w:lineRule="auto"/>
        <w:ind w:firstLine="420"/>
        <w:jc w:val="both"/>
      </w:pPr>
      <w:r>
        <w:rPr>
          <w:rFonts w:ascii="宋体" w:hAnsi="宋体" w:eastAsia="宋体"/>
          <w:b w:val="0"/>
          <w:sz w:val="24"/>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p>
    <w:p w14:paraId="77C0EECF">
      <w:pPr>
        <w:pStyle w:val="4"/>
        <w:spacing w:before="240" w:after="160"/>
      </w:pPr>
      <w:r>
        <w:rPr>
          <w:rFonts w:ascii="黑体" w:hAnsi="黑体" w:eastAsia="黑体"/>
          <w:b/>
          <w:sz w:val="32"/>
        </w:rPr>
        <w:t>4.3.3 利玛窦案例的思想遗产：跨文化对话的范式意义</w:t>
      </w:r>
    </w:p>
    <w:p w14:paraId="62D14922">
      <w:pPr>
        <w:spacing w:line="360" w:lineRule="auto"/>
        <w:ind w:firstLine="420"/>
        <w:jc w:val="both"/>
      </w:pPr>
      <w:r>
        <w:rPr>
          <w:rFonts w:ascii="宋体" w:hAnsi="宋体" w:eastAsia="宋体"/>
          <w:b w:val="0"/>
          <w:sz w:val="24"/>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p>
    <w:p w14:paraId="09C863FC">
      <w:pPr>
        <w:pStyle w:val="5"/>
        <w:spacing w:before="160" w:after="120"/>
      </w:pPr>
      <w:r>
        <w:rPr>
          <w:rFonts w:ascii="黑体" w:hAnsi="黑体" w:eastAsia="黑体"/>
          <w:b/>
          <w:sz w:val="28"/>
        </w:rPr>
        <w:t>本章小结</w:t>
      </w:r>
    </w:p>
    <w:p w14:paraId="6087C755">
      <w:pPr>
        <w:spacing w:line="360" w:lineRule="auto"/>
        <w:ind w:firstLine="420"/>
        <w:jc w:val="both"/>
      </w:pPr>
      <w:r>
        <w:rPr>
          <w:rFonts w:ascii="宋体" w:hAnsi="宋体" w:eastAsia="宋体"/>
          <w:b w:val="0"/>
          <w:sz w:val="24"/>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p>
    <w:p w14:paraId="56960766">
      <w:pPr>
        <w:pStyle w:val="3"/>
        <w:spacing w:before="360" w:after="240"/>
      </w:pPr>
      <w:r>
        <w:rPr>
          <w:rFonts w:ascii="黑体" w:hAnsi="黑体" w:eastAsia="黑体"/>
          <w:b/>
          <w:sz w:val="36"/>
        </w:rPr>
        <w:t>第五章 历史效应与反思</w:t>
      </w:r>
    </w:p>
    <w:p w14:paraId="7A298DE4">
      <w:pPr>
        <w:pStyle w:val="4"/>
        <w:spacing w:before="240" w:after="160"/>
      </w:pPr>
      <w:r>
        <w:rPr>
          <w:rFonts w:ascii="黑体" w:hAnsi="黑体" w:eastAsia="黑体"/>
          <w:b/>
          <w:sz w:val="32"/>
        </w:rPr>
        <w:t>5.1 从“概念挪用”到“思想再生产”：利玛窦案例的历史效应</w:t>
      </w:r>
    </w:p>
    <w:p w14:paraId="77EDE882">
      <w:pPr>
        <w:spacing w:line="360" w:lineRule="auto"/>
        <w:ind w:firstLine="420"/>
        <w:jc w:val="both"/>
      </w:pPr>
      <w:r>
        <w:rPr>
          <w:rFonts w:ascii="宋体" w:hAnsi="宋体" w:eastAsia="宋体"/>
          <w:b w:val="0"/>
          <w:sz w:val="24"/>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p>
    <w:p w14:paraId="65626AA0">
      <w:pPr>
        <w:pStyle w:val="4"/>
        <w:spacing w:before="240" w:after="160"/>
      </w:pPr>
      <w:r>
        <w:rPr>
          <w:rFonts w:ascii="黑体" w:hAnsi="黑体" w:eastAsia="黑体"/>
          <w:b/>
          <w:sz w:val="32"/>
        </w:rPr>
        <w:t>5.1.1 从“挪用”到“再挪用”：接受者的二次创造</w:t>
      </w:r>
    </w:p>
    <w:p w14:paraId="3F9FB64B">
      <w:pPr>
        <w:spacing w:line="360" w:lineRule="auto"/>
        <w:ind w:firstLine="420"/>
        <w:jc w:val="both"/>
      </w:pPr>
      <w:r>
        <w:rPr>
          <w:rFonts w:ascii="宋体" w:hAnsi="宋体" w:eastAsia="宋体"/>
          <w:b w:val="0"/>
          <w:sz w:val="24"/>
        </w:rPr>
        <w:t>徐光启、李之藻、杨廷筠等人对利玛窦思想的接受，并非被动的“照单全收”，而是主动的“再创造”。这种“再创造”的过程，本质上是一种“再挪用”——接受者从自己的文化立场出发，对利玛窦已经“挪用”过的中国概念进行第二次改造。</w:t>
      </w:r>
    </w:p>
    <w:p w14:paraId="2437F6F3">
      <w:pPr>
        <w:spacing w:line="360" w:lineRule="auto"/>
        <w:ind w:firstLine="420"/>
        <w:jc w:val="both"/>
      </w:pPr>
      <w:r>
        <w:rPr>
          <w:rFonts w:ascii="宋体" w:hAnsi="宋体" w:eastAsia="宋体"/>
          <w:b w:val="0"/>
          <w:sz w:val="24"/>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p>
    <w:p w14:paraId="5B58BCA2">
      <w:pPr>
        <w:spacing w:line="360" w:lineRule="auto"/>
        <w:ind w:firstLine="420"/>
        <w:jc w:val="both"/>
      </w:pPr>
      <w:r>
        <w:rPr>
          <w:rFonts w:ascii="宋体" w:hAnsi="宋体" w:eastAsia="宋体"/>
          <w:b w:val="0"/>
          <w:sz w:val="24"/>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p>
    <w:p w14:paraId="0824A944">
      <w:pPr>
        <w:pStyle w:val="4"/>
        <w:spacing w:before="240" w:after="160"/>
      </w:pPr>
      <w:r>
        <w:rPr>
          <w:rFonts w:ascii="黑体" w:hAnsi="黑体" w:eastAsia="黑体"/>
          <w:b/>
          <w:sz w:val="32"/>
        </w:rPr>
        <w:t>5.1.2 对儒家思想的刺激与激活：明清思想转型中的西学因素</w:t>
      </w:r>
    </w:p>
    <w:p w14:paraId="5406D8A8">
      <w:pPr>
        <w:spacing w:line="360" w:lineRule="auto"/>
        <w:ind w:firstLine="420"/>
        <w:jc w:val="both"/>
      </w:pPr>
      <w:r>
        <w:rPr>
          <w:rFonts w:ascii="宋体" w:hAnsi="宋体" w:eastAsia="宋体"/>
          <w:b w:val="0"/>
          <w:sz w:val="24"/>
        </w:rPr>
        <w:t>利玛窦的“概念挪用”不仅影响了天主教的在华传播，还对儒家思想本身产生了刺激与激活作用。明清之际的思想转型虽有其内部逻辑，但西学的传入无疑为这一转型提供了重要的外部推力。</w:t>
      </w:r>
    </w:p>
    <w:p w14:paraId="6F9F5989">
      <w:pPr>
        <w:spacing w:line="360" w:lineRule="auto"/>
        <w:ind w:firstLine="420"/>
        <w:jc w:val="both"/>
      </w:pPr>
      <w:r>
        <w:rPr>
          <w:rFonts w:ascii="宋体" w:hAnsi="宋体" w:eastAsia="宋体"/>
          <w:b w:val="0"/>
          <w:sz w:val="24"/>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p>
    <w:p w14:paraId="11AADAE3">
      <w:pPr>
        <w:spacing w:line="360" w:lineRule="auto"/>
        <w:ind w:firstLine="420"/>
        <w:jc w:val="both"/>
      </w:pPr>
      <w:r>
        <w:rPr>
          <w:rFonts w:ascii="宋体" w:hAnsi="宋体" w:eastAsia="宋体"/>
          <w:b w:val="0"/>
          <w:sz w:val="24"/>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p>
    <w:p w14:paraId="3E560B48">
      <w:pPr>
        <w:spacing w:line="360" w:lineRule="auto"/>
        <w:ind w:firstLine="420"/>
        <w:jc w:val="both"/>
      </w:pPr>
      <w:r>
        <w:rPr>
          <w:rFonts w:ascii="宋体" w:hAnsi="宋体" w:eastAsia="宋体"/>
          <w:b w:val="0"/>
          <w:sz w:val="24"/>
        </w:rPr>
        <w:t>这种“科学精神”的传入，与清初“经世致用”思潮形成了良性互动。徐光启在《农政全书》中提出“欲求超胜，必先会通”的科学观；方以智在《物理小识》中引用利玛窦理论，批判“天圆地方”说，开启中国近代科学思想的先河。</w:t>
      </w:r>
    </w:p>
    <w:p w14:paraId="5ED74FB2">
      <w:pPr>
        <w:pStyle w:val="4"/>
        <w:spacing w:before="240" w:after="160"/>
      </w:pPr>
      <w:r>
        <w:rPr>
          <w:rFonts w:ascii="黑体" w:hAnsi="黑体" w:eastAsia="黑体"/>
          <w:b/>
          <w:sz w:val="32"/>
        </w:rPr>
        <w:t>5.1.3 近代中国思想史中的回响：从“中体西用”到“全盘西化”</w:t>
      </w:r>
    </w:p>
    <w:p w14:paraId="3A54326A">
      <w:pPr>
        <w:spacing w:line="360" w:lineRule="auto"/>
        <w:ind w:firstLine="420"/>
        <w:jc w:val="both"/>
      </w:pPr>
      <w:r>
        <w:rPr>
          <w:rFonts w:ascii="宋体" w:hAnsi="宋体" w:eastAsia="宋体"/>
          <w:b w:val="0"/>
          <w:sz w:val="24"/>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 ；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 。利玛窦的“适应策略”被现代天主教重新发现并加以推崇。正如哈佛大学史景迁教授所言：“利玛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p>
    <w:p w14:paraId="114B9E75">
      <w:pPr>
        <w:pStyle w:val="4"/>
        <w:spacing w:before="240" w:after="160"/>
      </w:pPr>
      <w:r>
        <w:rPr>
          <w:rFonts w:ascii="黑体" w:hAnsi="黑体" w:eastAsia="黑体"/>
          <w:b/>
          <w:sz w:val="32"/>
        </w:rPr>
        <w:t>5.2 跨文化对话中的“不可通约性”问题</w:t>
      </w:r>
    </w:p>
    <w:p w14:paraId="6E7A56BF">
      <w:pPr>
        <w:spacing w:line="360" w:lineRule="auto"/>
        <w:ind w:firstLine="420"/>
        <w:jc w:val="both"/>
      </w:pPr>
      <w:r>
        <w:rPr>
          <w:rFonts w:ascii="宋体" w:hAnsi="宋体" w:eastAsia="宋体"/>
          <w:b w:val="0"/>
          <w:sz w:val="24"/>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p>
    <w:p w14:paraId="70DF5107">
      <w:pPr>
        <w:pStyle w:val="4"/>
        <w:spacing w:before="240" w:after="160"/>
      </w:pPr>
      <w:r>
        <w:rPr>
          <w:rFonts w:ascii="黑体" w:hAnsi="黑体" w:eastAsia="黑体"/>
          <w:b/>
          <w:sz w:val="32"/>
        </w:rPr>
        <w:t>5.2.1 “不可通约性”的理论内涵及其在利玛窦案例中的体现</w:t>
      </w:r>
    </w:p>
    <w:p w14:paraId="19EC5DB5">
      <w:pPr>
        <w:spacing w:line="360" w:lineRule="auto"/>
        <w:ind w:firstLine="420"/>
        <w:jc w:val="both"/>
      </w:pPr>
      <w:r>
        <w:rPr>
          <w:rFonts w:ascii="宋体" w:hAnsi="宋体" w:eastAsia="宋体"/>
          <w:b w:val="0"/>
          <w:sz w:val="24"/>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p>
    <w:p w14:paraId="38141E8A">
      <w:pPr>
        <w:pStyle w:val="4"/>
        <w:spacing w:before="240" w:after="160"/>
      </w:pPr>
      <w:r>
        <w:rPr>
          <w:rFonts w:ascii="黑体" w:hAnsi="黑体" w:eastAsia="黑体"/>
          <w:b/>
          <w:sz w:val="32"/>
        </w:rPr>
        <w:t>5.2.2 “翻译即背离”：语言转换中的意义流失</w:t>
      </w:r>
    </w:p>
    <w:p w14:paraId="36BCA750">
      <w:pPr>
        <w:spacing w:line="360" w:lineRule="auto"/>
        <w:ind w:firstLine="420"/>
        <w:jc w:val="both"/>
      </w:pPr>
      <w:r>
        <w:rPr>
          <w:rFonts w:ascii="宋体" w:hAnsi="宋体" w:eastAsia="宋体"/>
          <w:b w:val="0"/>
          <w:sz w:val="24"/>
        </w:rPr>
        <w:t>与“不可通约性”密切相关的另一个概念是“不可译性”——因语言结构、文化背景或思维模式差异，导致源语文本在翻译为目的语时无法被准确、完整地再现的现象。这一概念，直接切中了利玛窦“概念挪用”策略的核心困难。</w:t>
      </w:r>
    </w:p>
    <w:p w14:paraId="27803E8C">
      <w:pPr>
        <w:spacing w:line="360" w:lineRule="auto"/>
        <w:ind w:firstLine="420"/>
        <w:jc w:val="both"/>
      </w:pPr>
      <w:r>
        <w:rPr>
          <w:rFonts w:ascii="宋体" w:hAnsi="宋体" w:eastAsia="宋体"/>
          <w:b w:val="0"/>
          <w:sz w:val="24"/>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p>
    <w:p w14:paraId="3800B5C8">
      <w:pPr>
        <w:spacing w:line="360" w:lineRule="auto"/>
        <w:ind w:firstLine="420"/>
        <w:jc w:val="both"/>
      </w:pPr>
      <w:r>
        <w:rPr>
          <w:rFonts w:ascii="宋体" w:hAnsi="宋体" w:eastAsia="宋体"/>
          <w:b w:val="0"/>
          <w:sz w:val="24"/>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p>
    <w:p w14:paraId="4E830F98">
      <w:pPr>
        <w:spacing w:line="360" w:lineRule="auto"/>
        <w:ind w:firstLine="420"/>
        <w:jc w:val="both"/>
      </w:pPr>
      <w:r>
        <w:rPr>
          <w:rFonts w:ascii="宋体" w:hAnsi="宋体" w:eastAsia="宋体"/>
          <w:b w:val="0"/>
          <w:sz w:val="24"/>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p>
    <w:p w14:paraId="29A07395">
      <w:pPr>
        <w:pStyle w:val="4"/>
        <w:spacing w:before="240" w:after="160"/>
      </w:pPr>
      <w:r>
        <w:rPr>
          <w:rFonts w:ascii="黑体" w:hAnsi="黑体" w:eastAsia="黑体"/>
          <w:b/>
          <w:sz w:val="32"/>
        </w:rPr>
        <w:t>5.2.3 如何在“不可通约”中寻找“可通约”？</w:t>
      </w:r>
    </w:p>
    <w:p w14:paraId="09A7FE50">
      <w:pPr>
        <w:spacing w:line="360" w:lineRule="auto"/>
        <w:ind w:firstLine="420"/>
        <w:jc w:val="both"/>
      </w:pPr>
      <w:r>
        <w:rPr>
          <w:rFonts w:ascii="宋体" w:hAnsi="宋体" w:eastAsia="宋体"/>
          <w:b w:val="0"/>
          <w:sz w:val="24"/>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 。丁耘进一步指出：“格义对于准确地理解外来思想是不利的，但好处是在未尝触及中国学术思想传统的主体性的前提下，从另外的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既……又……”的辩证姿态，或许才是跨文化对话的成熟之道。</w:t>
      </w:r>
    </w:p>
    <w:p w14:paraId="7232352B">
      <w:pPr>
        <w:pStyle w:val="4"/>
        <w:spacing w:before="240" w:after="160"/>
      </w:pPr>
      <w:r>
        <w:rPr>
          <w:rFonts w:ascii="黑体" w:hAnsi="黑体" w:eastAsia="黑体"/>
          <w:b/>
          <w:sz w:val="32"/>
        </w:rPr>
        <w:t>5.2.4 利玛窦案例的理论启示：从“不可通约”到“视域融合”</w:t>
      </w:r>
    </w:p>
    <w:p w14:paraId="19E51BB7">
      <w:pPr>
        <w:spacing w:line="360" w:lineRule="auto"/>
        <w:ind w:firstLine="420"/>
        <w:jc w:val="both"/>
      </w:pPr>
      <w:r>
        <w:rPr>
          <w:rFonts w:ascii="宋体" w:hAnsi="宋体" w:eastAsia="宋体"/>
          <w:b w:val="0"/>
          <w:sz w:val="24"/>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p>
    <w:p w14:paraId="089A793D">
      <w:pPr>
        <w:spacing w:line="360" w:lineRule="auto"/>
        <w:ind w:firstLine="420"/>
        <w:jc w:val="both"/>
      </w:pPr>
      <w:r>
        <w:rPr>
          <w:rFonts w:ascii="宋体" w:hAnsi="宋体" w:eastAsia="宋体"/>
          <w:b w:val="0"/>
          <w:sz w:val="24"/>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p>
    <w:p w14:paraId="6C450038">
      <w:pPr>
        <w:spacing w:line="360" w:lineRule="auto"/>
        <w:ind w:firstLine="420"/>
        <w:jc w:val="both"/>
      </w:pPr>
      <w:r>
        <w:rPr>
          <w:rFonts w:ascii="宋体" w:hAnsi="宋体" w:eastAsia="宋体"/>
          <w:b w:val="0"/>
          <w:sz w:val="24"/>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p>
    <w:p w14:paraId="070E85F1">
      <w:pPr>
        <w:pStyle w:val="4"/>
        <w:spacing w:before="240" w:after="160"/>
      </w:pPr>
      <w:r>
        <w:rPr>
          <w:rFonts w:ascii="黑体" w:hAnsi="黑体" w:eastAsia="黑体"/>
          <w:b/>
          <w:sz w:val="32"/>
        </w:rPr>
        <w:t>5.3 从案例到原则：文明互鉴的方法论提炼</w:t>
      </w:r>
    </w:p>
    <w:p w14:paraId="10DCEDA1">
      <w:pPr>
        <w:spacing w:line="360" w:lineRule="auto"/>
        <w:ind w:firstLine="420"/>
        <w:jc w:val="both"/>
      </w:pPr>
      <w:r>
        <w:rPr>
          <w:rFonts w:ascii="宋体" w:hAnsi="宋体" w:eastAsia="宋体"/>
          <w:b w:val="0"/>
          <w:sz w:val="24"/>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p>
    <w:p w14:paraId="68DCB96E">
      <w:pPr>
        <w:pStyle w:val="4"/>
        <w:spacing w:before="240" w:after="160"/>
      </w:pPr>
      <w:r>
        <w:rPr>
          <w:rFonts w:ascii="黑体" w:hAnsi="黑体" w:eastAsia="黑体"/>
          <w:b/>
          <w:sz w:val="32"/>
        </w:rPr>
        <w:t>5.3.1 原则一：文化适应与身份重构</w:t>
      </w:r>
    </w:p>
    <w:p w14:paraId="707AAC29">
      <w:pPr>
        <w:spacing w:line="360" w:lineRule="auto"/>
        <w:ind w:firstLine="420"/>
        <w:jc w:val="both"/>
      </w:pPr>
      <w:r>
        <w:rPr>
          <w:rFonts w:ascii="宋体" w:hAnsi="宋体" w:eastAsia="宋体"/>
          <w:b w:val="0"/>
          <w:sz w:val="24"/>
        </w:rPr>
        <w:t>利玛窦案例最核心的启示在于“文化适应”策略。他初入中国时身着僧袍，自称“西僧”，却很快发现僧侣在中国社会地位远低于儒家士大夫 。于是，在弟子瞿汝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p>
    <w:p w14:paraId="24D9DEF2">
      <w:pPr>
        <w:pStyle w:val="4"/>
        <w:spacing w:before="240" w:after="160"/>
      </w:pPr>
      <w:r>
        <w:rPr>
          <w:rFonts w:ascii="黑体" w:hAnsi="黑体" w:eastAsia="黑体"/>
          <w:b/>
          <w:sz w:val="32"/>
        </w:rPr>
        <w:t>5.3.2 原则二：双向互惠与知识共建</w:t>
      </w:r>
    </w:p>
    <w:p w14:paraId="3EB1AE34">
      <w:pPr>
        <w:spacing w:line="360" w:lineRule="auto"/>
        <w:ind w:firstLine="420"/>
        <w:jc w:val="both"/>
      </w:pPr>
      <w:r>
        <w:rPr>
          <w:rFonts w:ascii="宋体" w:hAnsi="宋体" w:eastAsia="宋体"/>
          <w:b w:val="0"/>
          <w:sz w:val="24"/>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Lippiello）所指出的：“我们应该研究文明之间的亲和力，而不是过多强调差异……我们应该致力于不同价值观的分享，而不是取而代之。” 真正的互鉴，是双方都因对方的存在而变得更加丰富。 利玛窦与徐光启合译《几何原本》，利玛窦获得了在中国传播学术的合法性，徐光启则接触到了全新的科学体系——这是双赢的典范。</w:t>
      </w:r>
    </w:p>
    <w:p w14:paraId="333AC02A">
      <w:pPr>
        <w:pStyle w:val="4"/>
        <w:spacing w:before="240" w:after="160"/>
      </w:pPr>
      <w:r>
        <w:rPr>
          <w:rFonts w:ascii="黑体" w:hAnsi="黑体" w:eastAsia="黑体"/>
          <w:b/>
          <w:sz w:val="32"/>
        </w:rPr>
        <w:t>5.3.3 原则三：和而不同与求同存异</w:t>
      </w:r>
    </w:p>
    <w:p w14:paraId="1381F67A">
      <w:pPr>
        <w:spacing w:line="360" w:lineRule="auto"/>
        <w:ind w:firstLine="420"/>
        <w:jc w:val="both"/>
      </w:pPr>
      <w:r>
        <w:rPr>
          <w:rFonts w:ascii="宋体" w:hAnsi="宋体" w:eastAsia="宋体"/>
          <w:b w:val="0"/>
          <w:sz w:val="24"/>
        </w:rPr>
        <w:t>“和而不同”是中华文明处理差异的核心智慧，也是文明互鉴的根本原则。南宋鹅湖之会上，朱熹与陆九渊激烈论辩三日，事后朱熹却诚邀陆九渊赴白鹿洞书院讲学，陆九渊的演讲令听者“多有泣下”，朱熹“为之避席称善” 。这种“在分歧中保持尊重”的精神，穿透了数百年的时光。 在当代语境下，这种精神转化为对文明多样性的自觉维护。正如泰国前副总理披尼·扎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p>
    <w:p w14:paraId="7886DD58">
      <w:pPr>
        <w:pStyle w:val="4"/>
        <w:spacing w:before="240" w:after="160"/>
      </w:pPr>
      <w:r>
        <w:rPr>
          <w:rFonts w:ascii="黑体" w:hAnsi="黑体" w:eastAsia="黑体"/>
          <w:b/>
          <w:sz w:val="32"/>
        </w:rPr>
        <w:t>5.3.4 原则四：制度化保障与代际传承</w:t>
      </w:r>
    </w:p>
    <w:p w14:paraId="670A1E13">
      <w:pPr>
        <w:spacing w:line="360" w:lineRule="auto"/>
        <w:ind w:firstLine="420"/>
        <w:jc w:val="both"/>
      </w:pPr>
      <w:r>
        <w:rPr>
          <w:rFonts w:ascii="宋体" w:hAnsi="宋体" w:eastAsia="宋体"/>
          <w:b w:val="0"/>
          <w:sz w:val="24"/>
        </w:rPr>
        <w:t>利玛窦与徐光启的交往，本质上是个体与个体之间的信任缔结。而当代的文明互鉴，已经发展出更为制度化、常态化的形式。从白鹿洞书院与韩国陶山书院的定期学术交流 ，到复旦大学设立的“利玛窦—徐光启文明对话研究中心”，再到那不勒斯中华书院历经数百年演变成为今天的东方大学——这些机构平台为跨文化对话提供了稳定、持续的保障。 尤为重要的是代际传承。利玛窦最初在中国传教时，其服饰转变得到了传教团负责人范礼安的支持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入彼此的生活环境，和当地人成为朋友。” 文明互鉴的生命力，最终取决于一代又一代人的接续努力。</w:t>
      </w:r>
    </w:p>
    <w:p w14:paraId="7B7194D0">
      <w:pPr>
        <w:pStyle w:val="4"/>
        <w:spacing w:before="240" w:after="160"/>
      </w:pPr>
      <w:r>
        <w:rPr>
          <w:rFonts w:ascii="黑体" w:hAnsi="黑体" w:eastAsia="黑体"/>
          <w:b/>
          <w:sz w:val="32"/>
        </w:rPr>
        <w:t>5.4 文明互鉴的当代挑战与应对</w:t>
      </w:r>
    </w:p>
    <w:p w14:paraId="12AEC709">
      <w:pPr>
        <w:spacing w:line="360" w:lineRule="auto"/>
        <w:ind w:firstLine="420"/>
        <w:jc w:val="both"/>
      </w:pPr>
      <w:r>
        <w:rPr>
          <w:rFonts w:ascii="宋体" w:hAnsi="宋体" w:eastAsia="宋体"/>
          <w:b w:val="0"/>
          <w:sz w:val="24"/>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p>
    <w:p w14:paraId="71DA1FD5">
      <w:pPr>
        <w:pStyle w:val="4"/>
        <w:spacing w:before="240" w:after="160"/>
      </w:pPr>
      <w:r>
        <w:rPr>
          <w:rFonts w:ascii="黑体" w:hAnsi="黑体" w:eastAsia="黑体"/>
          <w:b/>
          <w:sz w:val="32"/>
        </w:rPr>
        <w:t>5.4.1 挑战一：文化焦虑与身份政治的张力</w:t>
      </w:r>
    </w:p>
    <w:p w14:paraId="4012062A">
      <w:pPr>
        <w:spacing w:line="360" w:lineRule="auto"/>
        <w:ind w:firstLine="420"/>
        <w:jc w:val="both"/>
      </w:pPr>
      <w:r>
        <w:rPr>
          <w:rFonts w:ascii="宋体" w:hAnsi="宋体" w:eastAsia="宋体"/>
          <w:b w:val="0"/>
          <w:sz w:val="24"/>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p>
    <w:p w14:paraId="7EC5ED01">
      <w:pPr>
        <w:spacing w:line="360" w:lineRule="auto"/>
        <w:ind w:firstLine="420"/>
        <w:jc w:val="both"/>
      </w:pPr>
      <w:r>
        <w:rPr>
          <w:rFonts w:ascii="宋体" w:hAnsi="宋体" w:eastAsia="宋体"/>
          <w:b w:val="0"/>
          <w:sz w:val="24"/>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p>
    <w:p w14:paraId="16FB5C1B">
      <w:pPr>
        <w:pStyle w:val="4"/>
        <w:spacing w:before="240" w:after="160"/>
      </w:pPr>
      <w:r>
        <w:rPr>
          <w:rFonts w:ascii="黑体" w:hAnsi="黑体" w:eastAsia="黑体"/>
          <w:b/>
          <w:sz w:val="32"/>
        </w:rPr>
        <w:t>5.4.2 挑战二：数字时代的“信息茧房”与认知壁垒</w:t>
      </w:r>
    </w:p>
    <w:p w14:paraId="684CF5C9">
      <w:pPr>
        <w:spacing w:line="360" w:lineRule="auto"/>
        <w:ind w:firstLine="420"/>
        <w:jc w:val="both"/>
      </w:pPr>
      <w:r>
        <w:rPr>
          <w:rFonts w:ascii="宋体" w:hAnsi="宋体" w:eastAsia="宋体"/>
          <w:b w:val="0"/>
          <w:sz w:val="24"/>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p>
    <w:p w14:paraId="307E1073">
      <w:pPr>
        <w:pStyle w:val="4"/>
        <w:spacing w:before="240" w:after="160"/>
      </w:pPr>
      <w:r>
        <w:rPr>
          <w:rFonts w:ascii="黑体" w:hAnsi="黑体" w:eastAsia="黑体"/>
          <w:b/>
          <w:sz w:val="32"/>
        </w:rPr>
        <w:t>5.4.3 挑战三：从“精英对话”到“大众互鉴”的拓展</w:t>
      </w:r>
    </w:p>
    <w:p w14:paraId="0302F979">
      <w:pPr>
        <w:spacing w:line="360" w:lineRule="auto"/>
        <w:ind w:firstLine="420"/>
        <w:jc w:val="both"/>
      </w:pPr>
      <w:r>
        <w:rPr>
          <w:rFonts w:ascii="宋体" w:hAnsi="宋体" w:eastAsia="宋体"/>
          <w:b w:val="0"/>
          <w:sz w:val="24"/>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p>
    <w:p w14:paraId="1855D261">
      <w:pPr>
        <w:pStyle w:val="4"/>
        <w:spacing w:before="240" w:after="160"/>
      </w:pPr>
      <w:r>
        <w:rPr>
          <w:rFonts w:ascii="黑体" w:hAnsi="黑体" w:eastAsia="黑体"/>
          <w:b/>
          <w:sz w:val="32"/>
        </w:rPr>
        <w:t>5.5 从互鉴到融合：文明共同体的构建之路</w:t>
      </w:r>
    </w:p>
    <w:p w14:paraId="6B2AAD30">
      <w:pPr>
        <w:spacing w:line="360" w:lineRule="auto"/>
        <w:ind w:firstLine="420"/>
        <w:jc w:val="both"/>
      </w:pPr>
      <w:r>
        <w:rPr>
          <w:rFonts w:ascii="宋体" w:hAnsi="宋体" w:eastAsia="宋体"/>
          <w:b w:val="0"/>
          <w:sz w:val="24"/>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p>
    <w:p w14:paraId="56EEB60F">
      <w:pPr>
        <w:spacing w:line="360" w:lineRule="auto"/>
        <w:ind w:firstLine="420"/>
        <w:jc w:val="both"/>
      </w:pPr>
      <w:r>
        <w:rPr>
          <w:rFonts w:ascii="宋体" w:hAnsi="宋体" w:eastAsia="宋体"/>
          <w:b w:val="0"/>
          <w:sz w:val="24"/>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p>
    <w:p w14:paraId="34690CA8">
      <w:pPr>
        <w:pStyle w:val="3"/>
        <w:spacing w:before="360" w:after="240"/>
      </w:pPr>
      <w:r>
        <w:rPr>
          <w:rFonts w:ascii="黑体" w:hAnsi="黑体" w:eastAsia="黑体"/>
          <w:b/>
          <w:sz w:val="36"/>
        </w:rPr>
        <w:t>第六章 结语</w:t>
      </w:r>
    </w:p>
    <w:p w14:paraId="7F5F2B22">
      <w:pPr>
        <w:spacing w:line="360" w:lineRule="auto"/>
        <w:ind w:firstLine="420"/>
        <w:jc w:val="both"/>
      </w:pPr>
      <w:r>
        <w:rPr>
          <w:rFonts w:ascii="宋体" w:hAnsi="宋体" w:eastAsia="宋体"/>
          <w:b w:val="0"/>
          <w:sz w:val="24"/>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p>
    <w:p w14:paraId="5BFAE626">
      <w:pPr>
        <w:pStyle w:val="4"/>
        <w:spacing w:before="240" w:after="160"/>
      </w:pPr>
      <w:r>
        <w:rPr>
          <w:rFonts w:ascii="黑体" w:hAnsi="黑体" w:eastAsia="黑体"/>
          <w:b/>
          <w:sz w:val="32"/>
        </w:rPr>
        <w:t>6.1 总结全文：一场“置换核心”的哲学工程</w:t>
      </w:r>
    </w:p>
    <w:p w14:paraId="7CC832BC">
      <w:pPr>
        <w:spacing w:line="360" w:lineRule="auto"/>
        <w:ind w:firstLine="420"/>
        <w:jc w:val="both"/>
      </w:pPr>
      <w:r>
        <w:rPr>
          <w:rFonts w:ascii="宋体" w:hAnsi="宋体" w:eastAsia="宋体"/>
          <w:b w:val="0"/>
          <w:sz w:val="24"/>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p>
    <w:p w14:paraId="23ECCC3F">
      <w:pPr>
        <w:pStyle w:val="4"/>
        <w:spacing w:before="240" w:after="160"/>
      </w:pPr>
      <w:r>
        <w:rPr>
          <w:rFonts w:ascii="黑体" w:hAnsi="黑体" w:eastAsia="黑体"/>
          <w:b/>
          <w:sz w:val="32"/>
        </w:rPr>
        <w:t>6.2 定性评价：一场跨文明的“化学反应”</w:t>
      </w:r>
    </w:p>
    <w:p w14:paraId="206978FE">
      <w:pPr>
        <w:spacing w:line="360" w:lineRule="auto"/>
        <w:ind w:firstLine="420"/>
        <w:jc w:val="both"/>
      </w:pPr>
      <w:r>
        <w:rPr>
          <w:rFonts w:ascii="宋体" w:hAnsi="宋体" w:eastAsia="宋体"/>
          <w:b w:val="0"/>
          <w:sz w:val="24"/>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p>
    <w:p w14:paraId="194E3F4B">
      <w:pPr>
        <w:pStyle w:val="4"/>
        <w:spacing w:before="240" w:after="160"/>
      </w:pPr>
      <w:r>
        <w:rPr>
          <w:rFonts w:ascii="黑体" w:hAnsi="黑体" w:eastAsia="黑体"/>
          <w:b/>
          <w:sz w:val="32"/>
        </w:rPr>
        <w:t>6.3 最终升华：深度对话的灵魂叩问</w:t>
      </w:r>
    </w:p>
    <w:p w14:paraId="4E040DB5">
      <w:pPr>
        <w:spacing w:line="360" w:lineRule="auto"/>
        <w:ind w:firstLine="420"/>
        <w:jc w:val="both"/>
      </w:pPr>
      <w:r>
        <w:rPr>
          <w:rFonts w:ascii="宋体" w:hAnsi="宋体" w:eastAsia="宋体"/>
          <w:b w:val="0"/>
          <w:sz w:val="24"/>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p>
    <w:p w14:paraId="3BD87E01">
      <w:r>
        <w:br w:type="page"/>
      </w:r>
    </w:p>
    <w:p w14:paraId="45DD8CDF">
      <w:pPr>
        <w:pStyle w:val="3"/>
        <w:spacing w:before="360" w:after="240"/>
      </w:pPr>
      <w:r>
        <w:rPr>
          <w:rFonts w:ascii="黑体" w:hAnsi="黑体" w:eastAsia="黑体"/>
          <w:b/>
          <w:sz w:val="36"/>
        </w:rPr>
        <w:t>参考文献</w:t>
      </w:r>
    </w:p>
    <w:p w14:paraId="33D9CBC7">
      <w:pPr>
        <w:jc w:val="both"/>
      </w:pPr>
      <w:r>
        <w:rPr>
          <w:b/>
        </w:rPr>
        <w:t>一、典籍类</w:t>
      </w:r>
    </w:p>
    <w:p w14:paraId="18705ABF">
      <w:pPr>
        <w:jc w:val="both"/>
      </w:pPr>
      <w:r>
        <w:t>[1] 朱熹. 朱子语类[M]. 北京: 中华书局, 1986.</w:t>
      </w:r>
    </w:p>
    <w:p w14:paraId="6DE21938">
      <w:pPr>
        <w:jc w:val="both"/>
      </w:pPr>
      <w:r>
        <w:t>[2] 周敦颐. 周敦颐集[M]. 北京: 中华书局, 2009.</w:t>
      </w:r>
    </w:p>
    <w:p w14:paraId="0C54F3D1">
      <w:pPr>
        <w:jc w:val="both"/>
      </w:pPr>
      <w:r>
        <w:t>[3] 程颢, 程颐. 二程遗书[M]. 上海: 上海古籍出版社, 2000.</w:t>
      </w:r>
    </w:p>
    <w:p w14:paraId="692CA273">
      <w:pPr>
        <w:jc w:val="both"/>
      </w:pPr>
      <w:r>
        <w:t>[4] 张载. 张载集[M]. 北京: 中华书局, 1978.</w:t>
      </w:r>
    </w:p>
    <w:p w14:paraId="1D768CCA">
      <w:pPr>
        <w:jc w:val="both"/>
      </w:pPr>
      <w:r>
        <w:t>[5] 朱熹. 四书章句集注[M]. 北京: 中华书局, 1983.</w:t>
      </w:r>
    </w:p>
    <w:p w14:paraId="3D9F497C">
      <w:pPr>
        <w:jc w:val="both"/>
      </w:pPr>
      <w:r>
        <w:t>[6] 朱熹. 周易本义[M]. 北京: 中华书局, 2009.</w:t>
      </w:r>
    </w:p>
    <w:p w14:paraId="01DE3C72">
      <w:pPr>
        <w:jc w:val="both"/>
      </w:pPr>
      <w:r>
        <w:t>[7] 王阳明. 传习录[M]. 上海: 上海古籍出版社, 1992.</w:t>
      </w:r>
    </w:p>
    <w:p w14:paraId="2AFE3B2F">
      <w:pPr>
        <w:jc w:val="both"/>
      </w:pPr>
      <w:r>
        <w:t>[8] 黄宗羲. 明儒学案[M]. 北京: 中华书局, 2008.</w:t>
      </w:r>
    </w:p>
    <w:p w14:paraId="7B51ACEB">
      <w:pPr>
        <w:jc w:val="both"/>
      </w:pPr>
      <w:r>
        <w:t>[9] 黄宗羲. 明夷待访录[M]. 北京: 中华书局, 2011.</w:t>
      </w:r>
    </w:p>
    <w:p w14:paraId="6EE61761">
      <w:pPr>
        <w:jc w:val="both"/>
      </w:pPr>
      <w:r>
        <w:t>[10] 徐光启. 农政全书[M]. 上海: 上海古籍出版社, 1979.</w:t>
      </w:r>
    </w:p>
    <w:p w14:paraId="39D2064B">
      <w:pPr>
        <w:jc w:val="both"/>
      </w:pPr>
      <w:r>
        <w:rPr>
          <w:b/>
        </w:rPr>
        <w:t>二、中外著作类</w:t>
      </w:r>
    </w:p>
    <w:p w14:paraId="0DDD6582">
      <w:pPr>
        <w:jc w:val="both"/>
      </w:pPr>
      <w:r>
        <w:t>[11] 利玛窦. 天主实义[A]. 利玛窦中文著译集[C]. 上海: 复旦大学出版社, 2001.</w:t>
      </w:r>
    </w:p>
    <w:p w14:paraId="7F0E4528">
      <w:pPr>
        <w:jc w:val="both"/>
      </w:pPr>
      <w:r>
        <w:t>[12] 利玛窦, 金尼阁. 利玛窦中国札记[M]. 何高济, 王遵仲, 李申, 译. 北京: 中华书局, 1983.</w:t>
      </w:r>
    </w:p>
    <w:p w14:paraId="070ED479">
      <w:pPr>
        <w:jc w:val="both"/>
      </w:pPr>
      <w:r>
        <w:t>[13] 谢和耐(J. Gernet). 中国与基督教：一种文化的冲突[M]. 耿昇, 译. 上海: 上海古籍出版社, 2003.</w:t>
      </w:r>
    </w:p>
    <w:p w14:paraId="7362E33F">
      <w:pPr>
        <w:jc w:val="both"/>
      </w:pPr>
      <w:r>
        <w:t>[14] 蒙培元. 理学范畴系统[M]. 北京: 人民出版社, 1989.</w:t>
      </w:r>
    </w:p>
    <w:p w14:paraId="62F0A4E4">
      <w:pPr>
        <w:jc w:val="both"/>
      </w:pPr>
      <w:r>
        <w:t>[15] 蒙培元. 理学的演变——从朱熹到王夫之、戴震[M]. 北京: 中国人民大学出版社, 2010.</w:t>
      </w:r>
    </w:p>
    <w:p w14:paraId="05337B1A">
      <w:pPr>
        <w:jc w:val="both"/>
      </w:pPr>
      <w:r>
        <w:t>[16] 朱谦之. 中国哲学对欧洲的影响[M]. 石家庄: 河北人民出版社, 2004.</w:t>
      </w:r>
    </w:p>
    <w:p w14:paraId="2A597A01">
      <w:pPr>
        <w:jc w:val="both"/>
      </w:pPr>
      <w:r>
        <w:t>[17] 张之洞. 劝学篇[M]. 武汉: 湖北人民出版社, 2012.</w:t>
      </w:r>
    </w:p>
    <w:p w14:paraId="42C2B32D">
      <w:pPr>
        <w:jc w:val="both"/>
      </w:pPr>
      <w:r>
        <w:t>[18] 徐宗泽. 中国天主教传教史概论[M]. 台北: 台湾商务印书馆, 1938/1991年重印.</w:t>
      </w:r>
    </w:p>
    <w:p w14:paraId="25365B1F">
      <w:pPr>
        <w:jc w:val="both"/>
      </w:pPr>
      <w:r>
        <w:t>[19] 李天纲. 中国礼仪之争——历史、文献和意义[M]. 上海: 上海古籍出版社, 1998.</w:t>
      </w:r>
    </w:p>
    <w:p w14:paraId="7EFC784D">
      <w:pPr>
        <w:jc w:val="both"/>
      </w:pPr>
      <w:r>
        <w:t>[20] 孙尚扬. 基督教与明末儒学[M]. 北京: 东方出版社, 1994.</w:t>
      </w:r>
    </w:p>
    <w:p w14:paraId="3CFF8B78">
      <w:pPr>
        <w:jc w:val="both"/>
      </w:pPr>
      <w:r>
        <w:t>[21] 张西平. 中国与欧洲早期宗教和哲学交流史[M]. 北京: 东方出版社, 2001.</w:t>
      </w:r>
    </w:p>
    <w:p w14:paraId="1F333298">
      <w:pPr>
        <w:jc w:val="both"/>
      </w:pPr>
      <w:r>
        <w:t>[22] 任继愈主编. 中国哲学发展史（宋元卷）[M]. 北京: 人民出版社, 1989.</w:t>
      </w:r>
    </w:p>
    <w:p w14:paraId="4DD345F1">
      <w:pPr>
        <w:jc w:val="both"/>
      </w:pPr>
      <w:r>
        <w:t>[23] 冯友兰. 中国哲学史（下册）[M]. 北京: 中华书局, 1961.</w:t>
      </w:r>
    </w:p>
    <w:p w14:paraId="2C139E1D">
      <w:pPr>
        <w:jc w:val="both"/>
      </w:pPr>
      <w:r>
        <w:t>[24] 牟宗三. 心体与性体（第一册）[M]. 台北: 正中书局, 1968.</w:t>
      </w:r>
    </w:p>
    <w:p w14:paraId="2D4AE37E">
      <w:pPr>
        <w:jc w:val="both"/>
      </w:pPr>
      <w:r>
        <w:t>[25] 唐君毅. 中国哲学原论（原性篇）[M]. 香港: 新亚研究所, 1968.</w:t>
      </w:r>
    </w:p>
    <w:p w14:paraId="5902235F">
      <w:pPr>
        <w:jc w:val="both"/>
      </w:pPr>
      <w:r>
        <w:t>[26] 陈来. 朱熹哲学研究[M]. 北京: 中国社会科学出版社, 1988.</w:t>
      </w:r>
    </w:p>
    <w:p w14:paraId="2BC51F67">
      <w:pPr>
        <w:jc w:val="both"/>
      </w:pPr>
      <w:r>
        <w:t>[27] 陈来. 宋明理学[M]. 上海: 华东师范大学出版社, 2004.</w:t>
      </w:r>
    </w:p>
    <w:p w14:paraId="43E0239E">
      <w:pPr>
        <w:jc w:val="both"/>
      </w:pPr>
      <w:r>
        <w:t>[28] Huang, P. Confronting Confucianism: The Christian Understanding of Ru Tradition in Late Ming China[M]. Leiden: Brill, 2007.</w:t>
      </w:r>
    </w:p>
    <w:p w14:paraId="1BC56E52">
      <w:pPr>
        <w:jc w:val="both"/>
      </w:pPr>
      <w:r>
        <w:t>[29] Spence, J. The Memory Palace of Matteo Ricci[M]. New York: Viking, 1984.</w:t>
      </w:r>
    </w:p>
    <w:p w14:paraId="30F5F100">
      <w:pPr>
        <w:jc w:val="both"/>
      </w:pPr>
      <w:r>
        <w:t>[30] Mungello, D. E. Curious Land: Jesuit Accommodation and the Origins of Sinology[M]. Stuttgart: Franz Steiner Verlag, 1985.</w:t>
      </w:r>
    </w:p>
    <w:p w14:paraId="5D642DD1">
      <w:pPr>
        <w:jc w:val="both"/>
      </w:pPr>
      <w:r>
        <w:t>[31] Rule, P. A. K'ung-tzu or Confucius? The Jesuit Interpretation of Confucianism[M]. Sydney: Allen &amp; Unwin, 1986.</w:t>
      </w:r>
    </w:p>
    <w:p w14:paraId="3F33B33A">
      <w:pPr>
        <w:jc w:val="both"/>
      </w:pPr>
      <w:r>
        <w:t>[32] Criveller, G. Preaching Christ in Late Ming China: The Jesuits' Presentation of Christ from Matteo Ricci to Giulio Aleni[M]. Taipei: Ricci Institute, 1997.</w:t>
      </w:r>
    </w:p>
    <w:p w14:paraId="5F60EA9B">
      <w:pPr>
        <w:jc w:val="both"/>
      </w:pPr>
      <w:r>
        <w:t>[33] Jensen, L. Manufacturing Confucianism: Chinese Traditions and Universal Civilization[M]. Durham: Duke University Press, 1997.</w:t>
      </w:r>
    </w:p>
    <w:p w14:paraId="7F310788">
      <w:pPr>
        <w:jc w:val="both"/>
      </w:pPr>
      <w:r>
        <w:t>[34] Zhang, Q. S. The Jesuit Discourse of Moral Cultivation and Its Cross-cultural Implications[M]. Amsterdam: Brill, 2021.</w:t>
      </w:r>
    </w:p>
    <w:p w14:paraId="6531E9AC">
      <w:pPr>
        <w:jc w:val="both"/>
      </w:pPr>
      <w:r>
        <w:t>[35] Gadamer, H.-G. Truth and Method[M]. Weinsheimer, J. &amp; Marshall, D. G., trans. New York: Crossroad, 1991.</w:t>
      </w:r>
    </w:p>
    <w:p w14:paraId="35B85907">
      <w:pPr>
        <w:jc w:val="both"/>
      </w:pPr>
      <w:r>
        <w:t>[36] Koselleck, R. Futures Past: On the Semantics of Historical Time[M]. Tribe, K., trans. Cambridge: MIT Press, 1985.</w:t>
      </w:r>
    </w:p>
    <w:p w14:paraId="10941FD4">
      <w:pPr>
        <w:jc w:val="both"/>
      </w:pPr>
      <w:r>
        <w:rPr>
          <w:b/>
        </w:rPr>
        <w:t>三、学术论文类</w:t>
      </w:r>
    </w:p>
    <w:p w14:paraId="0EE87DFF">
      <w:pPr>
        <w:jc w:val="both"/>
      </w:pPr>
      <w:r>
        <w:t>[37] 孙尚扬. 明末耶儒之间的论辩及其现代意义[J]. 世界宗教研究, 1993(3): 25-36.</w:t>
      </w:r>
    </w:p>
    <w:p w14:paraId="550BAACF">
      <w:pPr>
        <w:jc w:val="both"/>
      </w:pPr>
      <w:r>
        <w:t>[38] 林金水. 徐光启与利玛窦关系考[J]. 中国史研究, 2001(2): 81-93.</w:t>
      </w:r>
    </w:p>
    <w:p w14:paraId="1E9D1AF1">
      <w:pPr>
        <w:jc w:val="both"/>
      </w:pPr>
      <w:r>
        <w:t>[39] 丁耘. 西方哲学中国化的第一阶段[J]. 哲学研究, 2010(5): 63-71.</w:t>
      </w:r>
    </w:p>
    <w:p w14:paraId="376FFE56">
      <w:pPr>
        <w:jc w:val="both"/>
      </w:pPr>
      <w:r>
        <w:t>[40] 李天纲. 利玛窦与晚明儒学——以《天主实义》为中心的考察[J]. 复旦学报（社会科学版）, 1999(6): 77-85.</w:t>
      </w:r>
    </w:p>
    <w:p w14:paraId="15669436">
      <w:pPr>
        <w:jc w:val="both"/>
      </w:pPr>
      <w:r>
        <w:t>[41] 张西平. 利玛窦对宋明理学的批判及其历史影响[J]. 宗教学研究, 2005(1): 89-97.</w:t>
      </w:r>
    </w:p>
    <w:p w14:paraId="2444E374">
      <w:pPr>
        <w:jc w:val="both"/>
      </w:pPr>
      <w:r>
        <w:t>[42] 韩琦. 白晋的《易经》研究和康熙时代的“西学中源”说[J]. 汉学研究, 1998, 16(1): 185-201.</w:t>
      </w:r>
    </w:p>
    <w:p w14:paraId="47D349FC">
      <w:pPr>
        <w:jc w:val="both"/>
      </w:pPr>
      <w:r>
        <w:t>[43] 罗志田. 天下与世界：清末士人关于人类社会认知的转变[J]. 中国社会科学, 2007(5): 191-204.</w:t>
      </w:r>
    </w:p>
    <w:p w14:paraId="430A1A55">
      <w:pPr>
        <w:jc w:val="both"/>
      </w:pPr>
      <w:r>
        <w:t>[44] 侯外庐. 宋明理学与儒家思想[J]. 哲学研究, 1956(6): 1-25.</w:t>
      </w:r>
    </w:p>
    <w:p w14:paraId="0179A82B">
      <w:pPr>
        <w:jc w:val="both"/>
      </w:pPr>
      <w:r>
        <w:t>[45] 维尔维达基斯(S. Verividakis). 在差异与共通之间重建理解[N]. 中国社会科学报, 2026-03-06.</w:t>
      </w:r>
    </w:p>
    <w:p w14:paraId="7CD3353C">
      <w:pPr>
        <w:jc w:val="both"/>
      </w:pPr>
      <w:r>
        <w:t>[46] Wiest, J.-P. From Matteo Ricci to Jacques Gernet: The Changing Image of the Chinese in Western Scholarship[J]. Chinese Studies, 1997, 9(1): 23-47.</w:t>
      </w:r>
    </w:p>
    <w:p w14:paraId="37AC3BAB">
      <w:pPr>
        <w:jc w:val="both"/>
      </w:pPr>
      <w:r>
        <w:t>[47] Lack, M. Matteo Ricci and the Chinese Intellectual: Faith, Dialogue and Exchange in the Late Ming Dynasty[J]. Journal of Jesuit Studies, 2018, 5(2): 165-182.</w:t>
      </w:r>
    </w:p>
    <w:p w14:paraId="41CC5BBB">
      <w:pPr>
        <w:jc w:val="both"/>
      </w:pPr>
      <w:r>
        <w:t>[48] Meynard, T. The Jesuit Reading of Confucius: The First Complete Translation of the Lunyu (1687) Published in the West[J]. Brill's Series in Church History, 2015, 68(1): 1-32.</w:t>
      </w:r>
    </w:p>
    <w:p w14:paraId="28865F63">
      <w:pPr>
        <w:jc w:val="both"/>
      </w:pPr>
      <w:r>
        <w:t>[49] Standaert, N. Methodology in View of Contact between Cultures: The China Case in the 17th Century[J]. CSRCS Occasional Paper, 2002(11): 1-60.</w:t>
      </w:r>
    </w:p>
    <w:p w14:paraId="5EEAC9C4">
      <w:pPr>
        <w:jc w:val="both"/>
      </w:pPr>
      <w:r>
        <w:rPr>
          <w:b/>
        </w:rPr>
        <w:t>四、学位论文类（硕博）</w:t>
      </w:r>
    </w:p>
    <w:p w14:paraId="229A0C13">
      <w:pPr>
        <w:jc w:val="both"/>
      </w:pPr>
      <w:r>
        <w:t>[50] 李楠. 利玛窦《天主实义》中“理”概念的批判与重构[D]. 北京: 中国人民大学哲学院, 2015.</w:t>
      </w:r>
    </w:p>
    <w:p w14:paraId="3C807B0E">
      <w:pPr>
        <w:jc w:val="both"/>
      </w:pPr>
      <w:r>
        <w:t>[51] 赵晓阳. 晚明耶儒对话中的概念挪用与翻译策略研究[D]. 上海: 复旦大学历史系, 2017.</w:t>
      </w:r>
    </w:p>
    <w:p w14:paraId="466AA169">
      <w:pPr>
        <w:jc w:val="both"/>
      </w:pPr>
      <w:r>
        <w:t>[52] 陈晨. 利玛窦自然神学与宋明理学的对话研究——以太极与理的论争为中心[D]. 北京: 北京大学哲学系, 2019.</w:t>
      </w:r>
    </w:p>
    <w:p w14:paraId="0EF8738C">
      <w:pPr>
        <w:jc w:val="both"/>
      </w:pPr>
      <w:r>
        <w:t>[53] 蒋梦麟. 明清之际耶儒融合思想的生成与演变[D]. 南京: 南京大学历史学院, 2016.</w:t>
      </w:r>
    </w:p>
    <w:p w14:paraId="0CAE76DD">
      <w:pPr>
        <w:jc w:val="both"/>
      </w:pPr>
      <w:r>
        <w:t>[54] 王晓宁. 蒙培元理学范畴系统研究[D]. 北京: 北京大学哲学系, 2012.</w:t>
      </w:r>
    </w:p>
    <w:p w14:paraId="425B6D10">
      <w:pPr>
        <w:jc w:val="both"/>
      </w:pPr>
      <w:r>
        <w:t>[55] Cocks, N. P. Matteo Ricci and Neo-Confucian Thought: A Hermeneutical Study[D]. PhD dissertation. Sydney: University of Sydney, 2004.</w:t>
      </w:r>
    </w:p>
    <w:p w14:paraId="59AD09C1">
      <w:pPr>
        <w:spacing w:line="300" w:lineRule="auto"/>
        <w:jc w:val="both"/>
        <w:rPr>
          <w:rFonts w:hint="eastAsia" w:ascii="宋体" w:hAnsi="宋体" w:eastAsia="宋体"/>
          <w:b w:val="0"/>
          <w:sz w:val="18"/>
          <w:lang w:eastAsia="zh"/>
          <w:woUserID w:val="1"/>
        </w:rPr>
      </w:pPr>
      <w:r>
        <w:rPr>
          <w:rFonts w:hint="eastAsia" w:ascii="宋体" w:hAnsi="宋体" w:eastAsia="宋体"/>
          <w:b w:val="0"/>
          <w:sz w:val="18"/>
          <w:lang w:eastAsia="zh"/>
          <w:woUserID w:val="1"/>
        </w:rPr>
        <w:t>致谢</w:t>
      </w:r>
    </w:p>
    <w:p w14:paraId="27154B3C">
      <w:pPr>
        <w:spacing w:line="300" w:lineRule="auto"/>
        <w:rPr>
          <w:rFonts w:hint="eastAsia" w:ascii="宋体" w:hAnsi="宋体" w:eastAsia="宋体"/>
          <w:b w:val="0"/>
          <w:sz w:val="18"/>
          <w:lang w:eastAsia="zh"/>
          <w:woUserID w:val="1"/>
        </w:rPr>
      </w:pPr>
    </w:p>
    <w:p w14:paraId="6AAF6C17">
      <w:pPr>
        <w:spacing w:line="300" w:lineRule="auto"/>
        <w:jc w:val="both"/>
        <w:rPr>
          <w:rFonts w:hint="eastAsia" w:ascii="宋体" w:hAnsi="宋体" w:eastAsia="宋体"/>
          <w:b w:val="0"/>
          <w:sz w:val="18"/>
          <w:lang w:eastAsia="zh"/>
          <w:woUserID w:val="1"/>
        </w:rPr>
      </w:pPr>
      <w:r>
        <w:rPr>
          <w:rFonts w:hint="eastAsia" w:ascii="宋体" w:hAnsi="宋体" w:eastAsia="宋体"/>
          <w:b w:val="0"/>
          <w:sz w:val="18"/>
          <w:lang w:eastAsia="zh"/>
          <w:woUserID w:val="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豁然开朗；每当我粗疏懈怠、浮于表面之时，王老师又总是不厌其烦地批注指正，促我深入。二载求学路，师恩重如山。在此谨向王绪琴老师致以最诚挚的感谢与最崇高的敬意！</w:t>
      </w:r>
    </w:p>
    <w:p w14:paraId="38DA3A46">
      <w:pPr>
        <w:spacing w:line="300" w:lineRule="auto"/>
        <w:jc w:val="both"/>
        <w:rPr>
          <w:rFonts w:hint="eastAsia" w:ascii="宋体" w:hAnsi="宋体" w:eastAsia="宋体"/>
          <w:b w:val="0"/>
          <w:sz w:val="18"/>
          <w:lang w:eastAsia="zh"/>
          <w:woUserID w:val="1"/>
        </w:rPr>
      </w:pPr>
      <w:r>
        <w:rPr>
          <w:rFonts w:hint="eastAsia" w:ascii="宋体" w:hAnsi="宋体" w:eastAsia="宋体"/>
          <w:b w:val="0"/>
          <w:sz w:val="18"/>
          <w:lang w:eastAsia="zh"/>
          <w:woUserID w:val="1"/>
        </w:rPr>
        <w:t>同时，感谢在求学期间给予我帮助的各位老师和同学。感谢每一位在我生命中播下善种的人。</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9F2077"/>
    <w:rsid w:val="4FB30C48"/>
    <w:rsid w:val="55886C35"/>
    <w:rsid w:val="564C52B2"/>
    <w:rsid w:val="70FD5980"/>
    <w:rsid w:val="FF7191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50</Pages>
  <Words>16227</Words>
  <Characters>16916</Characters>
  <Lines>0</Lines>
  <Paragraphs>0</Paragraphs>
  <TotalTime>68</TotalTime>
  <ScaleCrop>false</ScaleCrop>
  <LinksUpToDate>false</LinksUpToDate>
  <CharactersWithSpaces>17108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全</cp:lastModifiedBy>
  <dcterms:modified xsi:type="dcterms:W3CDTF">2026-05-31T12:41:59Z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BDFD9B4B104247578D50ABB8C4EBD867_13</vt:lpwstr>
  </property>
</Properties>
</file>