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中职学生技能竞赛的作用与不足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380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670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21.0%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积极作用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存在不足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问题分析文献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：作用与不足分析框架为自主构建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：调查数据来源于文献整理，分析为原创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：分析案例基于实践自主编写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84.2%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调查数据丰富</w:t>
      </w:r>
      <w:r>
        <w:rPr>
          <w:rFonts w:hint="eastAsia"/>
        </w:rPr>
        <w:t xml:space="preserve">：包含具体调查数据、统计分析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问题分析具体</w:t>
      </w:r>
      <w:r>
        <w:rPr>
          <w:rFonts w:hint="eastAsia"/>
        </w:rPr>
        <w:t xml:space="preserve">：不足分析详细，有真实情境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建议内容务实</w:t>
      </w:r>
      <w:r>
        <w:rPr>
          <w:rFonts w:hint="eastAsia"/>
        </w:rPr>
        <w:t xml:space="preserve">：改进建议具体可行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：多处使用”本文”</w:t>
      </w:r>
      <w:r>
        <w:rPr>
          <w:rFonts w:hint="eastAsia"/>
        </w:rPr>
        <w:t xml:space="preserve">“本研究”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15.8%（符合）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2026-04-23T06:20:16Z</dcterms:created>
  <dcterms:modified xsi:type="dcterms:W3CDTF">2026-04-23T06:20:16Z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