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3366"/>
          <w:sz w:val="44"/>
        </w:rPr>
        <w:t>高照街道教育专项基金</w:t>
        <w:br/>
        <w:t>合作方案对比分析</w:t>
      </w:r>
    </w:p>
    <w:p>
      <w:pPr>
        <w:jc w:val="center"/>
      </w:pPr>
      <w:r>
        <w:rPr>
          <w:rFonts w:ascii="宋体" w:hAnsi="宋体" w:eastAsia="宋体"/>
          <w:color w:val="646464"/>
          <w:sz w:val="24"/>
        </w:rPr>
        <w:t>嘉兴市教育基金会  vs  浙江省北京师范大学南湖附属学校教育基金会</w:t>
      </w:r>
    </w:p>
    <w:p>
      <w:pPr>
        <w:jc w:val="center"/>
      </w:pPr>
      <w:r>
        <w:rPr>
          <w:rFonts w:ascii="宋体" w:hAnsi="宋体" w:eastAsia="宋体"/>
          <w:color w:val="646464"/>
          <w:sz w:val="20"/>
        </w:rPr>
        <w:t>编制时间：2026年5月17日</w:t>
      </w:r>
    </w:p>
    <w:p/>
    <w:p>
      <w:pPr>
        <w:pStyle w:val="Heading1"/>
      </w:pPr>
      <w:r>
        <w:t>一、基本信息对比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方案A：嘉兴市教育基金会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方案B：北师大南湖附校教育基金会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文件名称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《基金合作协议》+《管理使用细则》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《专项基金协议书》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协议结构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双方协议（基金会 + 街道）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多方协议（学校 + 多家捐赠企业 + 基金会）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甲/乙方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甲方：嘉兴市教育基金会</w:t>
              <w:br/>
              <w:t>乙方：高照街道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辛方：北师大南湖附校教育基金会</w:t>
              <w:br/>
              <w:t>甲-庚方：学校 + 各捐赠方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法律层级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市级教育基金会（社团法人）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学校基金会（民办非企业）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协议完整度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合作协议 + 细则（双文件）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单一完整协议</w:t>
            </w:r>
          </w:p>
        </w:tc>
      </w:tr>
    </w:tbl>
    <w:p/>
    <w:p>
      <w:pPr>
        <w:pStyle w:val="Heading1"/>
      </w:pPr>
      <w:r>
        <w:t>二、核心条款逐项对比</w:t>
      </w:r>
    </w:p>
    <w:p>
      <w:pPr>
        <w:pStyle w:val="Heading2"/>
      </w:pPr>
      <w:r>
        <w:t>（一）管委会组成与话语权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嘉兴市教育基金会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北师大南湖附校教育基金会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管委会成立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乙方（街道）成立基金管理委员会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设立专项基金管理委员会，各方共同提名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人员构成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街道管理选定：</w:t>
              <w:br/>
              <w:t>主任：周高</w:t>
              <w:br/>
              <w:t>副主任：曹冬林、陈亚琴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主任1名、副主任2名、委员若干（待定）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决策方式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管委会不定期召开会议，研究处理基金事项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管委会按章程管理，重大事项联席会议决议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基金会参与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甲方参与基金运作，建立账册，定期通报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基金会监督管理和指导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街道话语权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 强——管委会由街道单方成立并主导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△ 中——需多方协商，受捐赠方影响</w:t>
            </w:r>
          </w:p>
        </w:tc>
      </w:tr>
    </w:tbl>
    <w:p>
      <w:r>
        <w:rPr>
          <w:rFonts w:ascii="宋体" w:hAnsi="宋体" w:eastAsia="宋体"/>
          <w:i/>
          <w:color w:val="006600"/>
          <w:sz w:val="22"/>
        </w:rPr>
        <w:t>分析：嘉兴教育基金会方案中，街道对基金有绝对主导权，管委会人选由街道确定，决策效率高。</w:t>
      </w:r>
    </w:p>
    <w:p>
      <w:pPr>
        <w:pStyle w:val="Heading2"/>
      </w:pPr>
      <w:r>
        <w:t>（二）资金募集与规模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嘉兴市教育基金会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北师大南湖附校教育基金会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募集主体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街道联手爱心企业、爱心人士募集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各捐赠方分别出资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首批启动资金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乙方倡导企业、个人捐赠（待定）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明确各捐赠方出资额（待定）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不动本机制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✗ 未提及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约定部分资金为不动本（收益可支出）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结余处理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当年结余可延续下年使用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未明确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最低支出比例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未提及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不低于当年支出金额5%（首年除外）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资金来源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街道主导募集，灵活广泛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协议方定向出资，结构清晰</w:t>
            </w:r>
          </w:p>
        </w:tc>
      </w:tr>
    </w:tbl>
    <w:p>
      <w:r>
        <w:rPr>
          <w:rFonts w:ascii="宋体" w:hAnsi="宋体" w:eastAsia="宋体"/>
          <w:i/>
          <w:color w:val="006600"/>
          <w:sz w:val="22"/>
        </w:rPr>
        <w:t>分析：嘉兴方案募集方式更灵活（街道可广泛动员社会力量），但北师大方案有不动本机制，保障基金永续。</w:t>
      </w:r>
    </w:p>
    <w:p>
      <w:pPr>
        <w:pStyle w:val="Heading2"/>
      </w:pPr>
      <w:r>
        <w:t>（三）财务管理与费用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嘉兴市教育基金会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北师大南湖附校教育基金会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账户管理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汇入嘉兴市教育基金会账户，建立专项账册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纳入基金会账户，下设专项基金子科目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行政管理费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 不收取任何管理费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收取当年支出金额的 5%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捐赠票据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到账后2个工作日内开具公益事业捐赠票据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开具浙江省公益事业捐赠票据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税收优惠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捐赠方凭票据享受相应税收优惠政策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提供捐赠税前抵扣支持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财务监督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定期向乙方通报，随时接受乙方和捐赠者查阅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定期向社会公布，接受审计和社会监督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信息公开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严格执行信息公开制度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定期公布，依法接受审计</w:t>
            </w:r>
          </w:p>
        </w:tc>
      </w:tr>
    </w:tbl>
    <w:p>
      <w:r>
        <w:rPr>
          <w:rFonts w:ascii="宋体" w:hAnsi="宋体" w:eastAsia="宋体"/>
          <w:i/>
          <w:color w:val="006600"/>
          <w:sz w:val="22"/>
        </w:rPr>
        <w:t>分析：嘉兴方案"零管理费"是显著优势，且票据开具有明确时限（2个工作日），服务效率有保障。</w:t>
      </w:r>
    </w:p>
    <w:p>
      <w:pPr>
        <w:pStyle w:val="Heading2"/>
      </w:pPr>
      <w:r>
        <w:t>（四）资金使用与审批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嘉兴市教育基金会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北师大南湖附校教育基金会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用途范围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奖励优秀师生、资助困难师生、</w:t>
              <w:br/>
              <w:t>添置教育教学用品、提升校园文化、</w:t>
              <w:br/>
              <w:t>学校特色发展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基础教育、助教助学、特色发展、</w:t>
              <w:br/>
              <w:t>奖励优秀师生、帮扶困难师生、</w:t>
              <w:br/>
              <w:t>应急性需求、社会性公益活动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审批流程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管委会研究处理</w:t>
              <w:br/>
              <w:t>（管委会由街道主导）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管委会按章程管理，</w:t>
              <w:br/>
              <w:t>重大事项联席会议决议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改变用途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书面申请 → 基金会同意 → 实施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管委会联席会议决议 → 报备基金会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大额项目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管委会审核 + 基金会理事长办公会议审定</w:t>
              <w:br/>
              <w:t>+ 省民政厅报备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无明确外部报备要求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定向使用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根据乙方意愿，定向用于</w:t>
              <w:br/>
              <w:t>乙方提出的使用对象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按管委会章程执行</w:t>
            </w:r>
          </w:p>
        </w:tc>
      </w:tr>
    </w:tbl>
    <w:p>
      <w:pPr>
        <w:pStyle w:val="Heading2"/>
      </w:pPr>
      <w:r>
        <w:t>（五）风险防控与制度完整性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嘉兴市教育基金会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北师大南湖附校教育基金会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终止条款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✗ 未提及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5种终止情形</w:t>
              <w:br/>
              <w:t>（余额&lt;5万持续2年、违法、</w:t>
              <w:br/>
              <w:t>连续2年未活动等）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清算安排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✗ 未提及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终止时由基金会组织清算，</w:t>
              <w:br/>
              <w:t>剩余资产继续用于约定用途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管委会任期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✗ 未提及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任期5年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协议有效期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自签订之日起生效，</w:t>
              <w:br/>
              <w:t>至资金使用完毕止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✗ 未明确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责任主体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高照街道对以本基金名义</w:t>
              <w:br/>
              <w:t>开展的所有活动负责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管委会集体决策，</w:t>
              <w:br/>
              <w:t>基金会监督管理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捐款来源审核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✓ 捐赠方需确保合法来源、</w:t>
              <w:br/>
              <w:t>有权处分、履行内部决议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✗ 未明确</w:t>
            </w:r>
          </w:p>
        </w:tc>
      </w:tr>
    </w:tbl>
    <w:p>
      <w:r>
        <w:rPr>
          <w:rFonts w:ascii="宋体" w:hAnsi="宋体" w:eastAsia="宋体"/>
          <w:i/>
          <w:color w:val="006600"/>
          <w:sz w:val="22"/>
        </w:rPr>
        <w:t>分析：北师大方案在制度完整性上明显更优，有终止、清算、任期等风险防范条款。嘉兴方案作为双方协议，这些内容相对缺失。</w:t>
      </w:r>
    </w:p>
    <w:p>
      <w:pPr>
        <w:pStyle w:val="Heading2"/>
      </w:pPr>
      <w:r>
        <w:t>（六）资源与品牌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嘉兴市教育基金会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北师大南湖附校教育基金会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品牌背书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市级教育基金会，政府背景，公信力强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学校基金会，品牌影响力局限于学校范围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资源辐射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可对接市级教育资源和社会力量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主要依托北师大南湖附校资源网络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社会影响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大额项目可报备省民政厅，</w:t>
              <w:br/>
              <w:t>社会关注度高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社会影响力相对有限</w:t>
            </w:r>
          </w:p>
        </w:tc>
      </w:tr>
    </w:tbl>
    <w:p>
      <w:r>
        <w:br w:type="page"/>
      </w:r>
    </w:p>
    <w:p>
      <w:pPr>
        <w:pStyle w:val="Heading1"/>
      </w:pPr>
      <w:r>
        <w:t>三、优劣势总结</w:t>
      </w:r>
    </w:p>
    <w:p>
      <w:pPr>
        <w:pStyle w:val="Heading2"/>
      </w:pPr>
      <w:r>
        <w:t>（一）嘉兴市教育基金会方案</w:t>
      </w:r>
    </w:p>
    <w:p>
      <w:r>
        <w:rPr>
          <w:rFonts w:ascii="黑体" w:hAnsi="黑体" w:eastAsia="黑体"/>
          <w:b/>
          <w:sz w:val="24"/>
        </w:rPr>
        <w:t>核心优势：</w:t>
      </w:r>
    </w:p>
    <w:p>
      <w:pPr>
        <w:pStyle w:val="ListBullet"/>
      </w:pPr>
      <w:r>
        <w:rPr>
          <w:rFonts w:ascii="宋体" w:hAnsi="宋体" w:eastAsia="宋体"/>
          <w:sz w:val="22"/>
        </w:rPr>
        <w:t>街道主导权强 —— 管委会由街道单方成立，人事和决策完全自主</w:t>
      </w:r>
    </w:p>
    <w:p>
      <w:pPr>
        <w:pStyle w:val="ListBullet"/>
      </w:pPr>
      <w:r>
        <w:rPr>
          <w:rFonts w:ascii="宋体" w:hAnsi="宋体" w:eastAsia="宋体"/>
          <w:sz w:val="22"/>
        </w:rPr>
        <w:t>零管理费 —— 明确"不收取任何管理费"，长期节省可观支出</w:t>
      </w:r>
    </w:p>
    <w:p>
      <w:pPr>
        <w:pStyle w:val="ListBullet"/>
      </w:pPr>
      <w:r>
        <w:rPr>
          <w:rFonts w:ascii="宋体" w:hAnsi="宋体" w:eastAsia="宋体"/>
          <w:sz w:val="22"/>
        </w:rPr>
        <w:t>票据高效 —— 资金到账2个工作日内开具，税务抵扣及时</w:t>
      </w:r>
    </w:p>
    <w:p>
      <w:pPr>
        <w:pStyle w:val="ListBullet"/>
      </w:pPr>
      <w:r>
        <w:rPr>
          <w:rFonts w:ascii="宋体" w:hAnsi="宋体" w:eastAsia="宋体"/>
          <w:sz w:val="22"/>
        </w:rPr>
        <w:t>行政层级匹配 —— 市级基金会与街道行政层级协调</w:t>
      </w:r>
    </w:p>
    <w:p>
      <w:pPr>
        <w:pStyle w:val="ListBullet"/>
      </w:pPr>
      <w:r>
        <w:rPr>
          <w:rFonts w:ascii="宋体" w:hAnsi="宋体" w:eastAsia="宋体"/>
          <w:sz w:val="22"/>
        </w:rPr>
        <w:t>募集灵活 —— 街道可广泛动员社会力量，不限协议方</w:t>
      </w:r>
    </w:p>
    <w:p>
      <w:pPr>
        <w:pStyle w:val="ListBullet"/>
      </w:pPr>
      <w:r>
        <w:rPr>
          <w:rFonts w:ascii="宋体" w:hAnsi="宋体" w:eastAsia="宋体"/>
          <w:sz w:val="22"/>
        </w:rPr>
        <w:t>责任清晰 —— 街道对基金活动负总责，权责对等</w:t>
      </w:r>
    </w:p>
    <w:p>
      <w:r>
        <w:rPr>
          <w:rFonts w:ascii="黑体" w:hAnsi="黑体" w:eastAsia="黑体"/>
          <w:b/>
          <w:sz w:val="24"/>
        </w:rPr>
        <w:t>主要不足：</w:t>
      </w:r>
    </w:p>
    <w:p>
      <w:pPr>
        <w:pStyle w:val="ListBullet"/>
      </w:pPr>
      <w:r>
        <w:rPr>
          <w:rFonts w:ascii="宋体" w:hAnsi="宋体" w:eastAsia="宋体"/>
          <w:sz w:val="22"/>
        </w:rPr>
        <w:t>制度不完整 —— 缺少不动本机制、终止条款、清算安排</w:t>
      </w:r>
    </w:p>
    <w:p>
      <w:pPr>
        <w:pStyle w:val="ListBullet"/>
      </w:pPr>
      <w:r>
        <w:rPr>
          <w:rFonts w:ascii="宋体" w:hAnsi="宋体" w:eastAsia="宋体"/>
          <w:sz w:val="22"/>
        </w:rPr>
        <w:t>缺乏永续设计 —— 无不动本机制保障基金长期运作</w:t>
      </w:r>
    </w:p>
    <w:p>
      <w:pPr>
        <w:pStyle w:val="ListBullet"/>
      </w:pPr>
      <w:r>
        <w:rPr>
          <w:rFonts w:ascii="宋体" w:hAnsi="宋体" w:eastAsia="宋体"/>
          <w:sz w:val="22"/>
        </w:rPr>
        <w:t>无最低支出要求 —— 可能导致基金沉淀、使用效率低</w:t>
      </w:r>
    </w:p>
    <w:p>
      <w:pPr>
        <w:pStyle w:val="Heading2"/>
      </w:pPr>
      <w:r>
        <w:t>（二）北师大南湖附校教育基金会方案</w:t>
      </w:r>
    </w:p>
    <w:p>
      <w:r>
        <w:rPr>
          <w:rFonts w:ascii="黑体" w:hAnsi="黑体" w:eastAsia="黑体"/>
          <w:b/>
          <w:sz w:val="24"/>
        </w:rPr>
        <w:t>核心优势：</w:t>
      </w:r>
    </w:p>
    <w:p>
      <w:pPr>
        <w:pStyle w:val="ListBullet"/>
      </w:pPr>
      <w:r>
        <w:rPr>
          <w:rFonts w:ascii="宋体" w:hAnsi="宋体" w:eastAsia="宋体"/>
          <w:sz w:val="22"/>
        </w:rPr>
        <w:t>制度设计完整 —— 协议结构规范，涵盖设立→运作→终止→清算全流程</w:t>
      </w:r>
    </w:p>
    <w:p>
      <w:pPr>
        <w:pStyle w:val="ListBullet"/>
      </w:pPr>
      <w:r>
        <w:rPr>
          <w:rFonts w:ascii="宋体" w:hAnsi="宋体" w:eastAsia="宋体"/>
          <w:sz w:val="22"/>
        </w:rPr>
        <w:t>不动本机制 —— 保障基金永续发展，收益可支出，本金不动</w:t>
      </w:r>
    </w:p>
    <w:p>
      <w:pPr>
        <w:pStyle w:val="ListBullet"/>
      </w:pPr>
      <w:r>
        <w:rPr>
          <w:rFonts w:ascii="宋体" w:hAnsi="宋体" w:eastAsia="宋体"/>
          <w:sz w:val="22"/>
        </w:rPr>
        <w:t>税务支持完善 —— 公益捐赠票据 + 税前抵扣</w:t>
      </w:r>
    </w:p>
    <w:p>
      <w:pPr>
        <w:pStyle w:val="ListBullet"/>
      </w:pPr>
      <w:r>
        <w:rPr>
          <w:rFonts w:ascii="宋体" w:hAnsi="宋体" w:eastAsia="宋体"/>
          <w:sz w:val="22"/>
        </w:rPr>
        <w:t>审批灵活 —— 管委会自主决策，流程短、效率高</w:t>
      </w:r>
    </w:p>
    <w:p>
      <w:pPr>
        <w:pStyle w:val="ListBullet"/>
      </w:pPr>
      <w:r>
        <w:rPr>
          <w:rFonts w:ascii="宋体" w:hAnsi="宋体" w:eastAsia="宋体"/>
          <w:sz w:val="22"/>
        </w:rPr>
        <w:t>风险防控到位 —— 明确的终止条件和清算安排</w:t>
      </w:r>
    </w:p>
    <w:p>
      <w:pPr>
        <w:pStyle w:val="ListBullet"/>
      </w:pPr>
      <w:r>
        <w:rPr>
          <w:rFonts w:ascii="宋体" w:hAnsi="宋体" w:eastAsia="宋体"/>
          <w:sz w:val="22"/>
        </w:rPr>
        <w:t>支出比例约束 —— 不低于5%的支出要求，确保基金活跃</w:t>
      </w:r>
    </w:p>
    <w:p>
      <w:r>
        <w:rPr>
          <w:rFonts w:ascii="黑体" w:hAnsi="黑体" w:eastAsia="黑体"/>
          <w:b/>
          <w:sz w:val="24"/>
        </w:rPr>
        <w:t>主要不足：</w:t>
      </w:r>
    </w:p>
    <w:p>
      <w:pPr>
        <w:pStyle w:val="ListBullet"/>
      </w:pPr>
      <w:r>
        <w:rPr>
          <w:rFonts w:ascii="宋体" w:hAnsi="宋体" w:eastAsia="宋体"/>
          <w:sz w:val="22"/>
        </w:rPr>
        <w:t>街道话语权弱 —— 管委会需多方协商，受捐赠方影响较大</w:t>
      </w:r>
    </w:p>
    <w:p>
      <w:pPr>
        <w:pStyle w:val="ListBullet"/>
      </w:pPr>
      <w:r>
        <w:rPr>
          <w:rFonts w:ascii="宋体" w:hAnsi="宋体" w:eastAsia="宋体"/>
          <w:sz w:val="22"/>
        </w:rPr>
        <w:t>需支付管理费 —— 每年支出金额的5%，长期是一笔不小开支</w:t>
      </w:r>
    </w:p>
    <w:p>
      <w:pPr>
        <w:pStyle w:val="ListBullet"/>
      </w:pPr>
      <w:r>
        <w:rPr>
          <w:rFonts w:ascii="宋体" w:hAnsi="宋体" w:eastAsia="宋体"/>
          <w:sz w:val="22"/>
        </w:rPr>
        <w:t>基金会层级有限 —— 学校层面基金会，资源辐射面较窄</w:t>
      </w:r>
    </w:p>
    <w:p>
      <w:pPr>
        <w:pStyle w:val="ListBullet"/>
      </w:pPr>
      <w:r>
        <w:rPr>
          <w:rFonts w:ascii="宋体" w:hAnsi="宋体" w:eastAsia="宋体"/>
          <w:sz w:val="22"/>
        </w:rPr>
        <w:t>募集受限 —— 主要依赖协议方出资，灵活性不足</w:t>
      </w:r>
    </w:p>
    <w:p>
      <w:pPr>
        <w:pStyle w:val="Heading1"/>
      </w:pPr>
      <w:r>
        <w:t>四、综合评分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评估维度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嘉兴市教育基金会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北师大南湖附校教育基金会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街道话语权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25%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★★★★★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制度完整性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★★★★★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成本控制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15%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★★★★★（零管理费）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★★★（5%管理费）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基金永续性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审批效率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资源动员力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税务支持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5%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★★★★</w:t>
            </w:r>
          </w:p>
        </w:tc>
      </w:tr>
      <w:tr>
        <w:tc>
          <w:tcPr>
            <w:tcW w:type="dxa" w:w="2075"/>
            <w:shd w:fill="E2EFDA" w:val="clear"/>
          </w:tcPr>
          <w:p>
            <w:pPr>
              <w:jc w:val="center"/>
            </w:pPr>
            <w:r>
              <w:t>加权总分</w:t>
            </w:r>
            <w:r>
              <w:rPr>
                <w:rFonts w:ascii="宋体" w:hAnsi="宋体" w:eastAsia="宋体"/>
                <w:b/>
                <w:sz w:val="20"/>
              </w:rPr>
              <w:t>加权总分</w:t>
            </w:r>
          </w:p>
        </w:tc>
        <w:tc>
          <w:tcPr>
            <w:tcW w:type="dxa" w:w="2075"/>
            <w:shd w:fill="E2EFDA" w:val="clear"/>
          </w:tcPr>
          <w:p>
            <w:r>
              <w:t>100%</w:t>
            </w:r>
            <w:r>
              <w:rPr>
                <w:rFonts w:ascii="宋体" w:hAnsi="宋体" w:eastAsia="宋体"/>
                <w:b/>
                <w:sz w:val="20"/>
              </w:rPr>
              <w:t>100%</w:t>
            </w:r>
          </w:p>
        </w:tc>
        <w:tc>
          <w:tcPr>
            <w:tcW w:type="dxa" w:w="2075"/>
            <w:shd w:fill="E2EFDA" w:val="clear"/>
          </w:tcPr>
          <w:p>
            <w:r>
              <w:t>4.35</w:t>
            </w:r>
            <w:r>
              <w:rPr>
                <w:rFonts w:ascii="宋体" w:hAnsi="宋体" w:eastAsia="宋体"/>
                <w:b/>
                <w:color w:val="008000"/>
                <w:sz w:val="22"/>
              </w:rPr>
              <w:t>4.35</w:t>
            </w:r>
          </w:p>
        </w:tc>
        <w:tc>
          <w:tcPr>
            <w:tcW w:type="dxa" w:w="2075"/>
            <w:shd w:fill="E2EFDA" w:val="clear"/>
          </w:tcPr>
          <w:p>
            <w:r>
              <w:t>3.60</w:t>
            </w:r>
            <w:r>
              <w:rPr>
                <w:rFonts w:ascii="宋体" w:hAnsi="宋体" w:eastAsia="宋体"/>
                <w:b/>
                <w:color w:val="C80000"/>
                <w:sz w:val="22"/>
              </w:rPr>
              <w:t>3.60</w:t>
            </w:r>
          </w:p>
        </w:tc>
      </w:tr>
    </w:tbl>
    <w:p/>
    <w:p>
      <w:pPr>
        <w:pStyle w:val="Heading1"/>
      </w:pPr>
      <w:r>
        <w:t>五、建议方案</w:t>
      </w:r>
    </w:p>
    <w:p>
      <w:r>
        <w:rPr>
          <w:rFonts w:ascii="黑体" w:hAnsi="黑体" w:eastAsia="黑体"/>
          <w:b/>
          <w:color w:val="006600"/>
          <w:sz w:val="28"/>
        </w:rPr>
        <w:t>推荐方案：方案A（嘉兴市教育基金会）+ 制度补全</w:t>
      </w:r>
    </w:p>
    <w:p>
      <w:r>
        <w:rPr>
          <w:rFonts w:ascii="宋体" w:hAnsi="宋体" w:eastAsia="宋体"/>
          <w:b/>
          <w:sz w:val="24"/>
        </w:rPr>
        <w:t>推荐理由：</w:t>
      </w:r>
    </w:p>
    <w:p>
      <w:pPr>
        <w:pStyle w:val="ListBullet"/>
      </w:pPr>
      <w:r>
        <w:rPr>
          <w:rFonts w:ascii="宋体" w:hAnsi="宋体" w:eastAsia="宋体"/>
          <w:sz w:val="22"/>
        </w:rPr>
        <w:t>街道对基金有绝对主导权，符合"高照街道教育专项基金"的定位</w:t>
      </w:r>
    </w:p>
    <w:p>
      <w:pPr>
        <w:pStyle w:val="ListBullet"/>
      </w:pPr>
      <w:r>
        <w:rPr>
          <w:rFonts w:ascii="宋体" w:hAnsi="宋体" w:eastAsia="宋体"/>
          <w:sz w:val="22"/>
        </w:rPr>
        <w:t>零管理费，长期可节省可观支出</w:t>
      </w:r>
    </w:p>
    <w:p>
      <w:pPr>
        <w:pStyle w:val="ListBullet"/>
      </w:pPr>
      <w:r>
        <w:rPr>
          <w:rFonts w:ascii="宋体" w:hAnsi="宋体" w:eastAsia="宋体"/>
          <w:sz w:val="22"/>
        </w:rPr>
        <w:t>市级基金会品牌背书更强，利于广泛募集资金</w:t>
      </w:r>
    </w:p>
    <w:p>
      <w:r>
        <w:rPr>
          <w:rFonts w:ascii="宋体" w:hAnsi="宋体" w:eastAsia="宋体"/>
          <w:b/>
          <w:sz w:val="24"/>
        </w:rPr>
        <w:t>需补充的条款（参考方案B）：</w:t>
      </w:r>
    </w:p>
    <w:p>
      <w:pPr>
        <w:pStyle w:val="ListBullet"/>
      </w:pPr>
      <w:r>
        <w:rPr>
          <w:rFonts w:ascii="宋体" w:hAnsi="宋体" w:eastAsia="宋体"/>
          <w:sz w:val="22"/>
        </w:rPr>
        <w:t>增加不动本机制：约定部分资金为不动本，收益用于支出</w:t>
      </w:r>
    </w:p>
    <w:p>
      <w:pPr>
        <w:pStyle w:val="ListBullet"/>
      </w:pPr>
      <w:r>
        <w:rPr>
          <w:rFonts w:ascii="宋体" w:hAnsi="宋体" w:eastAsia="宋体"/>
          <w:sz w:val="22"/>
        </w:rPr>
        <w:t>增加终止条款：明确基金终止的5种情形</w:t>
      </w:r>
    </w:p>
    <w:p>
      <w:pPr>
        <w:pStyle w:val="ListBullet"/>
      </w:pPr>
      <w:r>
        <w:rPr>
          <w:rFonts w:ascii="宋体" w:hAnsi="宋体" w:eastAsia="宋体"/>
          <w:sz w:val="22"/>
        </w:rPr>
        <w:t>增加清算安排：终止时清算程序和剩余资产处理</w:t>
      </w:r>
    </w:p>
    <w:p>
      <w:pPr>
        <w:pStyle w:val="ListBullet"/>
      </w:pPr>
      <w:r>
        <w:rPr>
          <w:rFonts w:ascii="宋体" w:hAnsi="宋体" w:eastAsia="宋体"/>
          <w:sz w:val="22"/>
        </w:rPr>
        <w:t>增加管委会任期：建议5年一届</w:t>
      </w:r>
    </w:p>
    <w:p>
      <w:pPr>
        <w:pStyle w:val="ListBullet"/>
      </w:pPr>
      <w:r>
        <w:rPr>
          <w:rFonts w:ascii="宋体" w:hAnsi="宋体" w:eastAsia="宋体"/>
          <w:sz w:val="22"/>
        </w:rPr>
        <w:t>增加最低支出比例：不低于当年可用资金的5%</w:t>
      </w:r>
    </w:p>
    <w:p/>
    <w:p>
      <w:r>
        <w:rPr>
          <w:rFonts w:ascii="黑体" w:hAnsi="黑体" w:eastAsia="黑体"/>
          <w:b/>
          <w:color w:val="966400"/>
          <w:sz w:val="28"/>
        </w:rPr>
        <w:t>备选方案：方案B（北师大南湖附校教育基金会）</w:t>
      </w:r>
    </w:p>
    <w:p>
      <w:r>
        <w:rPr>
          <w:rFonts w:ascii="宋体" w:hAnsi="宋体" w:eastAsia="宋体"/>
          <w:b/>
          <w:sz w:val="24"/>
        </w:rPr>
        <w:t>适用场景：</w:t>
      </w:r>
    </w:p>
    <w:p>
      <w:pPr>
        <w:pStyle w:val="ListBullet"/>
      </w:pPr>
      <w:r>
        <w:rPr>
          <w:rFonts w:ascii="宋体" w:hAnsi="宋体" w:eastAsia="宋体"/>
          <w:sz w:val="22"/>
        </w:rPr>
        <w:t>如果街道更看重制度完整性和基金永续性，且愿意接受5%管理费</w:t>
      </w:r>
    </w:p>
    <w:p>
      <w:r>
        <w:rPr>
          <w:rFonts w:ascii="宋体" w:hAnsi="宋体" w:eastAsia="宋体"/>
          <w:b/>
          <w:sz w:val="24"/>
        </w:rPr>
        <w:t>优化建议：</w:t>
      </w:r>
    </w:p>
    <w:p>
      <w:pPr>
        <w:pStyle w:val="ListBullet"/>
      </w:pPr>
      <w:r>
        <w:rPr>
          <w:rFonts w:ascii="宋体" w:hAnsi="宋体" w:eastAsia="宋体"/>
          <w:sz w:val="22"/>
        </w:rPr>
        <w:t>在管委会组成中明确街道方占多数席位（如5/7或3/5）</w:t>
      </w:r>
    </w:p>
    <w:p>
      <w:pPr>
        <w:pStyle w:val="ListBullet"/>
      </w:pPr>
      <w:r>
        <w:rPr>
          <w:rFonts w:ascii="宋体" w:hAnsi="宋体" w:eastAsia="宋体"/>
          <w:sz w:val="22"/>
        </w:rPr>
        <w:t>5%管理费可协商优惠（如首年免收或降至3%）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— 1 —</w:t>
    </w:r>
    <w:r>
      <w:rPr>
        <w:rFonts w:ascii="宋体" w:hAnsi="宋体" w:eastAsia="宋体"/>
        <w:color w:val="969696"/>
        <w:sz w:val="16"/>
      </w:rPr>
      <w:t xml:space="preserve">  高照街道教育专项基金合作方案对比分析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6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