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黑体" w:hAnsi="黑体" w:eastAsia="黑体"/>
          <w:b/>
          <w:sz w:val="52"/>
        </w:rPr>
        <w:t>高照未来之光教育专项基金</w:t>
      </w:r>
    </w:p>
    <w:p>
      <w:pPr>
        <w:jc w:val="center"/>
      </w:pPr>
      <w:r>
        <w:rPr>
          <w:rFonts w:ascii="黑体" w:hAnsi="黑体" w:eastAsia="黑体"/>
          <w:b/>
          <w:sz w:val="44"/>
        </w:rPr>
        <w:t>合作基金会对比分析报告</w:t>
      </w:r>
    </w:p>
    <w:p/>
    <w:p/>
    <w:p>
      <w:pPr>
        <w:jc w:val="center"/>
      </w:pPr>
      <w:r>
        <w:rPr>
          <w:rFonts w:ascii="宋体" w:hAnsi="宋体" w:eastAsia="宋体"/>
          <w:sz w:val="32"/>
        </w:rPr>
        <w:t>嘉兴市教育基金会</w:t>
        <w:br/>
        <w:t>浙江省北京师范大学南湖附属学校教育基金会</w:t>
      </w:r>
    </w:p>
    <w:p/>
    <w:p>
      <w:pPr>
        <w:jc w:val="center"/>
      </w:pPr>
      <w:r>
        <w:rPr>
          <w:sz w:val="28"/>
        </w:rPr>
        <w:t>2026年5月</w:t>
      </w:r>
    </w:p>
    <w:p>
      <w:r>
        <w:br w:type="page"/>
      </w:r>
    </w:p>
    <w:p>
      <w:pPr>
        <w:pStyle w:val="Heading1"/>
      </w:pPr>
      <w:r>
        <w:t>一、基本情况对比</w:t>
      </w:r>
    </w:p>
    <w:p>
      <w:pPr>
        <w:pStyle w:val="Heading2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835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黑体" w:hAnsi="黑体" w:eastAsia="黑体"/>
                <w:b/>
                <w:sz w:val="22"/>
              </w:rPr>
              <w:t>对比项</w:t>
            </w:r>
          </w:p>
        </w:tc>
        <w:tc>
          <w:tcPr>
            <w:tcW w:type="dxa" w:w="3402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黑体" w:hAnsi="黑体" w:eastAsia="黑体"/>
                <w:b/>
                <w:sz w:val="22"/>
              </w:rPr>
              <w:t>嘉兴市教育基金会</w:t>
            </w:r>
          </w:p>
        </w:tc>
        <w:tc>
          <w:tcPr>
            <w:tcW w:type="dxa" w:w="3402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黑体" w:hAnsi="黑体" w:eastAsia="黑体"/>
                <w:b/>
                <w:sz w:val="22"/>
              </w:rPr>
              <w:t>南湖附属学校教育基金会</w:t>
            </w:r>
          </w:p>
        </w:tc>
      </w:tr>
      <w:tr>
        <w:tc>
          <w:tcPr>
            <w:tcW w:type="dxa" w:w="2835"/>
            <w:shd w:fill="EBF5FB" w:val="clear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文件依据</w:t>
            </w:r>
          </w:p>
        </w:tc>
        <w:tc>
          <w:tcPr>
            <w:tcW w:type="dxa" w:w="3402"/>
            <w:shd w:fill="EBF5F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《合作协议》+《管理使用细则》</w:t>
            </w:r>
          </w:p>
        </w:tc>
        <w:tc>
          <w:tcPr>
            <w:tcW w:type="dxa" w:w="3402"/>
            <w:shd w:fill="EBF5F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《协议书》+《章程》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签约方</w:t>
            </w:r>
          </w:p>
        </w:tc>
        <w:tc>
          <w:tcPr>
            <w:tcW w:type="dxa" w:w="3402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2方（高照街道 + 嘉兴市教育基金会）</w:t>
            </w:r>
          </w:p>
        </w:tc>
        <w:tc>
          <w:tcPr>
            <w:tcW w:type="dxa" w:w="3402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8方（学校 + 捐赠方 + 基金会）</w:t>
            </w:r>
          </w:p>
        </w:tc>
      </w:tr>
      <w:tr>
        <w:tc>
          <w:tcPr>
            <w:tcW w:type="dxa" w:w="2835"/>
            <w:shd w:fill="EBF5FB" w:val="clear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基金名称</w:t>
            </w:r>
          </w:p>
        </w:tc>
        <w:tc>
          <w:tcPr>
            <w:tcW w:type="dxa" w:w="3402"/>
            <w:shd w:fill="EBF5F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秀洲区高照未来之光教育专项基金</w:t>
            </w:r>
          </w:p>
        </w:tc>
        <w:tc>
          <w:tcPr>
            <w:tcW w:type="dxa" w:w="3402"/>
            <w:shd w:fill="EBF5F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高照未来之光教育专项基金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协议份数</w:t>
            </w:r>
          </w:p>
        </w:tc>
        <w:tc>
          <w:tcPr>
            <w:tcW w:type="dxa" w:w="3402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一式两份，各执一份</w:t>
            </w:r>
          </w:p>
        </w:tc>
        <w:tc>
          <w:tcPr>
            <w:tcW w:type="dxa" w:w="3402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一式四份，各执一份</w:t>
            </w:r>
          </w:p>
        </w:tc>
      </w:tr>
    </w:tbl>
    <w:p/>
    <w:p>
      <w:pPr>
        <w:pStyle w:val="Heading1"/>
      </w:pPr>
      <w:r>
        <w:t>二、管理费对比（核心差异）</w:t>
      </w:r>
    </w:p>
    <w:p>
      <w:pPr>
        <w:pStyle w:val="Heading2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551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黑体" w:hAnsi="黑体" w:eastAsia="黑体"/>
                <w:b/>
                <w:sz w:val="22"/>
              </w:rPr>
              <w:t>对比项</w:t>
            </w:r>
          </w:p>
        </w:tc>
        <w:tc>
          <w:tcPr>
            <w:tcW w:type="dxa" w:w="3402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黑体" w:hAnsi="黑体" w:eastAsia="黑体"/>
                <w:b/>
                <w:sz w:val="22"/>
              </w:rPr>
              <w:t>嘉兴市教育基金会</w:t>
            </w:r>
          </w:p>
        </w:tc>
        <w:tc>
          <w:tcPr>
            <w:tcW w:type="dxa" w:w="3402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黑体" w:hAnsi="黑体" w:eastAsia="黑体"/>
                <w:b/>
                <w:sz w:val="22"/>
              </w:rPr>
              <w:t>南湖附属学校教育基金会</w:t>
            </w:r>
          </w:p>
        </w:tc>
      </w:tr>
      <w:tr>
        <w:tc>
          <w:tcPr>
            <w:tcW w:type="dxa" w:w="2551"/>
            <w:shd w:fill="EBF5FB" w:val="clear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管理费</w:t>
            </w:r>
          </w:p>
        </w:tc>
        <w:tc>
          <w:tcPr>
            <w:tcW w:type="dxa" w:w="3402"/>
            <w:shd w:fill="EBF5F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0%（明确不收取）</w:t>
            </w:r>
          </w:p>
        </w:tc>
        <w:tc>
          <w:tcPr>
            <w:tcW w:type="dxa" w:w="3402"/>
            <w:shd w:fill="EBF5F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5%（当年支出金额的5%）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依据条款</w:t>
            </w:r>
          </w:p>
        </w:tc>
        <w:tc>
          <w:tcPr>
            <w:tcW w:type="dxa" w:w="3402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协议第四条第（三）款</w:t>
            </w:r>
          </w:p>
        </w:tc>
        <w:tc>
          <w:tcPr>
            <w:tcW w:type="dxa" w:w="3402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协议书第七条</w:t>
            </w:r>
          </w:p>
        </w:tc>
      </w:tr>
      <w:tr>
        <w:tc>
          <w:tcPr>
            <w:tcW w:type="dxa" w:w="2551"/>
            <w:shd w:fill="EBF5FB" w:val="clear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影响测算</w:t>
            </w:r>
          </w:p>
        </w:tc>
        <w:tc>
          <w:tcPr>
            <w:tcW w:type="dxa" w:w="3402"/>
            <w:shd w:fill="EBF5F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年支出50万，节省2.5万/年</w:t>
            </w:r>
          </w:p>
        </w:tc>
        <w:tc>
          <w:tcPr>
            <w:tcW w:type="dxa" w:w="3402"/>
            <w:shd w:fill="EBF5F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年支出50万，需支付2.5万/年</w:t>
            </w:r>
          </w:p>
        </w:tc>
      </w:tr>
    </w:tbl>
    <w:p/>
    <w:p>
      <w:r>
        <w:rPr>
          <w:b/>
          <w:color w:val="C00000"/>
        </w:rPr>
        <w:t>💡 管理费差异是两份方案最大的实质性区别，长期累积金额可观。</w:t>
      </w:r>
    </w:p>
    <w:p>
      <w:pPr>
        <w:pStyle w:val="Heading1"/>
      </w:pPr>
      <w:r>
        <w:t>三、管理架构对比</w:t>
      </w:r>
    </w:p>
    <w:p>
      <w:pPr>
        <w:pStyle w:val="Heading2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268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黑体" w:hAnsi="黑体" w:eastAsia="黑体"/>
                <w:b/>
                <w:sz w:val="22"/>
              </w:rPr>
              <w:t>对比项</w:t>
            </w:r>
          </w:p>
        </w:tc>
        <w:tc>
          <w:tcPr>
            <w:tcW w:type="dxa" w:w="3402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黑体" w:hAnsi="黑体" w:eastAsia="黑体"/>
                <w:b/>
                <w:sz w:val="22"/>
              </w:rPr>
              <w:t>嘉兴市教育基金会</w:t>
            </w:r>
          </w:p>
        </w:tc>
        <w:tc>
          <w:tcPr>
            <w:tcW w:type="dxa" w:w="3402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黑体" w:hAnsi="黑体" w:eastAsia="黑体"/>
                <w:b/>
                <w:sz w:val="22"/>
              </w:rPr>
              <w:t>南湖附属学校教育基金会</w:t>
            </w:r>
          </w:p>
        </w:tc>
      </w:tr>
      <w:tr>
        <w:tc>
          <w:tcPr>
            <w:tcW w:type="dxa" w:w="2268"/>
            <w:shd w:fill="EBF5FB" w:val="clear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管委会产生</w:t>
            </w:r>
          </w:p>
        </w:tc>
        <w:tc>
          <w:tcPr>
            <w:tcW w:type="dxa" w:w="3402"/>
            <w:shd w:fill="EBF5F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高照街道选定</w:t>
            </w:r>
          </w:p>
        </w:tc>
        <w:tc>
          <w:tcPr>
            <w:tcW w:type="dxa" w:w="3402"/>
            <w:shd w:fill="EBF5F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发起方共同选派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主任</w:t>
            </w:r>
          </w:p>
        </w:tc>
        <w:tc>
          <w:tcPr>
            <w:tcW w:type="dxa" w:w="3402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周高（高照实验学校）</w:t>
            </w:r>
          </w:p>
        </w:tc>
        <w:tc>
          <w:tcPr>
            <w:tcW w:type="dxa" w:w="3402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1名（发起方选派，未指定）</w:t>
            </w:r>
          </w:p>
        </w:tc>
      </w:tr>
      <w:tr>
        <w:tc>
          <w:tcPr>
            <w:tcW w:type="dxa" w:w="2268"/>
            <w:shd w:fill="EBF5FB" w:val="clear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副主任</w:t>
            </w:r>
          </w:p>
        </w:tc>
        <w:tc>
          <w:tcPr>
            <w:tcW w:type="dxa" w:w="3402"/>
            <w:shd w:fill="EBF5F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曹冬林（嘉兴高级中学）</w:t>
              <w:br/>
              <w:t>陈亚琴（嘉兴高新区实验学校）</w:t>
            </w:r>
          </w:p>
        </w:tc>
        <w:tc>
          <w:tcPr>
            <w:tcW w:type="dxa" w:w="3402"/>
            <w:shd w:fill="EBF5F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2名（发起方选派，未指定）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委员</w:t>
            </w:r>
          </w:p>
        </w:tc>
        <w:tc>
          <w:tcPr>
            <w:tcW w:type="dxa" w:w="3402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主要捐赠企业</w:t>
            </w:r>
          </w:p>
        </w:tc>
        <w:tc>
          <w:tcPr>
            <w:tcW w:type="dxa" w:w="3402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主要捐赠企业</w:t>
            </w:r>
          </w:p>
        </w:tc>
      </w:tr>
      <w:tr>
        <w:tc>
          <w:tcPr>
            <w:tcW w:type="dxa" w:w="2268"/>
            <w:shd w:fill="EBF5FB" w:val="clear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任期</w:t>
            </w:r>
          </w:p>
        </w:tc>
        <w:tc>
          <w:tcPr>
            <w:tcW w:type="dxa" w:w="3402"/>
            <w:shd w:fill="EBF5F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5年（附则约定）</w:t>
            </w:r>
          </w:p>
        </w:tc>
        <w:tc>
          <w:tcPr>
            <w:tcW w:type="dxa" w:w="3402"/>
            <w:shd w:fill="EBF5F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与基金存续同期（章程第八条）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会议频率</w:t>
            </w:r>
          </w:p>
        </w:tc>
        <w:tc>
          <w:tcPr>
            <w:tcW w:type="dxa" w:w="3402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不定期召开</w:t>
            </w:r>
          </w:p>
        </w:tc>
        <w:tc>
          <w:tcPr>
            <w:tcW w:type="dxa" w:w="3402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每年至少一次</w:t>
            </w:r>
          </w:p>
        </w:tc>
      </w:tr>
      <w:tr>
        <w:tc>
          <w:tcPr>
            <w:tcW w:type="dxa" w:w="2268"/>
            <w:shd w:fill="EBF5FB" w:val="clear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表决机制</w:t>
            </w:r>
          </w:p>
        </w:tc>
        <w:tc>
          <w:tcPr>
            <w:tcW w:type="dxa" w:w="3402"/>
            <w:shd w:fill="EBF5F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未明确</w:t>
            </w:r>
          </w:p>
        </w:tc>
        <w:tc>
          <w:tcPr>
            <w:tcW w:type="dxa" w:w="3402"/>
            <w:shd w:fill="EBF5F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需三分之二及以上通过</w:t>
            </w:r>
          </w:p>
        </w:tc>
      </w:tr>
    </w:tbl>
    <w:p/>
    <w:p>
      <w:pPr>
        <w:pStyle w:val="Heading1"/>
      </w:pPr>
      <w:r>
        <w:t>四、审批流程对比</w:t>
      </w:r>
    </w:p>
    <w:p>
      <w:pPr>
        <w:pStyle w:val="Heading2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1984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黑体" w:hAnsi="黑体" w:eastAsia="黑体"/>
                <w:b/>
                <w:sz w:val="22"/>
              </w:rPr>
              <w:t>流程环节</w:t>
            </w:r>
          </w:p>
        </w:tc>
        <w:tc>
          <w:tcPr>
            <w:tcW w:type="dxa" w:w="3402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黑体" w:hAnsi="黑体" w:eastAsia="黑体"/>
                <w:b/>
                <w:sz w:val="22"/>
              </w:rPr>
              <w:t>嘉兴市教育基金会</w:t>
            </w:r>
          </w:p>
        </w:tc>
        <w:tc>
          <w:tcPr>
            <w:tcW w:type="dxa" w:w="3402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黑体" w:hAnsi="黑体" w:eastAsia="黑体"/>
                <w:b/>
                <w:sz w:val="22"/>
              </w:rPr>
              <w:t>南湖附属学校教育基金会</w:t>
            </w:r>
          </w:p>
        </w:tc>
      </w:tr>
      <w:tr>
        <w:tc>
          <w:tcPr>
            <w:tcW w:type="dxa" w:w="1984"/>
            <w:shd w:fill="EBF5FB" w:val="clear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资金使用</w:t>
            </w:r>
          </w:p>
        </w:tc>
        <w:tc>
          <w:tcPr>
            <w:tcW w:type="dxa" w:w="3402"/>
            <w:shd w:fill="EBF5F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管委会研究 → 理事长办公会议审定 → 拨付</w:t>
            </w:r>
          </w:p>
        </w:tc>
        <w:tc>
          <w:tcPr>
            <w:tcW w:type="dxa" w:w="3402"/>
            <w:shd w:fill="EBF5F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管委会审批 → 基金会复核 → 实施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变更用途</w:t>
            </w:r>
          </w:p>
        </w:tc>
        <w:tc>
          <w:tcPr>
            <w:tcW w:type="dxa" w:w="3402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捐赠者同意 + 管委会认可 → 基金会核准</w:t>
            </w:r>
          </w:p>
        </w:tc>
        <w:tc>
          <w:tcPr>
            <w:tcW w:type="dxa" w:w="3402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管委会决议 + 报备基金会</w:t>
            </w:r>
          </w:p>
        </w:tc>
      </w:tr>
      <w:tr>
        <w:tc>
          <w:tcPr>
            <w:tcW w:type="dxa" w:w="1984"/>
            <w:shd w:fill="EBF5FB" w:val="clear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大规模活动</w:t>
            </w:r>
          </w:p>
        </w:tc>
        <w:tc>
          <w:tcPr>
            <w:tcW w:type="dxa" w:w="3402"/>
            <w:shd w:fill="EBF5F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基金会核准 + 省民政厅报备</w:t>
            </w:r>
          </w:p>
        </w:tc>
        <w:tc>
          <w:tcPr>
            <w:tcW w:type="dxa" w:w="3402"/>
            <w:shd w:fill="EBF5F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未明确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审批层级</w:t>
            </w:r>
          </w:p>
        </w:tc>
        <w:tc>
          <w:tcPr>
            <w:tcW w:type="dxa" w:w="3402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较高（需理事长办公会）</w:t>
            </w:r>
          </w:p>
        </w:tc>
        <w:tc>
          <w:tcPr>
            <w:tcW w:type="dxa" w:w="3402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较低（基金会复核即可）</w:t>
            </w:r>
          </w:p>
        </w:tc>
      </w:tr>
    </w:tbl>
    <w:p/>
    <w:p>
      <w:pPr>
        <w:pStyle w:val="Heading1"/>
      </w:pPr>
      <w:r>
        <w:t>五、资金与票据对比</w:t>
      </w:r>
    </w:p>
    <w:p>
      <w:pPr>
        <w:pStyle w:val="Heading2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268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黑体" w:hAnsi="黑体" w:eastAsia="黑体"/>
                <w:b/>
                <w:sz w:val="22"/>
              </w:rPr>
              <w:t>对比项</w:t>
            </w:r>
          </w:p>
        </w:tc>
        <w:tc>
          <w:tcPr>
            <w:tcW w:type="dxa" w:w="3402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黑体" w:hAnsi="黑体" w:eastAsia="黑体"/>
                <w:b/>
                <w:sz w:val="22"/>
              </w:rPr>
              <w:t>嘉兴市教育基金会</w:t>
            </w:r>
          </w:p>
        </w:tc>
        <w:tc>
          <w:tcPr>
            <w:tcW w:type="dxa" w:w="3402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黑体" w:hAnsi="黑体" w:eastAsia="黑体"/>
                <w:b/>
                <w:sz w:val="22"/>
              </w:rPr>
              <w:t>南湖附属学校教育基金会</w:t>
            </w:r>
          </w:p>
        </w:tc>
      </w:tr>
      <w:tr>
        <w:tc>
          <w:tcPr>
            <w:tcW w:type="dxa" w:w="2268"/>
            <w:shd w:fill="EBF5FB" w:val="clear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资金汇入</w:t>
            </w:r>
          </w:p>
        </w:tc>
        <w:tc>
          <w:tcPr>
            <w:tcW w:type="dxa" w:w="3402"/>
            <w:shd w:fill="EBF5F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嘉兴市教育基金会账户</w:t>
            </w:r>
          </w:p>
        </w:tc>
        <w:tc>
          <w:tcPr>
            <w:tcW w:type="dxa" w:w="3402"/>
            <w:shd w:fill="EBF5F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南湖附属教育基金会账户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票据开具</w:t>
            </w:r>
          </w:p>
        </w:tc>
        <w:tc>
          <w:tcPr>
            <w:tcW w:type="dxa" w:w="3402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2个工作日内开具公益捐赠票据</w:t>
            </w:r>
          </w:p>
        </w:tc>
        <w:tc>
          <w:tcPr>
            <w:tcW w:type="dxa" w:w="3402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基金会开具公益捐赠票据</w:t>
            </w:r>
          </w:p>
        </w:tc>
      </w:tr>
      <w:tr>
        <w:tc>
          <w:tcPr>
            <w:tcW w:type="dxa" w:w="2268"/>
            <w:shd w:fill="EBF5FB" w:val="clear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税收优惠</w:t>
            </w:r>
          </w:p>
        </w:tc>
        <w:tc>
          <w:tcPr>
            <w:tcW w:type="dxa" w:w="3402"/>
            <w:shd w:fill="EBF5F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捐赠方凭票据享受税收优惠</w:t>
            </w:r>
          </w:p>
        </w:tc>
        <w:tc>
          <w:tcPr>
            <w:tcW w:type="dxa" w:w="3402"/>
            <w:shd w:fill="EBF5F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基金会提供税前抵扣支持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账册管理</w:t>
            </w:r>
          </w:p>
        </w:tc>
        <w:tc>
          <w:tcPr>
            <w:tcW w:type="dxa" w:w="3402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基金会建立，定期向街道通报</w:t>
            </w:r>
          </w:p>
        </w:tc>
        <w:tc>
          <w:tcPr>
            <w:tcW w:type="dxa" w:w="3402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基金会下设子科目，独立账簿</w:t>
            </w:r>
          </w:p>
        </w:tc>
      </w:tr>
      <w:tr>
        <w:tc>
          <w:tcPr>
            <w:tcW w:type="dxa" w:w="2268"/>
            <w:shd w:fill="EBF5FB" w:val="clear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信息公开</w:t>
            </w:r>
          </w:p>
        </w:tc>
        <w:tc>
          <w:tcPr>
            <w:tcW w:type="dxa" w:w="3402"/>
            <w:shd w:fill="EBF5F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接受民政、审计监管，信息公开</w:t>
            </w:r>
          </w:p>
        </w:tc>
        <w:tc>
          <w:tcPr>
            <w:tcW w:type="dxa" w:w="3402"/>
            <w:shd w:fill="EBF5F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定期向社会公布，接受审计监督</w:t>
            </w:r>
          </w:p>
        </w:tc>
      </w:tr>
    </w:tbl>
    <w:p/>
    <w:p>
      <w:pPr>
        <w:pStyle w:val="Heading1"/>
      </w:pPr>
      <w:r>
        <w:t>六、制度完整性对比</w:t>
      </w:r>
    </w:p>
    <w:p>
      <w:pPr>
        <w:pStyle w:val="Heading2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268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黑体" w:hAnsi="黑体" w:eastAsia="黑体"/>
                <w:b/>
                <w:sz w:val="22"/>
              </w:rPr>
              <w:t>对比项</w:t>
            </w:r>
          </w:p>
        </w:tc>
        <w:tc>
          <w:tcPr>
            <w:tcW w:type="dxa" w:w="3402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黑体" w:hAnsi="黑体" w:eastAsia="黑体"/>
                <w:b/>
                <w:sz w:val="22"/>
              </w:rPr>
              <w:t>嘉兴市教育基金会</w:t>
            </w:r>
          </w:p>
        </w:tc>
        <w:tc>
          <w:tcPr>
            <w:tcW w:type="dxa" w:w="3402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黑体" w:hAnsi="黑体" w:eastAsia="黑体"/>
                <w:b/>
                <w:sz w:val="22"/>
              </w:rPr>
              <w:t>南湖附属学校教育基金会</w:t>
            </w:r>
          </w:p>
        </w:tc>
      </w:tr>
      <w:tr>
        <w:tc>
          <w:tcPr>
            <w:tcW w:type="dxa" w:w="2268"/>
            <w:shd w:fill="EBF5FB" w:val="clear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终止条件</w:t>
            </w:r>
          </w:p>
        </w:tc>
        <w:tc>
          <w:tcPr>
            <w:tcW w:type="dxa" w:w="3402"/>
            <w:shd w:fill="EBF5F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未明确列出</w:t>
            </w:r>
          </w:p>
        </w:tc>
        <w:tc>
          <w:tcPr>
            <w:tcW w:type="dxa" w:w="3402"/>
            <w:shd w:fill="EBF5F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5种情形（余额&lt;5万、违法、连续2年无活动、协商终止、其他）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清算条款</w:t>
            </w:r>
          </w:p>
        </w:tc>
        <w:tc>
          <w:tcPr>
            <w:tcW w:type="dxa" w:w="3402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未明确</w:t>
            </w:r>
          </w:p>
        </w:tc>
        <w:tc>
          <w:tcPr>
            <w:tcW w:type="dxa" w:w="3402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基金会组织清算，剩余资产用于章程约定用途</w:t>
            </w:r>
          </w:p>
        </w:tc>
      </w:tr>
      <w:tr>
        <w:tc>
          <w:tcPr>
            <w:tcW w:type="dxa" w:w="2268"/>
            <w:shd w:fill="EBF5FB" w:val="clear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投资管理</w:t>
            </w:r>
          </w:p>
        </w:tc>
        <w:tc>
          <w:tcPr>
            <w:tcW w:type="dxa" w:w="3402"/>
            <w:shd w:fill="EBF5F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未提及</w:t>
            </w:r>
          </w:p>
        </w:tc>
        <w:tc>
          <w:tcPr>
            <w:tcW w:type="dxa" w:w="3402"/>
            <w:shd w:fill="EBF5F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管委会负责制订投资理财计划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不动本约定</w:t>
            </w:r>
          </w:p>
        </w:tc>
        <w:tc>
          <w:tcPr>
            <w:tcW w:type="dxa" w:w="3402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未提及</w:t>
            </w:r>
          </w:p>
        </w:tc>
        <w:tc>
          <w:tcPr>
            <w:tcW w:type="dxa" w:w="3402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约定部分资金为不动本</w:t>
            </w:r>
          </w:p>
        </w:tc>
      </w:tr>
      <w:tr>
        <w:tc>
          <w:tcPr>
            <w:tcW w:type="dxa" w:w="2268"/>
            <w:shd w:fill="EBF5FB" w:val="clear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支出比例</w:t>
            </w:r>
          </w:p>
        </w:tc>
        <w:tc>
          <w:tcPr>
            <w:tcW w:type="dxa" w:w="3402"/>
            <w:shd w:fill="EBF5F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未明确</w:t>
            </w:r>
          </w:p>
        </w:tc>
        <w:tc>
          <w:tcPr>
            <w:tcW w:type="dxa" w:w="3402"/>
            <w:shd w:fill="EBF5F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不低于上年基金余额5%（首年除外）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条款编号</w:t>
            </w:r>
          </w:p>
        </w:tc>
        <w:tc>
          <w:tcPr>
            <w:tcW w:type="dxa" w:w="3402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完整</w:t>
            </w:r>
          </w:p>
        </w:tc>
        <w:tc>
          <w:tcPr>
            <w:tcW w:type="dxa" w:w="3402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章程缺第五、六条；协议书缺第二条</w:t>
            </w:r>
          </w:p>
        </w:tc>
      </w:tr>
    </w:tbl>
    <w:p/>
    <w:p>
      <w:pPr>
        <w:pStyle w:val="Heading1"/>
      </w:pPr>
      <w:r>
        <w:t>七、优势劣势总结</w:t>
      </w:r>
    </w:p>
    <w:p>
      <w:pPr>
        <w:pStyle w:val="Heading2"/>
      </w:pPr>
      <w:r>
        <w:t>（一）嘉兴市教育基金会</w:t>
      </w:r>
    </w:p>
    <w:p>
      <w:r>
        <w:rPr>
          <w:b/>
          <w:color w:val="008000"/>
        </w:rPr>
        <w:t>优势：</w:t>
      </w:r>
    </w:p>
    <w:p>
      <w:pPr>
        <w:pStyle w:val="ListBullet"/>
        <w:ind w:left="720"/>
      </w:pPr>
      <w:r>
        <w:t>不收管理费（0%），资金全部用于教育事业</w:t>
      </w:r>
    </w:p>
    <w:p>
      <w:pPr>
        <w:pStyle w:val="ListBullet"/>
        <w:ind w:left="720"/>
      </w:pPr>
      <w:r>
        <w:t>协议结构简单清晰，2方签约便于操作</w:t>
      </w:r>
    </w:p>
    <w:p>
      <w:pPr>
        <w:pStyle w:val="ListBullet"/>
        <w:ind w:left="720"/>
      </w:pPr>
      <w:r>
        <w:t>街道直接主导管委会人选，管理自主权高</w:t>
      </w:r>
    </w:p>
    <w:p>
      <w:pPr>
        <w:pStyle w:val="ListBullet"/>
        <w:ind w:left="720"/>
      </w:pPr>
      <w:r>
        <w:t>管委会人员已明确指定，无需另行协商</w:t>
      </w:r>
    </w:p>
    <w:p>
      <w:pPr>
        <w:pStyle w:val="ListBullet"/>
        <w:ind w:left="720"/>
      </w:pPr>
      <w:r>
        <w:t>2个工作日内开票，响应速度快</w:t>
      </w:r>
    </w:p>
    <w:p>
      <w:r>
        <w:rPr>
          <w:b/>
          <w:color w:val="C00000"/>
        </w:rPr>
        <w:t>劣势：</w:t>
      </w:r>
    </w:p>
    <w:p>
      <w:pPr>
        <w:pStyle w:val="ListBullet"/>
        <w:ind w:left="720"/>
      </w:pPr>
      <w:r>
        <w:t>审批层级较高（需理事长办公会议审定）</w:t>
      </w:r>
    </w:p>
    <w:p>
      <w:pPr>
        <w:pStyle w:val="ListBullet"/>
        <w:ind w:left="720"/>
      </w:pPr>
      <w:r>
        <w:t>终止条件、清算条款缺失</w:t>
      </w:r>
    </w:p>
    <w:p>
      <w:pPr>
        <w:pStyle w:val="ListBullet"/>
        <w:ind w:left="720"/>
      </w:pPr>
      <w:r>
        <w:t>投资管理、不动本约定缺失</w:t>
      </w:r>
    </w:p>
    <w:p>
      <w:pPr>
        <w:pStyle w:val="ListBullet"/>
        <w:ind w:left="720"/>
      </w:pPr>
      <w:r>
        <w:t>大规模活动需省民政厅报备</w:t>
      </w:r>
    </w:p>
    <w:p>
      <w:pPr>
        <w:pStyle w:val="ListBullet"/>
        <w:ind w:left="720"/>
      </w:pPr>
      <w:r>
        <w:t>管委会任期5年，需定期换届</w:t>
      </w:r>
    </w:p>
    <w:p>
      <w:pPr>
        <w:pStyle w:val="Heading2"/>
      </w:pPr>
      <w:r>
        <w:t>（二）南湖附属学校教育基金会</w:t>
      </w:r>
    </w:p>
    <w:p>
      <w:r>
        <w:rPr>
          <w:b/>
          <w:color w:val="0000C0"/>
        </w:rPr>
        <w:t>优势：</w:t>
      </w:r>
    </w:p>
    <w:p>
      <w:pPr>
        <w:pStyle w:val="ListBullet"/>
        <w:ind w:left="720"/>
      </w:pPr>
      <w:r>
        <w:t>制度更完善（终止条件、清算、投资管理均有约定）</w:t>
      </w:r>
    </w:p>
    <w:p>
      <w:pPr>
        <w:pStyle w:val="ListBullet"/>
        <w:ind w:left="720"/>
      </w:pPr>
      <w:r>
        <w:t>学校直接作为甲方参与，主体地位明确</w:t>
      </w:r>
    </w:p>
    <w:p>
      <w:pPr>
        <w:pStyle w:val="ListBullet"/>
        <w:ind w:left="720"/>
      </w:pPr>
      <w:r>
        <w:t>管委会任期灵活（与存续同期），无需换届</w:t>
      </w:r>
    </w:p>
    <w:p>
      <w:pPr>
        <w:pStyle w:val="ListBullet"/>
        <w:ind w:left="720"/>
      </w:pPr>
      <w:r>
        <w:t>审批流程相对简化（基金会复核即可）</w:t>
      </w:r>
    </w:p>
    <w:p>
      <w:pPr>
        <w:pStyle w:val="ListBullet"/>
        <w:ind w:left="720"/>
      </w:pPr>
      <w:r>
        <w:t>8方参与，捐赠方话语权高</w:t>
      </w:r>
    </w:p>
    <w:p>
      <w:r>
        <w:rPr>
          <w:b/>
          <w:color w:val="C00000"/>
        </w:rPr>
        <w:t>劣势：</w:t>
      </w:r>
    </w:p>
    <w:p>
      <w:pPr>
        <w:pStyle w:val="ListBullet"/>
        <w:ind w:left="720"/>
      </w:pPr>
      <w:r>
        <w:t>收取5%管理费，增加资金成本</w:t>
      </w:r>
    </w:p>
    <w:p>
      <w:pPr>
        <w:pStyle w:val="ListBullet"/>
        <w:ind w:left="720"/>
      </w:pPr>
      <w:r>
        <w:t>条款编号有缺失（章程缺第五、六条；协议书缺第二条）</w:t>
      </w:r>
    </w:p>
    <w:p>
      <w:pPr>
        <w:pStyle w:val="ListBullet"/>
        <w:ind w:left="720"/>
      </w:pPr>
      <w:r>
        <w:t>章程与协议书存在矛盾（支出比例口径不一致）</w:t>
      </w:r>
    </w:p>
    <w:p>
      <w:pPr>
        <w:pStyle w:val="ListBullet"/>
        <w:ind w:left="720"/>
      </w:pPr>
      <w:r>
        <w:t>管委会人选未指定，需另行协商</w:t>
      </w:r>
    </w:p>
    <w:p>
      <w:pPr>
        <w:pStyle w:val="Heading1"/>
      </w:pPr>
      <w:r>
        <w:t>八、关键矛盾提醒</w:t>
      </w:r>
    </w:p>
    <w:p>
      <w:pPr>
        <w:pStyle w:val="Heading2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551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黑体" w:hAnsi="黑体" w:eastAsia="黑体"/>
                <w:b/>
                <w:sz w:val="22"/>
              </w:rPr>
              <w:t>矛盾点</w:t>
            </w:r>
          </w:p>
        </w:tc>
        <w:tc>
          <w:tcPr>
            <w:tcW w:type="dxa" w:w="3118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黑体" w:hAnsi="黑体" w:eastAsia="黑体"/>
                <w:b/>
                <w:sz w:val="22"/>
              </w:rPr>
              <w:t>嘉兴市方案</w:t>
            </w:r>
          </w:p>
        </w:tc>
        <w:tc>
          <w:tcPr>
            <w:tcW w:type="dxa" w:w="3402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黑体" w:hAnsi="黑体" w:eastAsia="黑体"/>
                <w:b/>
                <w:sz w:val="22"/>
              </w:rPr>
              <w:t>南湖附属方案</w:t>
            </w:r>
          </w:p>
        </w:tc>
      </w:tr>
      <w:tr>
        <w:tc>
          <w:tcPr>
            <w:tcW w:type="dxa" w:w="2551"/>
            <w:shd w:fill="EBF5FB" w:val="clear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章程 vs 协议书矛盾</w:t>
            </w:r>
          </w:p>
        </w:tc>
        <w:tc>
          <w:tcPr>
            <w:tcW w:type="dxa" w:w="3118"/>
            <w:shd w:fill="EBF5F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不适用</w:t>
            </w:r>
          </w:p>
        </w:tc>
        <w:tc>
          <w:tcPr>
            <w:tcW w:type="dxa" w:w="3402"/>
            <w:shd w:fill="EBF5F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支出比例：余额5% vs 支出金额5%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条款完整性</w:t>
            </w:r>
          </w:p>
        </w:tc>
        <w:tc>
          <w:tcPr>
            <w:tcW w:type="dxa" w:w="3118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协议完整</w:t>
            </w:r>
          </w:p>
        </w:tc>
        <w:tc>
          <w:tcPr>
            <w:tcW w:type="dxa" w:w="3402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章程缺终止条款、第五条、第六条</w:t>
            </w:r>
          </w:p>
        </w:tc>
      </w:tr>
      <w:tr>
        <w:tc>
          <w:tcPr>
            <w:tcW w:type="dxa" w:w="2551"/>
            <w:shd w:fill="EBF5FB" w:val="clear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管理费约定</w:t>
            </w:r>
          </w:p>
        </w:tc>
        <w:tc>
          <w:tcPr>
            <w:tcW w:type="dxa" w:w="3118"/>
            <w:shd w:fill="EBF5F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协议明确不收</w:t>
            </w:r>
          </w:p>
        </w:tc>
        <w:tc>
          <w:tcPr>
            <w:tcW w:type="dxa" w:w="3402"/>
            <w:shd w:fill="EBF5F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协议书收5%，章程未提及</w:t>
            </w:r>
          </w:p>
        </w:tc>
      </w:tr>
    </w:tbl>
    <w:p/>
    <w:p>
      <w:pPr>
        <w:pStyle w:val="Heading1"/>
      </w:pPr>
      <w:r>
        <w:t>九、决策建议</w:t>
      </w:r>
    </w:p>
    <w:p>
      <w:pPr>
        <w:pStyle w:val="Heading2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3969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黑体" w:hAnsi="黑体" w:eastAsia="黑体"/>
                <w:b/>
                <w:sz w:val="22"/>
              </w:rPr>
              <w:t>考量因素</w:t>
            </w:r>
          </w:p>
        </w:tc>
        <w:tc>
          <w:tcPr>
            <w:tcW w:type="dxa" w:w="5102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黑体" w:hAnsi="黑体" w:eastAsia="黑体"/>
                <w:b/>
                <w:sz w:val="22"/>
              </w:rPr>
              <w:t>推荐方案</w:t>
            </w:r>
          </w:p>
        </w:tc>
      </w:tr>
      <w:tr>
        <w:tc>
          <w:tcPr>
            <w:tcW w:type="dxa" w:w="3969"/>
            <w:shd w:fill="EBF5FB" w:val="clear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追求资金利用率最大化（免管理费）</w:t>
            </w:r>
          </w:p>
        </w:tc>
        <w:tc>
          <w:tcPr>
            <w:tcW w:type="dxa" w:w="5102"/>
            <w:shd w:fill="EBF5F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嘉兴市教育基金会</w:t>
            </w:r>
          </w:p>
        </w:tc>
      </w:tr>
      <w:tr>
        <w:tc>
          <w:tcPr>
            <w:tcW w:type="dxa" w:w="3969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追求制度完善、长期规范运作</w:t>
            </w:r>
          </w:p>
        </w:tc>
        <w:tc>
          <w:tcPr>
            <w:tcW w:type="dxa" w:w="5102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南湖附属学校教育基金会</w:t>
            </w:r>
          </w:p>
        </w:tc>
      </w:tr>
      <w:tr>
        <w:tc>
          <w:tcPr>
            <w:tcW w:type="dxa" w:w="3969"/>
            <w:shd w:fill="EBF5FB" w:val="clear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街道希望主导日常管理</w:t>
            </w:r>
          </w:p>
        </w:tc>
        <w:tc>
          <w:tcPr>
            <w:tcW w:type="dxa" w:w="5102"/>
            <w:shd w:fill="EBF5F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嘉兴市教育基金会</w:t>
            </w:r>
          </w:p>
        </w:tc>
      </w:tr>
      <w:tr>
        <w:tc>
          <w:tcPr>
            <w:tcW w:type="dxa" w:w="3969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希望捐赠方深度参与决策</w:t>
            </w:r>
          </w:p>
        </w:tc>
        <w:tc>
          <w:tcPr>
            <w:tcW w:type="dxa" w:w="5102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南湖附属学校教育基金会</w:t>
            </w:r>
          </w:p>
        </w:tc>
      </w:tr>
    </w:tbl>
    <w:p/>
    <w:p/>
    <w:p>
      <w:pPr>
        <w:jc w:val="center"/>
      </w:pPr>
      <w:r>
        <w:rPr>
          <w:b/>
          <w:sz w:val="24"/>
        </w:rPr>
        <w:t>—— 报告结束 ——</w:t>
      </w:r>
    </w:p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440" w:lineRule="exact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楷体" w:hAnsi="楷体" w:eastAsia="楷体"/>
      <w:b/>
      <w:bCs/>
      <w:color w:val="4F81BD" w:themeColor="accent1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