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rPr>
                <w:color w:val="auto"/>
              </w:rPr>
            </w:pPr>
            <w:r>
              <w:rPr>
                <w:rFonts w:hint="eastAsia"/>
                <w:b/>
                <w:bCs/>
                <w:color w:val="auto"/>
                <w:sz w:val="30"/>
              </w:rPr>
              <w:br w:type="page"/>
            </w:r>
            <w:r>
              <w:rPr>
                <w:rFonts w:hint="eastAsia"/>
                <w:color w:val="auto"/>
              </w:rPr>
              <w:t>分类号</w:t>
            </w:r>
          </w:p>
        </w:tc>
        <w:tc>
          <w:tcPr>
            <w:tcW w:w="1332" w:type="dxa"/>
            <w:gridSpan w:val="2"/>
            <w:tcBorders>
              <w:top w:val="nil"/>
              <w:left w:val="nil"/>
              <w:bottom w:val="dashSmallGap" w:color="auto" w:sz="4" w:space="0"/>
              <w:right w:val="nil"/>
            </w:tcBorders>
            <w:vAlign w:val="bottom"/>
          </w:tcPr>
          <w:p w14:paraId="52F8594C">
            <w:pPr>
              <w:pStyle w:val="37"/>
              <w:rPr>
                <w:b/>
                <w:bCs/>
                <w:color w:val="auto"/>
              </w:rPr>
            </w:pPr>
          </w:p>
        </w:tc>
        <w:tc>
          <w:tcPr>
            <w:tcW w:w="4203" w:type="dxa"/>
            <w:gridSpan w:val="3"/>
            <w:tcBorders>
              <w:top w:val="nil"/>
              <w:left w:val="nil"/>
              <w:bottom w:val="nil"/>
              <w:right w:val="nil"/>
            </w:tcBorders>
            <w:vAlign w:val="bottom"/>
          </w:tcPr>
          <w:p w14:paraId="0DA6361A">
            <w:pPr>
              <w:pStyle w:val="37"/>
              <w:rPr>
                <w:color w:val="auto"/>
              </w:rPr>
            </w:pPr>
          </w:p>
        </w:tc>
        <w:tc>
          <w:tcPr>
            <w:tcW w:w="922" w:type="dxa"/>
            <w:gridSpan w:val="2"/>
            <w:tcBorders>
              <w:top w:val="nil"/>
              <w:left w:val="nil"/>
              <w:bottom w:val="nil"/>
              <w:right w:val="nil"/>
            </w:tcBorders>
            <w:vAlign w:val="bottom"/>
          </w:tcPr>
          <w:p w14:paraId="2DC6DD75">
            <w:pPr>
              <w:pStyle w:val="37"/>
              <w:ind w:left="0" w:leftChars="0" w:firstLine="0" w:firstLineChars="0"/>
              <w:rPr>
                <w:color w:val="auto"/>
              </w:rPr>
            </w:pPr>
            <w:r>
              <w:rPr>
                <w:rFonts w:hint="eastAsia"/>
                <w:color w:val="auto"/>
              </w:rPr>
              <w:t>密 级</w:t>
            </w:r>
          </w:p>
        </w:tc>
        <w:tc>
          <w:tcPr>
            <w:tcW w:w="1332" w:type="dxa"/>
            <w:tcBorders>
              <w:top w:val="nil"/>
              <w:left w:val="nil"/>
              <w:bottom w:val="dashSmallGap" w:color="auto" w:sz="4" w:space="0"/>
              <w:right w:val="nil"/>
            </w:tcBorders>
            <w:vAlign w:val="bottom"/>
          </w:tcPr>
          <w:p w14:paraId="3CA868D6">
            <w:pPr>
              <w:pStyle w:val="37"/>
              <w:rPr>
                <w:color w:val="auto"/>
              </w:rPr>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rPr>
                <w:color w:val="auto"/>
              </w:rPr>
            </w:pPr>
            <w:r>
              <w:rPr>
                <w:rFonts w:hint="eastAsia"/>
                <w:color w:val="auto"/>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rPr>
                <w:color w:val="auto"/>
              </w:rPr>
            </w:pPr>
          </w:p>
        </w:tc>
        <w:tc>
          <w:tcPr>
            <w:tcW w:w="4203" w:type="dxa"/>
            <w:gridSpan w:val="3"/>
            <w:tcBorders>
              <w:top w:val="nil"/>
              <w:left w:val="nil"/>
              <w:bottom w:val="nil"/>
              <w:right w:val="nil"/>
            </w:tcBorders>
            <w:vAlign w:val="bottom"/>
          </w:tcPr>
          <w:p w14:paraId="23AC3EBA">
            <w:pPr>
              <w:pStyle w:val="37"/>
              <w:rPr>
                <w:color w:val="auto"/>
              </w:rPr>
            </w:pPr>
          </w:p>
        </w:tc>
        <w:tc>
          <w:tcPr>
            <w:tcW w:w="922" w:type="dxa"/>
            <w:gridSpan w:val="2"/>
            <w:tcBorders>
              <w:top w:val="nil"/>
              <w:left w:val="nil"/>
              <w:bottom w:val="nil"/>
              <w:right w:val="nil"/>
            </w:tcBorders>
            <w:vAlign w:val="bottom"/>
          </w:tcPr>
          <w:p w14:paraId="5BE38EE3">
            <w:pPr>
              <w:pStyle w:val="37"/>
              <w:ind w:left="0" w:leftChars="0" w:firstLine="0" w:firstLineChars="0"/>
              <w:rPr>
                <w:color w:val="auto"/>
              </w:rPr>
            </w:pPr>
            <w:r>
              <w:rPr>
                <w:rFonts w:hint="eastAsia"/>
                <w:color w:val="auto"/>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color w:val="auto"/>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color w:val="auto"/>
                <w:sz w:val="44"/>
              </w:rPr>
            </w:pPr>
            <w:r>
              <w:rPr>
                <w:rFonts w:hint="eastAsia" w:eastAsia="宋体"/>
                <w:color w:val="auto"/>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color w:val="auto"/>
                <w:sz w:val="44"/>
                <w:lang w:val="en-US" w:eastAsia="zh-CN"/>
              </w:rPr>
            </w:pPr>
          </w:p>
          <w:p w14:paraId="0358660F">
            <w:pPr>
              <w:pStyle w:val="37"/>
              <w:jc w:val="center"/>
              <w:rPr>
                <w:rFonts w:hint="default" w:eastAsia="仿宋_GB2312"/>
                <w:color w:val="auto"/>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auto"/>
                <w:sz w:val="36"/>
                <w:szCs w:val="36"/>
                <w:lang w:val="en-US" w:eastAsia="zh-CN"/>
              </w:rPr>
            </w:pPr>
            <w:r>
              <w:rPr>
                <w:rFonts w:hint="eastAsia" w:ascii="微软雅黑" w:hAnsi="微软雅黑" w:eastAsia="微软雅黑" w:cs="微软雅黑"/>
                <w:b/>
                <w:color w:val="auto"/>
                <w:sz w:val="36"/>
                <w:szCs w:val="36"/>
                <w:lang w:val="en-US" w:eastAsia="zh-CN"/>
              </w:rPr>
              <w:t>浙江省宗教界“双通”人才研修班</w:t>
            </w:r>
          </w:p>
          <w:p w14:paraId="0BD70198">
            <w:pPr>
              <w:pStyle w:val="38"/>
              <w:rPr>
                <w:rFonts w:hint="default"/>
                <w:b/>
                <w:color w:val="auto"/>
                <w:lang w:val="en-US"/>
              </w:rPr>
            </w:pPr>
            <w:r>
              <w:rPr>
                <w:rFonts w:hint="eastAsia" w:ascii="微软雅黑" w:hAnsi="微软雅黑" w:eastAsia="微软雅黑" w:cs="微软雅黑"/>
                <w:b/>
                <w:color w:val="auto"/>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auto"/>
                <w:sz w:val="32"/>
                <w:szCs w:val="32"/>
                <w:lang w:eastAsia="zh-CN"/>
              </w:rPr>
            </w:pPr>
          </w:p>
          <w:p w14:paraId="5740EEA7">
            <w:pPr>
              <w:keepNext w:val="0"/>
              <w:keepLines w:val="0"/>
              <w:widowControl/>
              <w:suppressLineNumbers w:val="0"/>
              <w:jc w:val="center"/>
              <w:rPr>
                <w:color w:val="auto"/>
              </w:rPr>
            </w:pPr>
            <w:r>
              <w:rPr>
                <w:rFonts w:hint="default" w:ascii="黑体" w:hAnsi="宋体" w:eastAsia="黑体" w:cs="黑体"/>
                <w:b/>
                <w:bCs/>
                <w:snapToGrid/>
                <w:color w:val="auto"/>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auto"/>
                <w:sz w:val="32"/>
                <w:szCs w:val="32"/>
                <w:lang w:val="en-US" w:eastAsia="zh-CN"/>
              </w:rPr>
            </w:pPr>
          </w:p>
          <w:p w14:paraId="525BDA62">
            <w:pPr>
              <w:adjustRightInd w:val="0"/>
              <w:snapToGrid w:val="0"/>
              <w:jc w:val="center"/>
              <w:rPr>
                <w:rFonts w:hint="eastAsia" w:eastAsia="宋体"/>
                <w:color w:val="auto"/>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rPr>
                <w:color w:val="auto"/>
              </w:rPr>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auto"/>
                <w:sz w:val="52"/>
              </w:rPr>
            </w:pPr>
          </w:p>
        </w:tc>
        <w:tc>
          <w:tcPr>
            <w:tcW w:w="3352" w:type="dxa"/>
            <w:gridSpan w:val="2"/>
            <w:tcBorders>
              <w:top w:val="nil"/>
              <w:left w:val="nil"/>
              <w:bottom w:val="nil"/>
              <w:right w:val="nil"/>
            </w:tcBorders>
            <w:vAlign w:val="center"/>
          </w:tcPr>
          <w:p w14:paraId="53122898">
            <w:pPr>
              <w:pStyle w:val="40"/>
              <w:ind w:firstLine="280" w:firstLineChars="100"/>
              <w:rPr>
                <w:b/>
                <w:bCs/>
                <w:color w:val="auto"/>
              </w:rPr>
            </w:pPr>
            <w:r>
              <w:rPr>
                <w:rFonts w:hint="eastAsia"/>
                <w:b/>
                <w:bCs/>
                <w:color w:val="auto"/>
                <w:lang w:val="en-US" w:eastAsia="zh-CN"/>
              </w:rPr>
              <w:t>作   者</w:t>
            </w:r>
            <w:r>
              <w:rPr>
                <w:rFonts w:hint="eastAsia"/>
                <w:b/>
                <w:bCs/>
                <w:color w:val="auto"/>
              </w:rPr>
              <w:t xml:space="preserve"> </w:t>
            </w:r>
            <w:r>
              <w:rPr>
                <w:rFonts w:hint="eastAsia"/>
                <w:b/>
                <w:bCs/>
                <w:color w:val="auto"/>
                <w:lang w:val="en-US" w:eastAsia="zh-CN"/>
              </w:rPr>
              <w:t xml:space="preserve">  </w:t>
            </w:r>
            <w:r>
              <w:rPr>
                <w:rFonts w:hint="eastAsia"/>
                <w:b/>
                <w:bCs/>
                <w:color w:val="auto"/>
              </w:rPr>
              <w:t xml:space="preserve">姓 </w:t>
            </w:r>
            <w:r>
              <w:rPr>
                <w:rFonts w:hint="eastAsia"/>
                <w:b/>
                <w:bCs/>
                <w:color w:val="auto"/>
                <w:lang w:val="en-US" w:eastAsia="zh-CN"/>
              </w:rPr>
              <w:t xml:space="preserve">  </w:t>
            </w:r>
            <w:r>
              <w:rPr>
                <w:rFonts w:hint="eastAsia"/>
                <w:b/>
                <w:bCs/>
                <w:color w:val="auto"/>
              </w:rPr>
              <w:t xml:space="preserve"> 名：</w:t>
            </w:r>
          </w:p>
        </w:tc>
        <w:tc>
          <w:tcPr>
            <w:tcW w:w="302" w:type="dxa"/>
            <w:tcBorders>
              <w:top w:val="nil"/>
              <w:left w:val="nil"/>
              <w:bottom w:val="nil"/>
              <w:right w:val="nil"/>
            </w:tcBorders>
            <w:vAlign w:val="center"/>
          </w:tcPr>
          <w:p w14:paraId="64FC411D">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color w:val="auto"/>
                <w:spacing w:val="20"/>
                <w:lang w:val="en-US" w:eastAsia="zh-CN"/>
              </w:rPr>
            </w:pPr>
            <w:r>
              <w:rPr>
                <w:rFonts w:hint="eastAsia"/>
                <w:b/>
                <w:bCs/>
                <w:color w:val="auto"/>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auto"/>
                <w:sz w:val="52"/>
              </w:rPr>
            </w:pPr>
          </w:p>
          <w:p w14:paraId="37018065">
            <w:pPr>
              <w:adjustRightInd w:val="0"/>
              <w:snapToGrid w:val="0"/>
              <w:rPr>
                <w:rFonts w:hint="eastAsia" w:eastAsia="楷体_GB2312"/>
                <w:color w:val="auto"/>
                <w:sz w:val="52"/>
              </w:rPr>
            </w:pPr>
          </w:p>
          <w:p w14:paraId="45990817">
            <w:pPr>
              <w:adjustRightInd w:val="0"/>
              <w:snapToGrid w:val="0"/>
              <w:rPr>
                <w:rFonts w:hint="eastAsia" w:eastAsia="楷体_GB2312"/>
                <w:color w:val="auto"/>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auto"/>
                <w:sz w:val="52"/>
              </w:rPr>
            </w:pPr>
          </w:p>
        </w:tc>
        <w:tc>
          <w:tcPr>
            <w:tcW w:w="3352" w:type="dxa"/>
            <w:gridSpan w:val="2"/>
            <w:tcBorders>
              <w:top w:val="nil"/>
              <w:left w:val="nil"/>
              <w:bottom w:val="nil"/>
              <w:right w:val="nil"/>
            </w:tcBorders>
            <w:vAlign w:val="center"/>
          </w:tcPr>
          <w:p w14:paraId="2C96ED63">
            <w:pPr>
              <w:pStyle w:val="40"/>
              <w:ind w:firstLine="280" w:firstLineChars="100"/>
              <w:rPr>
                <w:b/>
                <w:bCs/>
                <w:color w:val="auto"/>
              </w:rPr>
            </w:pPr>
            <w:r>
              <w:rPr>
                <w:rFonts w:hint="eastAsia"/>
                <w:b/>
                <w:bCs/>
                <w:color w:val="auto"/>
              </w:rPr>
              <w:t xml:space="preserve">学            </w:t>
            </w:r>
            <w:r>
              <w:rPr>
                <w:b/>
                <w:bCs/>
                <w:color w:val="auto"/>
              </w:rPr>
              <w:t xml:space="preserve"> </w:t>
            </w:r>
            <w:r>
              <w:rPr>
                <w:rFonts w:hint="eastAsia"/>
                <w:b/>
                <w:bCs/>
                <w:color w:val="auto"/>
              </w:rPr>
              <w:t xml:space="preserve"> 号：</w:t>
            </w:r>
          </w:p>
        </w:tc>
        <w:tc>
          <w:tcPr>
            <w:tcW w:w="302" w:type="dxa"/>
            <w:tcBorders>
              <w:top w:val="nil"/>
              <w:left w:val="nil"/>
              <w:bottom w:val="nil"/>
              <w:right w:val="nil"/>
            </w:tcBorders>
            <w:vAlign w:val="center"/>
          </w:tcPr>
          <w:p w14:paraId="56436DBB">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6CC46EA1">
            <w:pPr>
              <w:rPr>
                <w:color w:val="auto"/>
              </w:rPr>
            </w:pPr>
            <w:r>
              <w:rPr>
                <w:color w:val="auto"/>
              </w:rP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auto"/>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auto"/>
                <w:sz w:val="52"/>
              </w:rPr>
            </w:pPr>
          </w:p>
        </w:tc>
        <w:tc>
          <w:tcPr>
            <w:tcW w:w="3352" w:type="dxa"/>
            <w:gridSpan w:val="2"/>
            <w:tcBorders>
              <w:top w:val="nil"/>
              <w:left w:val="nil"/>
              <w:bottom w:val="nil"/>
              <w:right w:val="nil"/>
            </w:tcBorders>
            <w:vAlign w:val="center"/>
          </w:tcPr>
          <w:p w14:paraId="63365C72">
            <w:pPr>
              <w:pStyle w:val="40"/>
              <w:ind w:firstLine="280" w:firstLineChars="100"/>
              <w:rPr>
                <w:b/>
                <w:bCs/>
                <w:color w:val="auto"/>
              </w:rPr>
            </w:pPr>
            <w:r>
              <w:rPr>
                <w:rFonts w:hint="eastAsia"/>
                <w:b/>
                <w:bCs/>
                <w:color w:val="auto"/>
              </w:rPr>
              <w:t>指</w:t>
            </w:r>
            <w:r>
              <w:rPr>
                <w:rFonts w:hint="eastAsia"/>
                <w:b/>
                <w:bCs/>
                <w:color w:val="auto"/>
                <w:lang w:val="en-US" w:eastAsia="zh-CN"/>
              </w:rPr>
              <w:t xml:space="preserve">   </w:t>
            </w:r>
            <w:r>
              <w:rPr>
                <w:rFonts w:hint="eastAsia"/>
                <w:b/>
                <w:bCs/>
                <w:color w:val="auto"/>
              </w:rPr>
              <w:t>导</w:t>
            </w:r>
            <w:r>
              <w:rPr>
                <w:rFonts w:hint="eastAsia"/>
                <w:b/>
                <w:bCs/>
                <w:color w:val="auto"/>
                <w:lang w:val="en-US" w:eastAsia="zh-CN"/>
              </w:rPr>
              <w:t xml:space="preserve">   </w:t>
            </w:r>
            <w:r>
              <w:rPr>
                <w:rFonts w:hint="eastAsia"/>
                <w:b/>
                <w:bCs/>
                <w:color w:val="auto"/>
              </w:rPr>
              <w:t>教</w:t>
            </w:r>
            <w:r>
              <w:rPr>
                <w:rFonts w:hint="eastAsia"/>
                <w:b/>
                <w:bCs/>
                <w:color w:val="auto"/>
                <w:lang w:val="en-US" w:eastAsia="zh-CN"/>
              </w:rPr>
              <w:t xml:space="preserve">    </w:t>
            </w:r>
            <w:r>
              <w:rPr>
                <w:rFonts w:hint="eastAsia"/>
                <w:b/>
                <w:bCs/>
                <w:color w:val="auto"/>
              </w:rPr>
              <w:t>师：</w:t>
            </w:r>
          </w:p>
        </w:tc>
        <w:tc>
          <w:tcPr>
            <w:tcW w:w="302" w:type="dxa"/>
            <w:tcBorders>
              <w:top w:val="nil"/>
              <w:left w:val="nil"/>
              <w:bottom w:val="nil"/>
              <w:right w:val="nil"/>
            </w:tcBorders>
            <w:vAlign w:val="center"/>
          </w:tcPr>
          <w:p w14:paraId="0BE16A20">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color w:val="auto"/>
                <w:lang w:val="en-US" w:eastAsia="zh-CN"/>
              </w:rPr>
            </w:pPr>
            <w:r>
              <w:rPr>
                <w:rFonts w:hint="eastAsia" w:eastAsia="宋体"/>
                <w:b/>
                <w:bCs/>
                <w:color w:val="auto"/>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auto"/>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auto"/>
                <w:sz w:val="52"/>
              </w:rPr>
            </w:pPr>
          </w:p>
        </w:tc>
        <w:tc>
          <w:tcPr>
            <w:tcW w:w="3352" w:type="dxa"/>
            <w:gridSpan w:val="2"/>
            <w:tcBorders>
              <w:top w:val="nil"/>
              <w:left w:val="nil"/>
              <w:bottom w:val="nil"/>
              <w:right w:val="nil"/>
            </w:tcBorders>
            <w:vAlign w:val="center"/>
          </w:tcPr>
          <w:p w14:paraId="67F1108F">
            <w:pPr>
              <w:pStyle w:val="40"/>
              <w:ind w:firstLine="280" w:firstLineChars="100"/>
              <w:rPr>
                <w:b/>
                <w:bCs/>
                <w:color w:val="auto"/>
              </w:rPr>
            </w:pPr>
            <w:r>
              <w:rPr>
                <w:rFonts w:hint="eastAsia"/>
                <w:b/>
                <w:bCs/>
                <w:color w:val="auto"/>
              </w:rPr>
              <w:t xml:space="preserve">研   究   方  </w:t>
            </w:r>
            <w:r>
              <w:rPr>
                <w:b/>
                <w:bCs/>
                <w:color w:val="auto"/>
              </w:rPr>
              <w:t xml:space="preserve"> </w:t>
            </w:r>
            <w:r>
              <w:rPr>
                <w:rFonts w:hint="eastAsia"/>
                <w:b/>
                <w:bCs/>
                <w:color w:val="auto"/>
              </w:rPr>
              <w:t xml:space="preserve"> 向：</w:t>
            </w:r>
          </w:p>
        </w:tc>
        <w:tc>
          <w:tcPr>
            <w:tcW w:w="302" w:type="dxa"/>
            <w:tcBorders>
              <w:top w:val="nil"/>
              <w:left w:val="nil"/>
              <w:bottom w:val="nil"/>
              <w:right w:val="nil"/>
            </w:tcBorders>
            <w:vAlign w:val="center"/>
          </w:tcPr>
          <w:p w14:paraId="5F9EA1D2">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color w:val="auto"/>
                <w:lang w:val="en-US" w:eastAsia="zh-CN"/>
              </w:rPr>
            </w:pPr>
            <w:r>
              <w:rPr>
                <w:rFonts w:hint="eastAsia"/>
                <w:b/>
                <w:bCs/>
                <w:color w:val="auto"/>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auto"/>
                <w:sz w:val="52"/>
              </w:rPr>
            </w:pPr>
          </w:p>
        </w:tc>
      </w:tr>
      <w:tr w14:paraId="29C7B864">
        <w:trPr>
          <w:trHeight w:val="1718" w:hRule="atLeast"/>
          <w:jc w:val="center"/>
        </w:trPr>
        <w:tc>
          <w:tcPr>
            <w:tcW w:w="8918" w:type="dxa"/>
            <w:gridSpan w:val="9"/>
            <w:tcBorders>
              <w:top w:val="nil"/>
              <w:left w:val="nil"/>
              <w:bottom w:val="nil"/>
              <w:right w:val="nil"/>
            </w:tcBorders>
          </w:tcPr>
          <w:p w14:paraId="5442196D">
            <w:pPr>
              <w:pStyle w:val="41"/>
              <w:jc w:val="both"/>
              <w:rPr>
                <w:color w:val="auto"/>
              </w:rPr>
            </w:pPr>
          </w:p>
          <w:p w14:paraId="72B0AD01">
            <w:pPr>
              <w:pStyle w:val="41"/>
              <w:jc w:val="both"/>
              <w:rPr>
                <w:color w:val="auto"/>
              </w:rPr>
            </w:pPr>
          </w:p>
          <w:p w14:paraId="54684E14">
            <w:pPr>
              <w:jc w:val="center"/>
              <w:rPr>
                <w:color w:val="auto"/>
              </w:rPr>
            </w:pPr>
            <w:r>
              <w:rPr>
                <w:rFonts w:hint="eastAsia"/>
                <w:color w:val="auto"/>
                <w:sz w:val="28"/>
                <w:szCs w:val="28"/>
                <w:lang w:val="en-US" w:eastAsia="zh-CN"/>
              </w:rPr>
              <w:t xml:space="preserve">2026 </w:t>
            </w:r>
            <w:r>
              <w:rPr>
                <w:rFonts w:hint="eastAsia"/>
                <w:color w:val="auto"/>
                <w:sz w:val="28"/>
                <w:szCs w:val="28"/>
              </w:rPr>
              <w:t xml:space="preserve">年 </w:t>
            </w:r>
            <w:r>
              <w:rPr>
                <w:rFonts w:hint="eastAsia"/>
                <w:color w:val="auto"/>
                <w:sz w:val="28"/>
                <w:szCs w:val="28"/>
                <w:lang w:val="en-US" w:eastAsia="zh-CN"/>
              </w:rPr>
              <w:t>XX</w:t>
            </w:r>
            <w:r>
              <w:rPr>
                <w:color w:val="auto"/>
                <w:sz w:val="28"/>
                <w:szCs w:val="28"/>
              </w:rPr>
              <w:t xml:space="preserve"> </w:t>
            </w:r>
            <w:r>
              <w:rPr>
                <w:rFonts w:hint="eastAsia"/>
                <w:color w:val="auto"/>
                <w:sz w:val="28"/>
                <w:szCs w:val="28"/>
              </w:rPr>
              <w:t>月</w:t>
            </w:r>
            <w:r>
              <w:rPr>
                <w:rFonts w:hint="eastAsia"/>
                <w:color w:val="auto"/>
                <w:sz w:val="28"/>
                <w:szCs w:val="28"/>
                <w:lang w:val="en-US" w:eastAsia="zh-CN"/>
              </w:rPr>
              <w:t xml:space="preserve"> XX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color w:val="auto"/>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color w:val="auto"/>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color w:val="auto"/>
          <w:sz w:val="32"/>
          <w:szCs w:val="32"/>
        </w:rPr>
      </w:pPr>
      <w:r>
        <w:rPr>
          <w:rFonts w:hint="default" w:ascii="Times New Roman" w:hAnsi="Times New Roman" w:cs="Times New Roman"/>
          <w:bCs/>
          <w:color w:val="auto"/>
          <w:sz w:val="32"/>
          <w:szCs w:val="32"/>
        </w:rPr>
        <w:t>Title</w:t>
      </w:r>
      <w:r>
        <w:rPr>
          <w:rFonts w:hint="eastAsia" w:ascii="Times New Roman" w:hAnsi="Times New Roman" w:cs="Times New Roman"/>
          <w:bCs/>
          <w:color w:val="auto"/>
          <w:sz w:val="32"/>
          <w:szCs w:val="32"/>
          <w:lang w:val="en-US" w:eastAsia="zh-CN"/>
        </w:rPr>
        <w:t>:</w:t>
      </w:r>
      <w:r>
        <w:rPr>
          <w:rFonts w:hint="default" w:ascii="Times New Roman" w:hAnsi="Times New Roman" w:cs="Times New Roman"/>
          <w:bCs/>
          <w:color w:val="auto"/>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color w:val="auto"/>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Author</w:t>
      </w:r>
      <w:r>
        <w:rPr>
          <w:rFonts w:hint="default" w:ascii="Times New Roman" w:hAnsi="Times New Roman" w:eastAsia="楷体_GB2312" w:cs="Times New Roman"/>
          <w:b/>
          <w:bCs/>
          <w:color w:val="auto"/>
          <w:sz w:val="30"/>
          <w:szCs w:val="30"/>
        </w:rPr>
        <w:t>：</w:t>
      </w:r>
      <w:r>
        <w:rPr>
          <w:rFonts w:hint="eastAsia" w:ascii="Times New Roman" w:hAnsi="Times New Roman" w:cs="Times New Roman"/>
          <w:b/>
          <w:bCs/>
          <w:color w:val="auto"/>
          <w:sz w:val="30"/>
          <w:szCs w:val="30"/>
          <w:lang w:val="en-US" w:eastAsia="zh-CN"/>
        </w:rPr>
        <w:t xml:space="preserve">       </w:t>
      </w:r>
      <w:r>
        <w:rPr>
          <w:rFonts w:hint="eastAsia" w:cs="Times New Roman"/>
          <w:b/>
          <w:bCs/>
          <w:color w:val="auto"/>
          <w:sz w:val="30"/>
          <w:szCs w:val="30"/>
          <w:lang w:val="en-US" w:eastAsia="zh-CN"/>
        </w:rPr>
        <w:t xml:space="preserve">    </w:t>
      </w:r>
      <w:r>
        <w:rPr>
          <w:rFonts w:hint="eastAsia" w:ascii="Times New Roman" w:hAnsi="Times New Roman" w:cs="Times New Roman"/>
          <w:b/>
          <w:bCs/>
          <w:color w:val="auto"/>
          <w:sz w:val="30"/>
          <w:szCs w:val="30"/>
          <w:lang w:val="en-US" w:eastAsia="zh-CN"/>
        </w:rPr>
        <w:t xml:space="preserve">    </w:t>
      </w:r>
      <w:r>
        <w:rPr>
          <w:rFonts w:hint="default" w:eastAsia="楷体_GB2312" w:cs="Times New Roman"/>
          <w:b/>
          <w:bCs/>
          <w:color w:val="auto"/>
          <w:sz w:val="30"/>
          <w:szCs w:val="30"/>
          <w:lang w:val="en-US" w:eastAsia="zh-CN"/>
        </w:rPr>
        <w:t>Y</w:t>
      </w:r>
      <w:r>
        <w:rPr>
          <w:rFonts w:hint="eastAsia" w:eastAsia="楷体_GB2312" w:cs="Times New Roman"/>
          <w:b/>
          <w:bCs/>
          <w:color w:val="auto"/>
          <w:sz w:val="30"/>
          <w:szCs w:val="30"/>
          <w:lang w:val="en-US" w:eastAsia="zh-CN"/>
        </w:rPr>
        <w:t xml:space="preserve">e </w:t>
      </w:r>
      <w:r>
        <w:rPr>
          <w:rFonts w:hint="default" w:eastAsia="楷体_GB2312" w:cs="Times New Roman"/>
          <w:b/>
          <w:bCs/>
          <w:color w:val="auto"/>
          <w:sz w:val="30"/>
          <w:szCs w:val="30"/>
          <w:lang w:val="en-US" w:eastAsia="zh-CN"/>
        </w:rPr>
        <w:t>W</w:t>
      </w:r>
      <w:r>
        <w:rPr>
          <w:rFonts w:hint="eastAsia" w:eastAsia="楷体_GB2312" w:cs="Times New Roman"/>
          <w:b/>
          <w:bCs/>
          <w:color w:val="auto"/>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lang w:val="en-US"/>
        </w:rPr>
        <w:t>R</w:t>
      </w:r>
      <w:r>
        <w:rPr>
          <w:rFonts w:hint="default" w:ascii="Times New Roman" w:hAnsi="Times New Roman" w:cs="Times New Roman"/>
          <w:b/>
          <w:bCs/>
          <w:color w:val="auto"/>
          <w:sz w:val="30"/>
          <w:szCs w:val="30"/>
        </w:rPr>
        <w:t>eligion：</w:t>
      </w:r>
      <w:r>
        <w:rPr>
          <w:rFonts w:hint="eastAsia" w:ascii="Times New Roman" w:hAnsi="Times New Roman" w:cs="Times New Roman"/>
          <w:b/>
          <w:bCs/>
          <w:color w:val="auto"/>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Supervisor：</w:t>
      </w:r>
      <w:r>
        <w:rPr>
          <w:rFonts w:hint="eastAsia" w:ascii="Times New Roman" w:hAnsi="Times New Roman" w:cs="Times New Roman"/>
          <w:b/>
          <w:bCs/>
          <w:color w:val="auto"/>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color w:val="auto"/>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color w:val="auto"/>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color w:val="auto"/>
          <w:kern w:val="2"/>
          <w:sz w:val="30"/>
          <w:szCs w:val="30"/>
          <w:lang w:val="en-US" w:eastAsia="zh-CN" w:bidi="ar-SA"/>
        </w:rPr>
      </w:pPr>
      <w:r>
        <w:rPr>
          <w:color w:val="auto"/>
        </w:rP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color w:val="auto"/>
        </w:rPr>
      </w:pPr>
      <w:r>
        <w:rPr>
          <w:rFonts w:ascii="Times New Roman" w:hAnsi="Times New Roman" w:cs="Times New Roman"/>
          <w:color w:val="auto"/>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color w:val="auto"/>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pageBreakBefore w:val="0"/>
        <w:kinsoku/>
        <w:wordWrap/>
        <w:overflowPunct/>
        <w:topLinePunct w:val="0"/>
        <w:bidi w:val="0"/>
        <w:adjustRightInd w:val="0"/>
        <w:snapToGrid w:val="0"/>
        <w:ind w:firstLine="640" w:firstLineChars="200"/>
        <w:textAlignment w:val="auto"/>
        <w:rPr>
          <w:rFonts w:hint="eastAsia"/>
          <w:color w:val="auto"/>
          <w:lang w:eastAsia="zh-CN"/>
        </w:rPr>
      </w:pPr>
      <w:bookmarkStart w:id="0" w:name="_Toc11059"/>
      <w:bookmarkStart w:id="1" w:name="_Toc8830"/>
      <w:bookmarkStart w:id="2" w:name="_Toc1705937017"/>
      <w:bookmarkStart w:id="3" w:name="_Toc379257105"/>
      <w:bookmarkStart w:id="4" w:name="_Toc828490391"/>
      <w:bookmarkStart w:id="5" w:name="_Toc20200"/>
      <w:bookmarkStart w:id="6" w:name="_Toc1471807053"/>
      <w:bookmarkStart w:id="7" w:name="_Toc31961"/>
      <w:bookmarkStart w:id="8" w:name="_Toc246172426"/>
      <w:bookmarkStart w:id="9" w:name="_Toc362486656"/>
      <w:bookmarkStart w:id="10" w:name="_Toc19856"/>
      <w:bookmarkStart w:id="11" w:name="_Toc28263"/>
      <w:bookmarkStart w:id="12" w:name="_Toc18544"/>
      <w:bookmarkStart w:id="13" w:name="_Toc290983561"/>
      <w:bookmarkStart w:id="14" w:name="_Toc1544488105"/>
      <w:bookmarkStart w:id="15" w:name="_Toc1715546296"/>
      <w:r>
        <w:rPr>
          <w:rFonts w:hint="eastAsia"/>
          <w:color w:val="auto"/>
          <w:lang w:eastAsia="zh-CN"/>
        </w:rPr>
        <w:t>摘</w:t>
      </w:r>
      <w:r>
        <w:rPr>
          <w:rFonts w:hint="eastAsia"/>
          <w:color w:val="auto"/>
          <w:lang w:val="en-US" w:eastAsia="zh-CN"/>
        </w:rPr>
        <w:t xml:space="preserve">  </w:t>
      </w:r>
      <w:r>
        <w:rPr>
          <w:rFonts w:hint="eastAsia"/>
          <w:color w:val="auto"/>
          <w:lang w:eastAsia="zh-CN"/>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color w:val="auto"/>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color w:val="auto"/>
          <w:lang w:val="en-US" w:eastAsia="zh-CN"/>
        </w:rPr>
      </w:pPr>
      <w:r>
        <w:rPr>
          <w:rFonts w:hint="eastAsia" w:ascii="宋体" w:hAnsi="宋体" w:eastAsia="宋体" w:cs="宋体"/>
          <w:color w:val="auto"/>
        </w:rP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color w:val="auto"/>
          <w:lang w:val="en-US" w:eastAsia="zh-CN"/>
        </w:rPr>
      </w:pPr>
      <w:r>
        <w:rPr>
          <w:rFonts w:hint="eastAsia" w:ascii="宋体" w:hAnsi="宋体" w:eastAsia="宋体" w:cs="宋体"/>
          <w:color w:val="auto"/>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w:t>
      </w:r>
      <w:r>
        <w:rPr>
          <w:rFonts w:hint="default" w:ascii="Times New Roman" w:hAnsi="Times New Roman" w:eastAsia="宋体" w:cs="Times New Roman"/>
          <w:color w:val="auto"/>
          <w:lang w:val="en-US" w:eastAsia="zh-CN"/>
        </w:rPr>
        <w:t>Agape</w:t>
      </w:r>
      <w:r>
        <w:rPr>
          <w:rFonts w:hint="eastAsia" w:ascii="宋体" w:hAnsi="宋体" w:eastAsia="宋体" w:cs="宋体"/>
          <w:color w:val="auto"/>
          <w:lang w:val="en-US" w:eastAsia="zh-CN"/>
        </w:rPr>
        <w:t>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color w:val="auto"/>
          <w:lang w:val="en-US" w:eastAsia="zh-CN"/>
        </w:rPr>
      </w:pPr>
      <w:r>
        <w:rPr>
          <w:rFonts w:hint="eastAsia" w:ascii="宋体" w:hAnsi="宋体" w:eastAsia="宋体" w:cs="宋体"/>
          <w:color w:val="auto"/>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color w:val="auto"/>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auto"/>
          <w:lang w:eastAsia="zh-CN"/>
        </w:rPr>
      </w:pPr>
      <w:r>
        <w:rPr>
          <w:rFonts w:hint="eastAsia"/>
          <w:color w:val="auto"/>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color w:val="auto"/>
          <w:lang w:val="en-US" w:eastAsia="zh-CN"/>
        </w:rPr>
      </w:pPr>
      <w:bookmarkStart w:id="16" w:name="_Toc154034389"/>
      <w:bookmarkStart w:id="17" w:name="_Toc629273622"/>
      <w:bookmarkStart w:id="18" w:name="_Toc25068"/>
      <w:bookmarkStart w:id="19" w:name="_Toc2049604500"/>
      <w:bookmarkStart w:id="20" w:name="_Toc1944493625"/>
      <w:bookmarkStart w:id="21" w:name="_Toc442699439"/>
      <w:bookmarkStart w:id="22" w:name="_Toc3181"/>
      <w:bookmarkStart w:id="23" w:name="_Toc26499"/>
      <w:bookmarkStart w:id="24" w:name="_Toc23274"/>
      <w:bookmarkStart w:id="25" w:name="_Toc740445508"/>
      <w:bookmarkStart w:id="26" w:name="_Toc1366459660"/>
      <w:bookmarkStart w:id="27" w:name="_Toc13702"/>
      <w:bookmarkStart w:id="28" w:name="_Toc1576739446"/>
      <w:bookmarkStart w:id="29" w:name="_Toc1071152250"/>
      <w:r>
        <w:rPr>
          <w:color w:val="FF0000"/>
        </w:rPr>
        <w:t>A</w:t>
      </w:r>
      <w:r>
        <w:rPr>
          <w:rFonts w:hint="eastAsia"/>
          <w:lang w:val="en-US" w:eastAsia="zh-CN"/>
          <w:color w:val="FF0000"/>
        </w:rPr>
        <w:t>bstract</w:t>
      </w:r>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AF21548">
      <w:pPr>
        <w:pageBreakBefore w:val="0"/>
        <w:kinsoku/>
        <w:wordWrap/>
        <w:overflowPunct/>
        <w:topLinePunct w:val="0"/>
        <w:bidi w:val="0"/>
        <w:adjustRightInd w:val="0"/>
        <w:snapToGrid w:val="0"/>
        <w:ind w:firstLine="480" w:firstLineChars="200"/>
        <w:textAlignment w:val="auto"/>
        <w:rPr>
          <w:rFonts w:hint="eastAsia"/>
          <w:color w:val="auto"/>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color w:val="auto"/>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rPr>
          <w:color w:val="auto"/>
        </w:rP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color w:val="auto"/>
          <w:sz w:val="32"/>
          <w:szCs w:val="32"/>
          <w:lang w:val="en-US" w:eastAsia="zh-CN"/>
        </w:rPr>
      </w:pPr>
      <w:bookmarkStart w:id="30" w:name="_Toc16558"/>
      <w:bookmarkStart w:id="31" w:name="_Toc3063"/>
      <w:bookmarkStart w:id="32" w:name="_Toc28965"/>
      <w:bookmarkStart w:id="33" w:name="_Toc23833"/>
      <w:bookmarkStart w:id="34" w:name="_Toc12205"/>
      <w:bookmarkStart w:id="35" w:name="_Toc30510"/>
      <w:bookmarkStart w:id="36" w:name="_Toc23385"/>
      <w:bookmarkStart w:id="37" w:name="_Toc27475"/>
      <w:bookmarkStart w:id="38" w:name="_Toc11803"/>
      <w:bookmarkStart w:id="39" w:name="_Toc31026"/>
      <w:bookmarkStart w:id="40" w:name="_Toc29976"/>
      <w:bookmarkStart w:id="41" w:name="_Toc160"/>
      <w:bookmarkStart w:id="42" w:name="_Toc26892"/>
      <w:bookmarkStart w:id="43" w:name="_Toc14832"/>
      <w:bookmarkStart w:id="44" w:name="_Toc2948"/>
      <w:bookmarkStart w:id="45" w:name="_Toc23585"/>
      <w:r>
        <w:rPr>
          <w:rFonts w:hint="eastAsia" w:ascii="黑体" w:hAnsi="黑体" w:eastAsia="黑体" w:cs="黑体"/>
          <w:b/>
          <w:bCs/>
          <w:color w:val="auto"/>
          <w:sz w:val="32"/>
          <w:szCs w:val="32"/>
          <w:lang w:val="en-US" w:eastAsia="zh-CN"/>
        </w:rPr>
        <w:br w:type="page"/>
      </w:r>
    </w:p>
    <w:p w14:paraId="5DEFBEBA">
      <w:pPr>
        <w:tabs>
          <w:tab w:val="right" w:leader="dot" w:pos="9071"/>
        </w:tabs>
        <w:spacing w:before="0" w:after="0" w:line="360" w:lineRule="auto"/>
        <w:ind w:left="0" w:leftChars="0" w:firstLine="0" w:firstLineChars="0"/>
        <w:jc w:val="center"/>
        <w:rPr>
          <w:rFonts w:hint="eastAsia" w:ascii="黑体" w:hAnsi="黑体" w:eastAsia="黑体" w:cs="黑体"/>
          <w:b/>
          <w:bCs/>
          <w:color w:val="auto"/>
          <w:sz w:val="32"/>
          <w:szCs w:val="32"/>
          <w:lang w:val="en-US" w:eastAsia="zh-CN"/>
        </w:rPr>
      </w:pPr>
      <w:r>
        <w:rPr>
          <w:rFonts w:hint="eastAsia" w:ascii="黑体" w:hAnsi="黑体" w:eastAsia="黑体" w:cs="黑体"/>
          <w:b/>
          <w:bCs/>
          <w:color w:val="auto"/>
          <w:sz w:val="32"/>
          <w:szCs w:val="32"/>
          <w:lang w:val="en-US" w:eastAsia="zh-CN"/>
        </w:rPr>
        <w:t>目  录</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339CDD70">
      <w:pPr>
        <w:pStyle w:val="15"/>
        <w:tabs>
          <w:tab w:val="right" w:leader="dot" w:pos="8786"/>
        </w:tabs>
      </w:pPr>
      <w:r>
        <w:rPr>
          <w:rFonts w:hint="eastAsia" w:ascii="黑体" w:hAnsi="黑体" w:eastAsia="黑体" w:cs="黑体"/>
          <w:b/>
          <w:bCs/>
          <w:color w:val="auto"/>
          <w:sz w:val="32"/>
          <w:szCs w:val="32"/>
          <w:lang w:val="en-US" w:eastAsia="zh-CN"/>
        </w:rPr>
        <w:fldChar w:fldCharType="begin"/>
      </w:r>
      <w:r>
        <w:rPr>
          <w:rFonts w:hint="eastAsia" w:ascii="黑体" w:hAnsi="黑体" w:eastAsia="黑体" w:cs="黑体"/>
          <w:b/>
          <w:bCs/>
          <w:color w:val="auto"/>
          <w:sz w:val="32"/>
          <w:szCs w:val="32"/>
          <w:lang w:val="en-US" w:eastAsia="zh-CN"/>
        </w:rPr>
        <w:instrText xml:space="preserve">TOC \o "1-4" \h \u </w:instrText>
      </w:r>
      <w:r>
        <w:rPr>
          <w:rFonts w:hint="eastAsia" w:ascii="黑体" w:hAnsi="黑体" w:eastAsia="黑体" w:cs="黑体"/>
          <w:b/>
          <w:bCs/>
          <w:color w:val="auto"/>
          <w:sz w:val="32"/>
          <w:szCs w:val="32"/>
          <w:lang w:val="en-US" w:eastAsia="zh-CN"/>
        </w:rPr>
        <w:fldChar w:fldCharType="separate"/>
      </w: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_Toc1715546296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_Toc1715546296 \h </w:instrText>
      </w:r>
      <w:r>
        <w:fldChar w:fldCharType="separate"/>
      </w:r>
      <w:r>
        <w:t>III</w:t>
      </w:r>
      <w:r>
        <w:fldChar w:fldCharType="end"/>
      </w:r>
      <w:r>
        <w:rPr>
          <w:rFonts w:hint="eastAsia" w:ascii="黑体" w:hAnsi="黑体" w:eastAsia="黑体" w:cs="黑体"/>
          <w:bCs/>
          <w:color w:val="auto"/>
          <w:szCs w:val="32"/>
          <w:lang w:val="en-US" w:eastAsia="zh-CN"/>
        </w:rPr>
        <w:fldChar w:fldCharType="end"/>
      </w:r>
    </w:p>
    <w:p w14:paraId="7F59D2C9">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_Toc1071152250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_Toc1071152250 \h </w:instrText>
      </w:r>
      <w:r>
        <w:fldChar w:fldCharType="separate"/>
      </w:r>
      <w:r>
        <w:t>IV</w:t>
      </w:r>
      <w:r>
        <w:fldChar w:fldCharType="end"/>
      </w:r>
      <w:r>
        <w:rPr>
          <w:rFonts w:hint="eastAsia" w:ascii="黑体" w:hAnsi="黑体" w:eastAsia="黑体" w:cs="黑体"/>
          <w:bCs/>
          <w:color w:val="auto"/>
          <w:szCs w:val="32"/>
          <w:lang w:val="en-US" w:eastAsia="zh-CN"/>
        </w:rPr>
        <w:fldChar w:fldCharType="end"/>
      </w:r>
    </w:p>
    <w:p w14:paraId="75CDA266">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_Toc500452949 </w:instrText>
      </w:r>
      <w:r>
        <w:rPr>
          <w:rFonts w:hint="eastAsia" w:ascii="黑体" w:hAnsi="黑体" w:eastAsia="黑体" w:cs="黑体"/>
          <w:bCs/>
          <w:szCs w:val="32"/>
          <w:lang w:val="en-US" w:eastAsia="zh-CN"/>
        </w:rPr>
        <w:fldChar w:fldCharType="separate"/>
      </w:r>
      <w:r>
        <w:rPr>
          <w:rFonts w:hint="eastAsia"/>
          <w:lang w:val="en-US" w:eastAsia="zh-CN"/>
        </w:rPr>
        <w:t>一、引言</w:t>
      </w:r>
      <w:r>
        <w:tab/>
      </w:r>
      <w:r>
        <w:fldChar w:fldCharType="begin"/>
      </w:r>
      <w:r>
        <w:instrText xml:space="preserve"> PAGEREF _Toc500452949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3A78D50C">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_Toc1566752191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_Toc1566752191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6392414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_Toc2107078270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_Toc2107078270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688D04C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_Toc1659144860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_Toc1659144860 \h </w:instrText>
      </w:r>
      <w:r>
        <w:fldChar w:fldCharType="separate"/>
      </w:r>
      <w:r>
        <w:t>2</w:t>
      </w:r>
      <w:r>
        <w:fldChar w:fldCharType="end"/>
      </w:r>
      <w:r>
        <w:rPr>
          <w:rFonts w:hint="eastAsia" w:ascii="黑体" w:hAnsi="黑体" w:eastAsia="黑体" w:cs="黑体"/>
          <w:bCs/>
          <w:color w:val="auto"/>
          <w:szCs w:val="32"/>
          <w:lang w:val="en-US" w:eastAsia="zh-CN"/>
        </w:rPr>
        <w:fldChar w:fldCharType="end"/>
      </w:r>
    </w:p>
    <w:p w14:paraId="7F2451A8">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_Toc172505725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_Toc172505725 \h </w:instrText>
      </w:r>
      <w:r>
        <w:fldChar w:fldCharType="separate"/>
      </w:r>
      <w:r>
        <w:t>3</w:t>
      </w:r>
      <w:r>
        <w:fldChar w:fldCharType="end"/>
      </w:r>
      <w:r>
        <w:rPr>
          <w:rFonts w:hint="eastAsia" w:ascii="黑体" w:hAnsi="黑体" w:eastAsia="黑体" w:cs="黑体"/>
          <w:bCs/>
          <w:color w:val="auto"/>
          <w:szCs w:val="32"/>
          <w:lang w:val="en-US" w:eastAsia="zh-CN"/>
        </w:rPr>
        <w:fldChar w:fldCharType="end"/>
      </w:r>
    </w:p>
    <w:p w14:paraId="0E7D76DF">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_Toc200796625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_Toc200796625 \h </w:instrText>
      </w:r>
      <w:r>
        <w:fldChar w:fldCharType="separate"/>
      </w:r>
      <w:r>
        <w:t>3</w:t>
      </w:r>
      <w:r>
        <w:fldChar w:fldCharType="end"/>
      </w:r>
      <w:r>
        <w:rPr>
          <w:rFonts w:hint="eastAsia" w:ascii="黑体" w:hAnsi="黑体" w:eastAsia="黑体" w:cs="黑体"/>
          <w:bCs/>
          <w:color w:val="auto"/>
          <w:szCs w:val="32"/>
          <w:lang w:val="en-US" w:eastAsia="zh-CN"/>
        </w:rPr>
        <w:fldChar w:fldCharType="end"/>
      </w:r>
    </w:p>
    <w:p w14:paraId="3300E28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_Toc1092066938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_Toc1092066938 \h </w:instrText>
      </w:r>
      <w:r>
        <w:fldChar w:fldCharType="separate"/>
      </w:r>
      <w:r>
        <w:t>4</w:t>
      </w:r>
      <w:r>
        <w:fldChar w:fldCharType="end"/>
      </w:r>
      <w:r>
        <w:rPr>
          <w:rFonts w:hint="eastAsia" w:ascii="黑体" w:hAnsi="黑体" w:eastAsia="黑体" w:cs="黑体"/>
          <w:bCs/>
          <w:color w:val="auto"/>
          <w:szCs w:val="32"/>
          <w:lang w:val="en-US" w:eastAsia="zh-CN"/>
        </w:rPr>
        <w:fldChar w:fldCharType="end"/>
      </w:r>
    </w:p>
    <w:p w14:paraId="5B721E5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_Toc1973779704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_Toc1973779704 \h </w:instrText>
      </w:r>
      <w:r>
        <w:fldChar w:fldCharType="separate"/>
      </w:r>
      <w:r>
        <w:t>5</w:t>
      </w:r>
      <w:r>
        <w:fldChar w:fldCharType="end"/>
      </w:r>
      <w:r>
        <w:rPr>
          <w:rFonts w:hint="eastAsia" w:ascii="黑体" w:hAnsi="黑体" w:eastAsia="黑体" w:cs="黑体"/>
          <w:bCs/>
          <w:color w:val="auto"/>
          <w:szCs w:val="32"/>
          <w:lang w:val="en-US" w:eastAsia="zh-CN"/>
        </w:rPr>
        <w:fldChar w:fldCharType="end"/>
      </w:r>
    </w:p>
    <w:p w14:paraId="1DCB016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_Toc1135589919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_Toc1135589919 \h </w:instrText>
      </w:r>
      <w:r>
        <w:fldChar w:fldCharType="separate"/>
      </w:r>
      <w:r>
        <w:t>7</w:t>
      </w:r>
      <w:r>
        <w:fldChar w:fldCharType="end"/>
      </w:r>
      <w:r>
        <w:rPr>
          <w:rFonts w:hint="eastAsia" w:ascii="黑体" w:hAnsi="黑体" w:eastAsia="黑体" w:cs="黑体"/>
          <w:bCs/>
          <w:color w:val="auto"/>
          <w:szCs w:val="32"/>
          <w:lang w:val="en-US" w:eastAsia="zh-CN"/>
        </w:rPr>
        <w:fldChar w:fldCharType="end"/>
      </w:r>
    </w:p>
    <w:p w14:paraId="736D5A3B">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_Toc1172597744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_Toc1172597744 \h </w:instrText>
      </w:r>
      <w:r>
        <w:fldChar w:fldCharType="separate"/>
      </w:r>
      <w:r>
        <w:t>8</w:t>
      </w:r>
      <w:r>
        <w:fldChar w:fldCharType="end"/>
      </w:r>
      <w:r>
        <w:rPr>
          <w:rFonts w:hint="eastAsia" w:ascii="黑体" w:hAnsi="黑体" w:eastAsia="黑体" w:cs="黑体"/>
          <w:bCs/>
          <w:color w:val="auto"/>
          <w:szCs w:val="32"/>
          <w:lang w:val="en-US" w:eastAsia="zh-CN"/>
        </w:rPr>
        <w:fldChar w:fldCharType="end"/>
      </w:r>
    </w:p>
    <w:p w14:paraId="4470552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_Toc392854889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_Toc392854889 \h </w:instrText>
      </w:r>
      <w:r>
        <w:fldChar w:fldCharType="separate"/>
      </w:r>
      <w:r>
        <w:t>8</w:t>
      </w:r>
      <w:r>
        <w:fldChar w:fldCharType="end"/>
      </w:r>
      <w:r>
        <w:rPr>
          <w:rFonts w:hint="eastAsia" w:ascii="黑体" w:hAnsi="黑体" w:eastAsia="黑体" w:cs="黑体"/>
          <w:bCs/>
          <w:color w:val="auto"/>
          <w:szCs w:val="32"/>
          <w:lang w:val="en-US" w:eastAsia="zh-CN"/>
        </w:rPr>
        <w:fldChar w:fldCharType="end"/>
      </w:r>
    </w:p>
    <w:p w14:paraId="0B996AA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_Toc1347388545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_Toc1347388545 \h </w:instrText>
      </w:r>
      <w:r>
        <w:fldChar w:fldCharType="separate"/>
      </w:r>
      <w:r>
        <w:t>8</w:t>
      </w:r>
      <w:r>
        <w:fldChar w:fldCharType="end"/>
      </w:r>
      <w:r>
        <w:rPr>
          <w:rFonts w:hint="eastAsia" w:ascii="黑体" w:hAnsi="黑体" w:eastAsia="黑体" w:cs="黑体"/>
          <w:bCs/>
          <w:color w:val="auto"/>
          <w:szCs w:val="32"/>
          <w:lang w:val="en-US" w:eastAsia="zh-CN"/>
        </w:rPr>
        <w:fldChar w:fldCharType="end"/>
      </w:r>
    </w:p>
    <w:p w14:paraId="56ABF398">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_Toc344218200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_Toc344218200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668A09D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_Toc2101826029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_Toc2101826029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254F743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_Toc1431559900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_Toc1431559900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16D2A13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_Toc1967941959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_Toc1967941959 \h </w:instrText>
      </w:r>
      <w:r>
        <w:fldChar w:fldCharType="separate"/>
      </w:r>
      <w:r>
        <w:t>10</w:t>
      </w:r>
      <w:r>
        <w:fldChar w:fldCharType="end"/>
      </w:r>
      <w:r>
        <w:rPr>
          <w:rFonts w:hint="eastAsia" w:ascii="黑体" w:hAnsi="黑体" w:eastAsia="黑体" w:cs="黑体"/>
          <w:bCs/>
          <w:color w:val="auto"/>
          <w:szCs w:val="32"/>
          <w:lang w:val="en-US" w:eastAsia="zh-CN"/>
        </w:rPr>
        <w:fldChar w:fldCharType="end"/>
      </w:r>
    </w:p>
    <w:p w14:paraId="1BB27269">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_Toc1804857466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核心概念界定与理论基础</w:t>
      </w:r>
      <w:r>
        <w:tab/>
      </w:r>
      <w:r>
        <w:fldChar w:fldCharType="begin"/>
      </w:r>
      <w:r>
        <w:instrText xml:space="preserve"> PAGEREF _Toc1804857466 \h </w:instrText>
      </w:r>
      <w:r>
        <w:fldChar w:fldCharType="separate"/>
      </w:r>
      <w:r>
        <w:t>12</w:t>
      </w:r>
      <w:r>
        <w:fldChar w:fldCharType="end"/>
      </w:r>
      <w:r>
        <w:rPr>
          <w:rFonts w:hint="eastAsia" w:ascii="黑体" w:hAnsi="黑体" w:eastAsia="黑体" w:cs="黑体"/>
          <w:bCs/>
          <w:color w:val="auto"/>
          <w:szCs w:val="32"/>
          <w:lang w:val="en-US" w:eastAsia="zh-CN"/>
        </w:rPr>
        <w:fldChar w:fldCharType="end"/>
      </w:r>
    </w:p>
    <w:p w14:paraId="700116F5">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_Toc1032917187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基督教仁爱观念的核心内涵与历史演进</w:t>
      </w:r>
      <w:r>
        <w:tab/>
      </w:r>
      <w:r>
        <w:fldChar w:fldCharType="begin"/>
      </w:r>
      <w:r>
        <w:instrText xml:space="preserve"> PAGEREF _Toc1032917187 \h </w:instrText>
      </w:r>
      <w:r>
        <w:fldChar w:fldCharType="separate"/>
      </w:r>
      <w:r>
        <w:t>12</w:t>
      </w:r>
      <w:r>
        <w:fldChar w:fldCharType="end"/>
      </w:r>
      <w:r>
        <w:rPr>
          <w:rFonts w:hint="eastAsia" w:ascii="黑体" w:hAnsi="黑体" w:eastAsia="黑体" w:cs="黑体"/>
          <w:bCs/>
          <w:color w:val="auto"/>
          <w:szCs w:val="32"/>
          <w:lang w:val="en-US" w:eastAsia="zh-CN"/>
        </w:rPr>
        <w:fldChar w:fldCharType="end"/>
      </w:r>
    </w:p>
    <w:p w14:paraId="1A1062A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_Toc2128843208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Agape的神学本源：从希腊语汇到基督教伦理</w:t>
      </w:r>
      <w:r>
        <w:tab/>
      </w:r>
      <w:r>
        <w:fldChar w:fldCharType="begin"/>
      </w:r>
      <w:r>
        <w:instrText xml:space="preserve"> PAGEREF _Toc2128843208 \h </w:instrText>
      </w:r>
      <w:r>
        <w:fldChar w:fldCharType="separate"/>
      </w:r>
      <w:r>
        <w:t>12</w:t>
      </w:r>
      <w:r>
        <w:fldChar w:fldCharType="end"/>
      </w:r>
      <w:r>
        <w:rPr>
          <w:rFonts w:hint="eastAsia" w:ascii="黑体" w:hAnsi="黑体" w:eastAsia="黑体" w:cs="黑体"/>
          <w:bCs/>
          <w:color w:val="auto"/>
          <w:szCs w:val="32"/>
          <w:lang w:val="en-US" w:eastAsia="zh-CN"/>
        </w:rPr>
        <w:fldChar w:fldCharType="end"/>
      </w:r>
    </w:p>
    <w:p w14:paraId="0A12BD4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_Toc242754189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r>
        <w:tab/>
      </w:r>
      <w:r>
        <w:fldChar w:fldCharType="begin"/>
      </w:r>
      <w:r>
        <w:instrText xml:space="preserve"> PAGEREF _Toc242754189 \h </w:instrText>
      </w:r>
      <w:r>
        <w:fldChar w:fldCharType="separate"/>
      </w:r>
      <w:r>
        <w:t>13</w:t>
      </w:r>
      <w:r>
        <w:fldChar w:fldCharType="end"/>
      </w:r>
      <w:r>
        <w:rPr>
          <w:rFonts w:hint="eastAsia" w:ascii="黑体" w:hAnsi="黑体" w:eastAsia="黑体" w:cs="黑体"/>
          <w:bCs/>
          <w:color w:val="auto"/>
          <w:szCs w:val="32"/>
          <w:lang w:val="en-US" w:eastAsia="zh-CN"/>
        </w:rPr>
        <w:fldChar w:fldCharType="end"/>
      </w:r>
    </w:p>
    <w:p w14:paraId="1BB7A2A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_Toc1898208870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当代中国基督教仁爱观念的实践特征与世俗化趋势</w:t>
      </w:r>
      <w:r>
        <w:tab/>
      </w:r>
      <w:r>
        <w:fldChar w:fldCharType="begin"/>
      </w:r>
      <w:r>
        <w:instrText xml:space="preserve"> PAGEREF _Toc1898208870 \h </w:instrText>
      </w:r>
      <w:r>
        <w:fldChar w:fldCharType="separate"/>
      </w:r>
      <w:r>
        <w:t>14</w:t>
      </w:r>
      <w:r>
        <w:fldChar w:fldCharType="end"/>
      </w:r>
      <w:r>
        <w:rPr>
          <w:rFonts w:hint="eastAsia" w:ascii="黑体" w:hAnsi="黑体" w:eastAsia="黑体" w:cs="黑体"/>
          <w:bCs/>
          <w:color w:val="auto"/>
          <w:szCs w:val="32"/>
          <w:lang w:val="en-US" w:eastAsia="zh-CN"/>
        </w:rPr>
        <w:fldChar w:fldCharType="end"/>
      </w:r>
    </w:p>
    <w:p w14:paraId="33138909">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_Toc179418258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社会主义核心价值观的核心要义与价值追求</w:t>
      </w:r>
      <w:r>
        <w:tab/>
      </w:r>
      <w:r>
        <w:fldChar w:fldCharType="begin"/>
      </w:r>
      <w:r>
        <w:instrText xml:space="preserve"> PAGEREF _Toc179418258 \h </w:instrText>
      </w:r>
      <w:r>
        <w:fldChar w:fldCharType="separate"/>
      </w:r>
      <w:r>
        <w:t>15</w:t>
      </w:r>
      <w:r>
        <w:fldChar w:fldCharType="end"/>
      </w:r>
      <w:r>
        <w:rPr>
          <w:rFonts w:hint="eastAsia" w:ascii="黑体" w:hAnsi="黑体" w:eastAsia="黑体" w:cs="黑体"/>
          <w:bCs/>
          <w:color w:val="auto"/>
          <w:szCs w:val="32"/>
          <w:lang w:val="en-US" w:eastAsia="zh-CN"/>
        </w:rPr>
        <w:fldChar w:fldCharType="end"/>
      </w:r>
    </w:p>
    <w:p w14:paraId="5E03511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_Toc415621818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三个层面的价值内涵与逻辑关联</w:t>
      </w:r>
      <w:r>
        <w:tab/>
      </w:r>
      <w:r>
        <w:fldChar w:fldCharType="begin"/>
      </w:r>
      <w:r>
        <w:instrText xml:space="preserve"> PAGEREF _Toc415621818 \h </w:instrText>
      </w:r>
      <w:r>
        <w:fldChar w:fldCharType="separate"/>
      </w:r>
      <w:r>
        <w:t>15</w:t>
      </w:r>
      <w:r>
        <w:fldChar w:fldCharType="end"/>
      </w:r>
      <w:r>
        <w:rPr>
          <w:rFonts w:hint="eastAsia" w:ascii="黑体" w:hAnsi="黑体" w:eastAsia="黑体" w:cs="黑体"/>
          <w:bCs/>
          <w:color w:val="auto"/>
          <w:szCs w:val="32"/>
          <w:lang w:val="en-US" w:eastAsia="zh-CN"/>
        </w:rPr>
        <w:fldChar w:fldCharType="end"/>
      </w:r>
    </w:p>
    <w:p w14:paraId="428055B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_Toc1739075082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核心价值观对宗教领域的引领功能</w:t>
      </w:r>
      <w:r>
        <w:tab/>
      </w:r>
      <w:r>
        <w:fldChar w:fldCharType="begin"/>
      </w:r>
      <w:r>
        <w:instrText xml:space="preserve"> PAGEREF _Toc1739075082 \h </w:instrText>
      </w:r>
      <w:r>
        <w:fldChar w:fldCharType="separate"/>
      </w:r>
      <w:r>
        <w:t>15</w:t>
      </w:r>
      <w:r>
        <w:fldChar w:fldCharType="end"/>
      </w:r>
      <w:r>
        <w:rPr>
          <w:rFonts w:hint="eastAsia" w:ascii="黑体" w:hAnsi="黑体" w:eastAsia="黑体" w:cs="黑体"/>
          <w:bCs/>
          <w:color w:val="auto"/>
          <w:szCs w:val="32"/>
          <w:lang w:val="en-US" w:eastAsia="zh-CN"/>
        </w:rPr>
        <w:fldChar w:fldCharType="end"/>
      </w:r>
    </w:p>
    <w:p w14:paraId="4F45C02D">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_Toc1382467504 </w:instrText>
      </w:r>
      <w:r>
        <w:rPr>
          <w:rFonts w:hint="eastAsia" w:ascii="黑体" w:hAnsi="黑体" w:eastAsia="黑体" w:cs="黑体"/>
          <w:bCs/>
          <w:szCs w:val="32"/>
          <w:lang w:val="en-US" w:eastAsia="zh-CN"/>
        </w:rPr>
        <w:fldChar w:fldCharType="separate"/>
      </w:r>
      <w:r>
        <w:t>第三节 研究的理论基础与分析框架</w:t>
      </w:r>
      <w:r>
        <w:tab/>
      </w:r>
      <w:r>
        <w:fldChar w:fldCharType="begin"/>
      </w:r>
      <w:r>
        <w:instrText xml:space="preserve"> PAGEREF _Toc1382467504 \h </w:instrText>
      </w:r>
      <w:r>
        <w:fldChar w:fldCharType="separate"/>
      </w:r>
      <w:r>
        <w:t>16</w:t>
      </w:r>
      <w:r>
        <w:fldChar w:fldCharType="end"/>
      </w:r>
      <w:r>
        <w:rPr>
          <w:rFonts w:hint="eastAsia" w:ascii="黑体" w:hAnsi="黑体" w:eastAsia="黑体" w:cs="黑体"/>
          <w:bCs/>
          <w:color w:val="auto"/>
          <w:szCs w:val="32"/>
          <w:lang w:val="en-US" w:eastAsia="zh-CN"/>
        </w:rPr>
        <w:fldChar w:fldCharType="end"/>
      </w:r>
    </w:p>
    <w:p w14:paraId="4C85B47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_Toc1505762835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中国特色社会主义宗教理论：政策合法性框架</w:t>
      </w:r>
      <w:r>
        <w:tab/>
      </w:r>
      <w:r>
        <w:fldChar w:fldCharType="begin"/>
      </w:r>
      <w:r>
        <w:instrText xml:space="preserve"> PAGEREF _Toc1505762835 \h </w:instrText>
      </w:r>
      <w:r>
        <w:fldChar w:fldCharType="separate"/>
      </w:r>
      <w:r>
        <w:t>16</w:t>
      </w:r>
      <w:r>
        <w:fldChar w:fldCharType="end"/>
      </w:r>
      <w:r>
        <w:rPr>
          <w:rFonts w:hint="eastAsia" w:ascii="黑体" w:hAnsi="黑体" w:eastAsia="黑体" w:cs="黑体"/>
          <w:bCs/>
          <w:color w:val="auto"/>
          <w:szCs w:val="32"/>
          <w:lang w:val="en-US" w:eastAsia="zh-CN"/>
        </w:rPr>
        <w:fldChar w:fldCharType="end"/>
      </w:r>
    </w:p>
    <w:p w14:paraId="597F6E7F">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_Toc1408671597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r>
        <w:tab/>
      </w:r>
      <w:r>
        <w:fldChar w:fldCharType="begin"/>
      </w:r>
      <w:r>
        <w:instrText xml:space="preserve"> PAGEREF _Toc1408671597 \h </w:instrText>
      </w:r>
      <w:r>
        <w:fldChar w:fldCharType="separate"/>
      </w:r>
      <w:r>
        <w:t>17</w:t>
      </w:r>
      <w:r>
        <w:fldChar w:fldCharType="end"/>
      </w:r>
      <w:r>
        <w:rPr>
          <w:rFonts w:hint="eastAsia" w:ascii="黑体" w:hAnsi="黑体" w:eastAsia="黑体" w:cs="黑体"/>
          <w:bCs/>
          <w:color w:val="auto"/>
          <w:szCs w:val="32"/>
          <w:lang w:val="en-US" w:eastAsia="zh-CN"/>
        </w:rPr>
        <w:fldChar w:fldCharType="end"/>
      </w:r>
    </w:p>
    <w:p w14:paraId="072A4F0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_Toc1683806251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交叠共识理论：价值对话框架</w:t>
      </w:r>
      <w:r>
        <w:tab/>
      </w:r>
      <w:r>
        <w:fldChar w:fldCharType="begin"/>
      </w:r>
      <w:r>
        <w:instrText xml:space="preserve"> PAGEREF _Toc1683806251 \h </w:instrText>
      </w:r>
      <w:r>
        <w:fldChar w:fldCharType="separate"/>
      </w:r>
      <w:r>
        <w:t>17</w:t>
      </w:r>
      <w:r>
        <w:fldChar w:fldCharType="end"/>
      </w:r>
      <w:r>
        <w:rPr>
          <w:rFonts w:hint="eastAsia" w:ascii="黑体" w:hAnsi="黑体" w:eastAsia="黑体" w:cs="黑体"/>
          <w:bCs/>
          <w:color w:val="auto"/>
          <w:szCs w:val="32"/>
          <w:lang w:val="en-US" w:eastAsia="zh-CN"/>
        </w:rPr>
        <w:fldChar w:fldCharType="end"/>
      </w:r>
    </w:p>
    <w:p w14:paraId="7172EA8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_Toc192160391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处境化神学理论：教义诠释创新框架</w:t>
      </w:r>
      <w:r>
        <w:tab/>
      </w:r>
      <w:r>
        <w:fldChar w:fldCharType="begin"/>
      </w:r>
      <w:r>
        <w:instrText xml:space="preserve"> PAGEREF _Toc192160391 \h </w:instrText>
      </w:r>
      <w:r>
        <w:fldChar w:fldCharType="separate"/>
      </w:r>
      <w:r>
        <w:t>17</w:t>
      </w:r>
      <w:r>
        <w:fldChar w:fldCharType="end"/>
      </w:r>
      <w:r>
        <w:rPr>
          <w:rFonts w:hint="eastAsia" w:ascii="黑体" w:hAnsi="黑体" w:eastAsia="黑体" w:cs="黑体"/>
          <w:bCs/>
          <w:color w:val="auto"/>
          <w:szCs w:val="32"/>
          <w:lang w:val="en-US" w:eastAsia="zh-CN"/>
        </w:rPr>
        <w:fldChar w:fldCharType="end"/>
      </w:r>
    </w:p>
    <w:p w14:paraId="3C12790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_Toc1971770096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研究边界与理论承诺</w:t>
      </w:r>
      <w:r>
        <w:tab/>
      </w:r>
      <w:r>
        <w:fldChar w:fldCharType="begin"/>
      </w:r>
      <w:r>
        <w:instrText xml:space="preserve"> PAGEREF _Toc1971770096 \h </w:instrText>
      </w:r>
      <w:r>
        <w:fldChar w:fldCharType="separate"/>
      </w:r>
      <w:r>
        <w:t>18</w:t>
      </w:r>
      <w:r>
        <w:fldChar w:fldCharType="end"/>
      </w:r>
      <w:r>
        <w:rPr>
          <w:rFonts w:hint="eastAsia" w:ascii="黑体" w:hAnsi="黑体" w:eastAsia="黑体" w:cs="黑体"/>
          <w:bCs/>
          <w:color w:val="auto"/>
          <w:szCs w:val="32"/>
          <w:lang w:val="en-US" w:eastAsia="zh-CN"/>
        </w:rPr>
        <w:fldChar w:fldCharType="end"/>
      </w:r>
    </w:p>
    <w:p w14:paraId="310E355C">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_Toc1719846615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基督教仁爱观念与社会主义核心价值观的契合性分析</w:t>
      </w:r>
      <w:r>
        <w:tab/>
      </w:r>
      <w:r>
        <w:fldChar w:fldCharType="begin"/>
      </w:r>
      <w:r>
        <w:instrText xml:space="preserve"> PAGEREF _Toc1719846615 \h </w:instrText>
      </w:r>
      <w:r>
        <w:fldChar w:fldCharType="separate"/>
      </w:r>
      <w:r>
        <w:t>19</w:t>
      </w:r>
      <w:r>
        <w:fldChar w:fldCharType="end"/>
      </w:r>
      <w:r>
        <w:rPr>
          <w:rFonts w:hint="eastAsia" w:ascii="黑体" w:hAnsi="黑体" w:eastAsia="黑体" w:cs="黑体"/>
          <w:bCs/>
          <w:color w:val="auto"/>
          <w:szCs w:val="32"/>
          <w:lang w:val="en-US" w:eastAsia="zh-CN"/>
        </w:rPr>
        <w:fldChar w:fldCharType="end"/>
      </w:r>
    </w:p>
    <w:p w14:paraId="24A6A2C8">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_Toc332169685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价值追求的契合：对人的尊严与福祉的共同关切</w:t>
      </w:r>
      <w:r>
        <w:tab/>
      </w:r>
      <w:r>
        <w:fldChar w:fldCharType="begin"/>
      </w:r>
      <w:r>
        <w:instrText xml:space="preserve"> PAGEREF _Toc332169685 \h </w:instrText>
      </w:r>
      <w:r>
        <w:fldChar w:fldCharType="separate"/>
      </w:r>
      <w:r>
        <w:t>19</w:t>
      </w:r>
      <w:r>
        <w:fldChar w:fldCharType="end"/>
      </w:r>
      <w:r>
        <w:rPr>
          <w:rFonts w:hint="eastAsia" w:ascii="黑体" w:hAnsi="黑体" w:eastAsia="黑体" w:cs="黑体"/>
          <w:bCs/>
          <w:color w:val="auto"/>
          <w:szCs w:val="32"/>
          <w:lang w:val="en-US" w:eastAsia="zh-CN"/>
        </w:rPr>
        <w:fldChar w:fldCharType="end"/>
      </w:r>
    </w:p>
    <w:p w14:paraId="5F28EC5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_Toc1465897242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r>
        <w:tab/>
      </w:r>
      <w:r>
        <w:fldChar w:fldCharType="begin"/>
      </w:r>
      <w:r>
        <w:instrText xml:space="preserve"> PAGEREF _Toc1465897242 \h </w:instrText>
      </w:r>
      <w:r>
        <w:fldChar w:fldCharType="separate"/>
      </w:r>
      <w:r>
        <w:t>19</w:t>
      </w:r>
      <w:r>
        <w:fldChar w:fldCharType="end"/>
      </w:r>
      <w:r>
        <w:rPr>
          <w:rFonts w:hint="eastAsia" w:ascii="黑体" w:hAnsi="黑体" w:eastAsia="黑体" w:cs="黑体"/>
          <w:bCs/>
          <w:color w:val="auto"/>
          <w:szCs w:val="32"/>
          <w:lang w:val="en-US" w:eastAsia="zh-CN"/>
        </w:rPr>
        <w:fldChar w:fldCharType="end"/>
      </w:r>
    </w:p>
    <w:p w14:paraId="4C78CE6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_Toc1402547910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r>
        <w:tab/>
      </w:r>
      <w:r>
        <w:fldChar w:fldCharType="begin"/>
      </w:r>
      <w:r>
        <w:instrText xml:space="preserve"> PAGEREF _Toc1402547910 \h </w:instrText>
      </w:r>
      <w:r>
        <w:fldChar w:fldCharType="separate"/>
      </w:r>
      <w:r>
        <w:t>19</w:t>
      </w:r>
      <w:r>
        <w:fldChar w:fldCharType="end"/>
      </w:r>
      <w:r>
        <w:rPr>
          <w:rFonts w:hint="eastAsia" w:ascii="黑体" w:hAnsi="黑体" w:eastAsia="黑体" w:cs="黑体"/>
          <w:bCs/>
          <w:color w:val="auto"/>
          <w:szCs w:val="32"/>
          <w:lang w:val="en-US" w:eastAsia="zh-CN"/>
        </w:rPr>
        <w:fldChar w:fldCharType="end"/>
      </w:r>
    </w:p>
    <w:p w14:paraId="306A90E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_Toc1842213898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二者价值追求的交叠共识：差异中的统一</w:t>
      </w:r>
      <w:r>
        <w:tab/>
      </w:r>
      <w:r>
        <w:fldChar w:fldCharType="begin"/>
      </w:r>
      <w:r>
        <w:instrText xml:space="preserve"> PAGEREF _Toc1842213898 \h </w:instrText>
      </w:r>
      <w:r>
        <w:fldChar w:fldCharType="separate"/>
      </w:r>
      <w:r>
        <w:t>20</w:t>
      </w:r>
      <w:r>
        <w:fldChar w:fldCharType="end"/>
      </w:r>
      <w:r>
        <w:rPr>
          <w:rFonts w:hint="eastAsia" w:ascii="黑体" w:hAnsi="黑体" w:eastAsia="黑体" w:cs="黑体"/>
          <w:bCs/>
          <w:color w:val="auto"/>
          <w:szCs w:val="32"/>
          <w:lang w:val="en-US" w:eastAsia="zh-CN"/>
        </w:rPr>
        <w:fldChar w:fldCharType="end"/>
      </w:r>
    </w:p>
    <w:p w14:paraId="28AD01C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_Toc1817244887 </w:instrText>
      </w:r>
      <w:r>
        <w:rPr>
          <w:rFonts w:hint="eastAsia" w:ascii="黑体" w:hAnsi="黑体" w:eastAsia="黑体" w:cs="黑体"/>
          <w:bCs/>
          <w:szCs w:val="32"/>
          <w:lang w:val="en-US" w:eastAsia="zh-CN"/>
        </w:rPr>
        <w:fldChar w:fldCharType="separate"/>
      </w:r>
      <w:r>
        <w:rPr>
          <w:rFonts w:hint="eastAsia"/>
        </w:rPr>
        <w:t>四、“公正”与“平等”：基督教社会伦理与核心价值观的深层契合</w:t>
      </w:r>
      <w:r>
        <w:tab/>
      </w:r>
      <w:r>
        <w:fldChar w:fldCharType="begin"/>
      </w:r>
      <w:r>
        <w:instrText xml:space="preserve"> PAGEREF _Toc1817244887 \h </w:instrText>
      </w:r>
      <w:r>
        <w:fldChar w:fldCharType="separate"/>
      </w:r>
      <w:r>
        <w:t>21</w:t>
      </w:r>
      <w:r>
        <w:fldChar w:fldCharType="end"/>
      </w:r>
      <w:r>
        <w:rPr>
          <w:rFonts w:hint="eastAsia" w:ascii="黑体" w:hAnsi="黑体" w:eastAsia="黑体" w:cs="黑体"/>
          <w:bCs/>
          <w:color w:val="auto"/>
          <w:szCs w:val="32"/>
          <w:lang w:val="en-US" w:eastAsia="zh-CN"/>
        </w:rPr>
        <w:fldChar w:fldCharType="end"/>
      </w:r>
    </w:p>
    <w:p w14:paraId="5D305137">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_Toc922388175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社会功能的契合：对社会和谐与稳定的共同维护</w:t>
      </w:r>
      <w:r>
        <w:tab/>
      </w:r>
      <w:r>
        <w:fldChar w:fldCharType="begin"/>
      </w:r>
      <w:r>
        <w:instrText xml:space="preserve"> PAGEREF _Toc922388175 \h </w:instrText>
      </w:r>
      <w:r>
        <w:fldChar w:fldCharType="separate"/>
      </w:r>
      <w:r>
        <w:t>22</w:t>
      </w:r>
      <w:r>
        <w:fldChar w:fldCharType="end"/>
      </w:r>
      <w:r>
        <w:rPr>
          <w:rFonts w:hint="eastAsia" w:ascii="黑体" w:hAnsi="黑体" w:eastAsia="黑体" w:cs="黑体"/>
          <w:bCs/>
          <w:color w:val="auto"/>
          <w:szCs w:val="32"/>
          <w:lang w:val="en-US" w:eastAsia="zh-CN"/>
        </w:rPr>
        <w:fldChar w:fldCharType="end"/>
      </w:r>
    </w:p>
    <w:p w14:paraId="49CEE2E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_Toc2041093179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基督教仁爱观念的社会调节与伦理约束功能</w:t>
      </w:r>
      <w:r>
        <w:tab/>
      </w:r>
      <w:r>
        <w:fldChar w:fldCharType="begin"/>
      </w:r>
      <w:r>
        <w:instrText xml:space="preserve"> PAGEREF _Toc2041093179 \h </w:instrText>
      </w:r>
      <w:r>
        <w:fldChar w:fldCharType="separate"/>
      </w:r>
      <w:r>
        <w:t>22</w:t>
      </w:r>
      <w:r>
        <w:fldChar w:fldCharType="end"/>
      </w:r>
      <w:r>
        <w:rPr>
          <w:rFonts w:hint="eastAsia" w:ascii="黑体" w:hAnsi="黑体" w:eastAsia="黑体" w:cs="黑体"/>
          <w:bCs/>
          <w:color w:val="auto"/>
          <w:szCs w:val="32"/>
          <w:lang w:val="en-US" w:eastAsia="zh-CN"/>
        </w:rPr>
        <w:fldChar w:fldCharType="end"/>
      </w:r>
    </w:p>
    <w:p w14:paraId="75610E0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_Toc749282275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核心价值观的社会整合与公序良俗维护功能</w:t>
      </w:r>
      <w:r>
        <w:tab/>
      </w:r>
      <w:r>
        <w:fldChar w:fldCharType="begin"/>
      </w:r>
      <w:r>
        <w:instrText xml:space="preserve"> PAGEREF _Toc749282275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05B1248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_Toc343089917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二者社会功能的互补性竞争关系</w:t>
      </w:r>
      <w:r>
        <w:tab/>
      </w:r>
      <w:r>
        <w:fldChar w:fldCharType="begin"/>
      </w:r>
      <w:r>
        <w:instrText xml:space="preserve"> PAGEREF _Toc343089917 \h </w:instrText>
      </w:r>
      <w:r>
        <w:fldChar w:fldCharType="separate"/>
      </w:r>
      <w:r>
        <w:t>24</w:t>
      </w:r>
      <w:r>
        <w:fldChar w:fldCharType="end"/>
      </w:r>
      <w:r>
        <w:rPr>
          <w:rFonts w:hint="eastAsia" w:ascii="黑体" w:hAnsi="黑体" w:eastAsia="黑体" w:cs="黑体"/>
          <w:bCs/>
          <w:color w:val="auto"/>
          <w:szCs w:val="32"/>
          <w:lang w:val="en-US" w:eastAsia="zh-CN"/>
        </w:rPr>
        <w:fldChar w:fldCharType="end"/>
      </w:r>
    </w:p>
    <w:p w14:paraId="5CB9201A">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_Toc318642824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文化内核的契合：对中华优秀传统文化的共同吸纳</w:t>
      </w:r>
      <w:r>
        <w:tab/>
      </w:r>
      <w:r>
        <w:fldChar w:fldCharType="begin"/>
      </w:r>
      <w:r>
        <w:instrText xml:space="preserve"> PAGEREF _Toc318642824 \h </w:instrText>
      </w:r>
      <w:r>
        <w:fldChar w:fldCharType="separate"/>
      </w:r>
      <w:r>
        <w:t>24</w:t>
      </w:r>
      <w:r>
        <w:fldChar w:fldCharType="end"/>
      </w:r>
      <w:r>
        <w:rPr>
          <w:rFonts w:hint="eastAsia" w:ascii="黑体" w:hAnsi="黑体" w:eastAsia="黑体" w:cs="黑体"/>
          <w:bCs/>
          <w:color w:val="auto"/>
          <w:szCs w:val="32"/>
          <w:lang w:val="en-US" w:eastAsia="zh-CN"/>
        </w:rPr>
        <w:fldChar w:fldCharType="end"/>
      </w:r>
    </w:p>
    <w:p w14:paraId="2C55EF3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_Toc1753210997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r>
        <w:tab/>
      </w:r>
      <w:r>
        <w:fldChar w:fldCharType="begin"/>
      </w:r>
      <w:r>
        <w:instrText xml:space="preserve"> PAGEREF _Toc1753210997 \h </w:instrText>
      </w:r>
      <w:r>
        <w:fldChar w:fldCharType="separate"/>
      </w:r>
      <w:r>
        <w:t>24</w:t>
      </w:r>
      <w:r>
        <w:fldChar w:fldCharType="end"/>
      </w:r>
      <w:r>
        <w:rPr>
          <w:rFonts w:hint="eastAsia" w:ascii="黑体" w:hAnsi="黑体" w:eastAsia="黑体" w:cs="黑体"/>
          <w:bCs/>
          <w:color w:val="auto"/>
          <w:szCs w:val="32"/>
          <w:lang w:val="en-US" w:eastAsia="zh-CN"/>
        </w:rPr>
        <w:fldChar w:fldCharType="end"/>
      </w:r>
    </w:p>
    <w:p w14:paraId="7D54CA6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_Toc594106092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社会主义核心价值观对中华优秀传统文化的传承发展</w:t>
      </w:r>
      <w:r>
        <w:tab/>
      </w:r>
      <w:r>
        <w:fldChar w:fldCharType="begin"/>
      </w:r>
      <w:r>
        <w:instrText xml:space="preserve"> PAGEREF _Toc594106092 \h </w:instrText>
      </w:r>
      <w:r>
        <w:fldChar w:fldCharType="separate"/>
      </w:r>
      <w:r>
        <w:t>25</w:t>
      </w:r>
      <w:r>
        <w:fldChar w:fldCharType="end"/>
      </w:r>
      <w:r>
        <w:rPr>
          <w:rFonts w:hint="eastAsia" w:ascii="黑体" w:hAnsi="黑体" w:eastAsia="黑体" w:cs="黑体"/>
          <w:bCs/>
          <w:color w:val="auto"/>
          <w:szCs w:val="32"/>
          <w:lang w:val="en-US" w:eastAsia="zh-CN"/>
        </w:rPr>
        <w:fldChar w:fldCharType="end"/>
      </w:r>
    </w:p>
    <w:p w14:paraId="7765773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_Toc1489613341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r>
        <w:tab/>
      </w:r>
      <w:r>
        <w:fldChar w:fldCharType="begin"/>
      </w:r>
      <w:r>
        <w:instrText xml:space="preserve"> PAGEREF _Toc1489613341 \h </w:instrText>
      </w:r>
      <w:r>
        <w:fldChar w:fldCharType="separate"/>
      </w:r>
      <w:r>
        <w:t>26</w:t>
      </w:r>
      <w:r>
        <w:fldChar w:fldCharType="end"/>
      </w:r>
      <w:r>
        <w:rPr>
          <w:rFonts w:hint="eastAsia" w:ascii="黑体" w:hAnsi="黑体" w:eastAsia="黑体" w:cs="黑体"/>
          <w:bCs/>
          <w:color w:val="auto"/>
          <w:szCs w:val="32"/>
          <w:lang w:val="en-US" w:eastAsia="zh-CN"/>
        </w:rPr>
        <w:fldChar w:fldCharType="end"/>
      </w:r>
    </w:p>
    <w:p w14:paraId="04B9E5F9">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_Toc567065461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基督教仁爱观念与核心价值观融合的现实障碍</w:t>
      </w:r>
      <w:r>
        <w:tab/>
      </w:r>
      <w:r>
        <w:fldChar w:fldCharType="begin"/>
      </w:r>
      <w:r>
        <w:instrText xml:space="preserve"> PAGEREF _Toc567065461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1AAE6791">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_Toc136777641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认知层面的结构性壁垒</w:t>
      </w:r>
      <w:r>
        <w:tab/>
      </w:r>
      <w:r>
        <w:fldChar w:fldCharType="begin"/>
      </w:r>
      <w:r>
        <w:instrText xml:space="preserve"> PAGEREF _Toc136777641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23888DC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_Toc1014309997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r>
        <w:tab/>
      </w:r>
      <w:r>
        <w:fldChar w:fldCharType="begin"/>
      </w:r>
      <w:r>
        <w:instrText xml:space="preserve"> PAGEREF _Toc1014309997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58DF456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_Toc782929693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非信众群体的历史记忆与刻板印象</w:t>
      </w:r>
      <w:r>
        <w:tab/>
      </w:r>
      <w:r>
        <w:fldChar w:fldCharType="begin"/>
      </w:r>
      <w:r>
        <w:instrText xml:space="preserve"> PAGEREF _Toc782929693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0FBC9F4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_Toc1067045082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神学话语与政治话语的沟通鸿沟</w:t>
      </w:r>
      <w:r>
        <w:tab/>
      </w:r>
      <w:r>
        <w:fldChar w:fldCharType="begin"/>
      </w:r>
      <w:r>
        <w:instrText xml:space="preserve"> PAGEREF _Toc1067045082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20CF445D">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_Toc190757077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实践层面的形式化与功利化问题</w:t>
      </w:r>
      <w:r>
        <w:tab/>
      </w:r>
      <w:r>
        <w:fldChar w:fldCharType="begin"/>
      </w:r>
      <w:r>
        <w:instrText xml:space="preserve"> PAGEREF _Toc190757077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0FC88C7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_Toc2008591815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融合活动的象征性执行与形式化困境</w:t>
      </w:r>
      <w:r>
        <w:tab/>
      </w:r>
      <w:r>
        <w:fldChar w:fldCharType="begin"/>
      </w:r>
      <w:r>
        <w:instrText xml:space="preserve"> PAGEREF _Toc2008591815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77146E0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_Toc2107187512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r>
        <w:tab/>
      </w:r>
      <w:r>
        <w:fldChar w:fldCharType="begin"/>
      </w:r>
      <w:r>
        <w:instrText xml:space="preserve"> PAGEREF _Toc2107187512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75B4D49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_Toc1347691507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融合内容与群众真实需求的结构性脱节</w:t>
      </w:r>
      <w:r>
        <w:tab/>
      </w:r>
      <w:r>
        <w:fldChar w:fldCharType="begin"/>
      </w:r>
      <w:r>
        <w:instrText xml:space="preserve"> PAGEREF _Toc1347691507 \h </w:instrText>
      </w:r>
      <w:r>
        <w:fldChar w:fldCharType="separate"/>
      </w:r>
      <w:r>
        <w:t>29</w:t>
      </w:r>
      <w:r>
        <w:fldChar w:fldCharType="end"/>
      </w:r>
      <w:r>
        <w:rPr>
          <w:rFonts w:hint="eastAsia" w:ascii="黑体" w:hAnsi="黑体" w:eastAsia="黑体" w:cs="黑体"/>
          <w:bCs/>
          <w:color w:val="auto"/>
          <w:szCs w:val="32"/>
          <w:lang w:val="en-US" w:eastAsia="zh-CN"/>
        </w:rPr>
        <w:fldChar w:fldCharType="end"/>
      </w:r>
    </w:p>
    <w:p w14:paraId="15104B5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_Toc1141133240 </w:instrText>
      </w:r>
      <w:r>
        <w:rPr>
          <w:rFonts w:hint="eastAsia" w:ascii="黑体" w:hAnsi="黑体" w:eastAsia="黑体" w:cs="黑体"/>
          <w:bCs/>
          <w:szCs w:val="32"/>
          <w:lang w:val="en-US" w:eastAsia="zh-CN"/>
        </w:rPr>
        <w:fldChar w:fldCharType="separate"/>
      </w:r>
      <w:r>
        <w:rPr>
          <w:rFonts w:hint="eastAsia"/>
        </w:rPr>
        <w:t>四、“公正”、“平等”价值在融合实践中的边缘化问题</w:t>
      </w:r>
      <w:r>
        <w:tab/>
      </w:r>
      <w:r>
        <w:fldChar w:fldCharType="begin"/>
      </w:r>
      <w:r>
        <w:instrText xml:space="preserve"> PAGEREF _Toc1141133240 \h </w:instrText>
      </w:r>
      <w:r>
        <w:fldChar w:fldCharType="separate"/>
      </w:r>
      <w:r>
        <w:t>29</w:t>
      </w:r>
      <w:r>
        <w:fldChar w:fldCharType="end"/>
      </w:r>
      <w:r>
        <w:rPr>
          <w:rFonts w:hint="eastAsia" w:ascii="黑体" w:hAnsi="黑体" w:eastAsia="黑体" w:cs="黑体"/>
          <w:bCs/>
          <w:color w:val="auto"/>
          <w:szCs w:val="32"/>
          <w:lang w:val="en-US" w:eastAsia="zh-CN"/>
        </w:rPr>
        <w:fldChar w:fldCharType="end"/>
      </w:r>
    </w:p>
    <w:p w14:paraId="3F513308">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_Toc1997396970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制度层面的保障缺位</w:t>
      </w:r>
      <w:r>
        <w:tab/>
      </w:r>
      <w:r>
        <w:fldChar w:fldCharType="begin"/>
      </w:r>
      <w:r>
        <w:instrText xml:space="preserve"> PAGEREF _Toc1997396970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6A3353E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_Toc786504886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引导机制的不健全与权责模糊</w:t>
      </w:r>
      <w:r>
        <w:tab/>
      </w:r>
      <w:r>
        <w:fldChar w:fldCharType="begin"/>
      </w:r>
      <w:r>
        <w:instrText xml:space="preserve"> PAGEREF _Toc786504886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6211180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_Toc1025771717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评估监督体系的缺位与指标虚化</w:t>
      </w:r>
      <w:r>
        <w:tab/>
      </w:r>
      <w:r>
        <w:fldChar w:fldCharType="begin"/>
      </w:r>
      <w:r>
        <w:instrText xml:space="preserve"> PAGEREF _Toc1025771717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0C26745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_Toc146529503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基层宗教工作队伍的能力短板与培训缺失</w:t>
      </w:r>
      <w:r>
        <w:tab/>
      </w:r>
      <w:r>
        <w:fldChar w:fldCharType="begin"/>
      </w:r>
      <w:r>
        <w:instrText xml:space="preserve"> PAGEREF _Toc146529503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6AD2CBC6">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_Toc1705097459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基督教仁爱观念与核心价值观的融合途径构建</w:t>
      </w:r>
      <w:r>
        <w:tab/>
      </w:r>
      <w:r>
        <w:fldChar w:fldCharType="begin"/>
      </w:r>
      <w:r>
        <w:instrText xml:space="preserve"> PAGEREF _Toc1705097459 \h </w:instrText>
      </w:r>
      <w:r>
        <w:fldChar w:fldCharType="separate"/>
      </w:r>
      <w:r>
        <w:t>32</w:t>
      </w:r>
      <w:r>
        <w:fldChar w:fldCharType="end"/>
      </w:r>
      <w:r>
        <w:rPr>
          <w:rFonts w:hint="eastAsia" w:ascii="黑体" w:hAnsi="黑体" w:eastAsia="黑体" w:cs="黑体"/>
          <w:bCs/>
          <w:color w:val="auto"/>
          <w:szCs w:val="32"/>
          <w:lang w:val="en-US" w:eastAsia="zh-CN"/>
        </w:rPr>
        <w:fldChar w:fldCharType="end"/>
      </w:r>
    </w:p>
    <w:p w14:paraId="59A31EAF">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_Toc1551207845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教义阐释维度：构建本土化、时代化的仁爱话语体系</w:t>
      </w:r>
      <w:r>
        <w:tab/>
      </w:r>
      <w:r>
        <w:fldChar w:fldCharType="begin"/>
      </w:r>
      <w:r>
        <w:instrText xml:space="preserve"> PAGEREF _Toc1551207845 \h </w:instrText>
      </w:r>
      <w:r>
        <w:fldChar w:fldCharType="separate"/>
      </w:r>
      <w:r>
        <w:t>32</w:t>
      </w:r>
      <w:r>
        <w:fldChar w:fldCharType="end"/>
      </w:r>
      <w:r>
        <w:rPr>
          <w:rFonts w:hint="eastAsia" w:ascii="黑体" w:hAnsi="黑体" w:eastAsia="黑体" w:cs="黑体"/>
          <w:bCs/>
          <w:color w:val="auto"/>
          <w:szCs w:val="32"/>
          <w:lang w:val="en-US" w:eastAsia="zh-CN"/>
        </w:rPr>
        <w:fldChar w:fldCharType="end"/>
      </w:r>
    </w:p>
    <w:p w14:paraId="3C30115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_Toc698776335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r>
        <w:tab/>
      </w:r>
      <w:r>
        <w:fldChar w:fldCharType="begin"/>
      </w:r>
      <w:r>
        <w:instrText xml:space="preserve"> PAGEREF _Toc698776335 \h </w:instrText>
      </w:r>
      <w:r>
        <w:fldChar w:fldCharType="separate"/>
      </w:r>
      <w:r>
        <w:t>32</w:t>
      </w:r>
      <w:r>
        <w:fldChar w:fldCharType="end"/>
      </w:r>
      <w:r>
        <w:rPr>
          <w:rFonts w:hint="eastAsia" w:ascii="黑体" w:hAnsi="黑体" w:eastAsia="黑体" w:cs="黑体"/>
          <w:bCs/>
          <w:color w:val="auto"/>
          <w:szCs w:val="32"/>
          <w:lang w:val="en-US" w:eastAsia="zh-CN"/>
        </w:rPr>
        <w:fldChar w:fldCharType="end"/>
      </w:r>
    </w:p>
    <w:p w14:paraId="253376F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_Toc1893280549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r>
        <w:tab/>
      </w:r>
      <w:r>
        <w:fldChar w:fldCharType="begin"/>
      </w:r>
      <w:r>
        <w:instrText xml:space="preserve"> PAGEREF _Toc1893280549 \h </w:instrText>
      </w:r>
      <w:r>
        <w:fldChar w:fldCharType="separate"/>
      </w:r>
      <w:r>
        <w:t>32</w:t>
      </w:r>
      <w:r>
        <w:fldChar w:fldCharType="end"/>
      </w:r>
      <w:r>
        <w:rPr>
          <w:rFonts w:hint="eastAsia" w:ascii="黑体" w:hAnsi="黑体" w:eastAsia="黑体" w:cs="黑体"/>
          <w:bCs/>
          <w:color w:val="auto"/>
          <w:szCs w:val="32"/>
          <w:lang w:val="en-US" w:eastAsia="zh-CN"/>
        </w:rPr>
        <w:fldChar w:fldCharType="end"/>
      </w:r>
    </w:p>
    <w:p w14:paraId="6B13638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_Toc1100989444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浙江神学院神学思想建设的实践引领</w:t>
      </w:r>
      <w:r>
        <w:tab/>
      </w:r>
      <w:r>
        <w:fldChar w:fldCharType="begin"/>
      </w:r>
      <w:r>
        <w:instrText xml:space="preserve"> PAGEREF _Toc1100989444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3C28CD4B">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_Toc1610482756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r>
        <w:tab/>
      </w:r>
      <w:r>
        <w:fldChar w:fldCharType="begin"/>
      </w:r>
      <w:r>
        <w:instrText xml:space="preserve"> PAGEREF _Toc1610482756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6CCA6B5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_Toc499793304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r>
        <w:tab/>
      </w:r>
      <w:r>
        <w:fldChar w:fldCharType="begin"/>
      </w:r>
      <w:r>
        <w:instrText xml:space="preserve"> PAGEREF _Toc499793304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5114E5A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_Toc1217516911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面向普通群众的认知科普与话语转换</w:t>
      </w:r>
      <w:r>
        <w:tab/>
      </w:r>
      <w:r>
        <w:fldChar w:fldCharType="begin"/>
      </w:r>
      <w:r>
        <w:instrText xml:space="preserve"> PAGEREF _Toc1217516911 \h </w:instrText>
      </w:r>
      <w:r>
        <w:fldChar w:fldCharType="separate"/>
      </w:r>
      <w:r>
        <w:t>36</w:t>
      </w:r>
      <w:r>
        <w:fldChar w:fldCharType="end"/>
      </w:r>
      <w:r>
        <w:rPr>
          <w:rFonts w:hint="eastAsia" w:ascii="黑体" w:hAnsi="黑体" w:eastAsia="黑体" w:cs="黑体"/>
          <w:bCs/>
          <w:color w:val="auto"/>
          <w:szCs w:val="32"/>
          <w:lang w:val="en-US" w:eastAsia="zh-CN"/>
        </w:rPr>
        <w:fldChar w:fldCharType="end"/>
      </w:r>
    </w:p>
    <w:p w14:paraId="433CB74F">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_Toc1582534561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融合型文化载体的创新设计</w:t>
      </w:r>
      <w:r>
        <w:tab/>
      </w:r>
      <w:r>
        <w:fldChar w:fldCharType="begin"/>
      </w:r>
      <w:r>
        <w:instrText xml:space="preserve"> PAGEREF _Toc1582534561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18C102D3">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_Toc1073398632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实践转化维度：搭建多元化的仁爱践行平台</w:t>
      </w:r>
      <w:r>
        <w:tab/>
      </w:r>
      <w:r>
        <w:fldChar w:fldCharType="begin"/>
      </w:r>
      <w:r>
        <w:instrText xml:space="preserve"> PAGEREF _Toc1073398632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00D8022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_Toc1748173224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r>
        <w:tab/>
      </w:r>
      <w:r>
        <w:fldChar w:fldCharType="begin"/>
      </w:r>
      <w:r>
        <w:instrText xml:space="preserve"> PAGEREF _Toc1748173224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44A7471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_Toc1823601161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杭州圣爱康复医院的社区服务融入模式</w:t>
      </w:r>
      <w:r>
        <w:tab/>
      </w:r>
      <w:r>
        <w:fldChar w:fldCharType="begin"/>
      </w:r>
      <w:r>
        <w:instrText xml:space="preserve"> PAGEREF _Toc1823601161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5823B09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_Toc378102943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r>
        <w:tab/>
      </w:r>
      <w:r>
        <w:fldChar w:fldCharType="begin"/>
      </w:r>
      <w:r>
        <w:instrText xml:space="preserve"> PAGEREF _Toc378102943 \h </w:instrText>
      </w:r>
      <w:r>
        <w:fldChar w:fldCharType="separate"/>
      </w:r>
      <w:r>
        <w:t>39</w:t>
      </w:r>
      <w:r>
        <w:fldChar w:fldCharType="end"/>
      </w:r>
      <w:r>
        <w:rPr>
          <w:rFonts w:hint="eastAsia" w:ascii="黑体" w:hAnsi="黑体" w:eastAsia="黑体" w:cs="黑体"/>
          <w:bCs/>
          <w:color w:val="auto"/>
          <w:szCs w:val="32"/>
          <w:lang w:val="en-US" w:eastAsia="zh-CN"/>
        </w:rPr>
        <w:fldChar w:fldCharType="end"/>
      </w:r>
    </w:p>
    <w:p w14:paraId="1216ECD3">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_Toc372051528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rPr>
        <w:t>制度保障维度：完善融合的政策支持与监管机制</w:t>
      </w:r>
      <w:r>
        <w:tab/>
      </w:r>
      <w:r>
        <w:fldChar w:fldCharType="begin"/>
      </w:r>
      <w:r>
        <w:instrText xml:space="preserve"> PAGEREF _Toc372051528 \h </w:instrText>
      </w:r>
      <w:r>
        <w:fldChar w:fldCharType="separate"/>
      </w:r>
      <w:r>
        <w:t>39</w:t>
      </w:r>
      <w:r>
        <w:fldChar w:fldCharType="end"/>
      </w:r>
      <w:r>
        <w:rPr>
          <w:rFonts w:hint="eastAsia" w:ascii="黑体" w:hAnsi="黑体" w:eastAsia="黑体" w:cs="黑体"/>
          <w:bCs/>
          <w:color w:val="auto"/>
          <w:szCs w:val="32"/>
          <w:lang w:val="en-US" w:eastAsia="zh-CN"/>
        </w:rPr>
        <w:fldChar w:fldCharType="end"/>
      </w:r>
    </w:p>
    <w:p w14:paraId="799B203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_Toc1745134679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专项政策文件的制定与边界划定</w:t>
      </w:r>
      <w:r>
        <w:tab/>
      </w:r>
      <w:r>
        <w:fldChar w:fldCharType="begin"/>
      </w:r>
      <w:r>
        <w:instrText xml:space="preserve"> PAGEREF _Toc1745134679 \h </w:instrText>
      </w:r>
      <w:r>
        <w:fldChar w:fldCharType="separate"/>
      </w:r>
      <w:r>
        <w:t>39</w:t>
      </w:r>
      <w:r>
        <w:fldChar w:fldCharType="end"/>
      </w:r>
      <w:r>
        <w:rPr>
          <w:rFonts w:hint="eastAsia" w:ascii="黑体" w:hAnsi="黑体" w:eastAsia="黑体" w:cs="黑体"/>
          <w:bCs/>
          <w:color w:val="auto"/>
          <w:szCs w:val="32"/>
          <w:lang w:val="en-US" w:eastAsia="zh-CN"/>
        </w:rPr>
        <w:fldChar w:fldCharType="end"/>
      </w:r>
    </w:p>
    <w:p w14:paraId="1803EED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_Toc146899227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全流程监督评估机制的建立</w:t>
      </w:r>
      <w:r>
        <w:tab/>
      </w:r>
      <w:r>
        <w:fldChar w:fldCharType="begin"/>
      </w:r>
      <w:r>
        <w:instrText xml:space="preserve"> PAGEREF _Toc146899227 \h </w:instrText>
      </w:r>
      <w:r>
        <w:fldChar w:fldCharType="separate"/>
      </w:r>
      <w:r>
        <w:t>40</w:t>
      </w:r>
      <w:r>
        <w:fldChar w:fldCharType="end"/>
      </w:r>
      <w:r>
        <w:rPr>
          <w:rFonts w:hint="eastAsia" w:ascii="黑体" w:hAnsi="黑体" w:eastAsia="黑体" w:cs="黑体"/>
          <w:bCs/>
          <w:color w:val="auto"/>
          <w:szCs w:val="32"/>
          <w:lang w:val="en-US" w:eastAsia="zh-CN"/>
        </w:rPr>
        <w:fldChar w:fldCharType="end"/>
      </w:r>
    </w:p>
    <w:p w14:paraId="45B0724E">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_Toc1476597786 </w:instrText>
      </w:r>
      <w:r>
        <w:rPr>
          <w:rFonts w:hint="eastAsia" w:ascii="黑体" w:hAnsi="黑体" w:eastAsia="黑体" w:cs="黑体"/>
          <w:bCs/>
          <w:szCs w:val="32"/>
          <w:lang w:val="en-US" w:eastAsia="zh-CN"/>
        </w:rPr>
        <w:fldChar w:fldCharType="separate"/>
      </w:r>
      <w:r>
        <w:rPr>
          <w:rFonts w:hint="eastAsia"/>
          <w:bCs w:val="0"/>
        </w:rPr>
        <w:t xml:space="preserve">（一） </w:t>
      </w:r>
      <w:r>
        <w:rPr>
          <w:bCs w:val="0"/>
        </w:rPr>
        <w:t>信众价值认同度评估。</w:t>
      </w:r>
      <w:r>
        <w:tab/>
      </w:r>
      <w:r>
        <w:fldChar w:fldCharType="begin"/>
      </w:r>
      <w:r>
        <w:instrText xml:space="preserve"> PAGEREF _Toc1476597786 \h </w:instrText>
      </w:r>
      <w:r>
        <w:fldChar w:fldCharType="separate"/>
      </w:r>
      <w:r>
        <w:t>40</w:t>
      </w:r>
      <w:r>
        <w:fldChar w:fldCharType="end"/>
      </w:r>
      <w:r>
        <w:rPr>
          <w:rFonts w:hint="eastAsia" w:ascii="黑体" w:hAnsi="黑体" w:eastAsia="黑体" w:cs="黑体"/>
          <w:bCs/>
          <w:color w:val="auto"/>
          <w:szCs w:val="32"/>
          <w:lang w:val="en-US" w:eastAsia="zh-CN"/>
        </w:rPr>
        <w:fldChar w:fldCharType="end"/>
      </w:r>
    </w:p>
    <w:p w14:paraId="50A2EF8F">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_Toc857964570 </w:instrText>
      </w:r>
      <w:r>
        <w:rPr>
          <w:rFonts w:hint="eastAsia" w:ascii="黑体" w:hAnsi="黑体" w:eastAsia="黑体" w:cs="黑体"/>
          <w:bCs/>
          <w:szCs w:val="32"/>
          <w:lang w:val="en-US" w:eastAsia="zh-CN"/>
        </w:rPr>
        <w:fldChar w:fldCharType="separate"/>
      </w:r>
      <w:r>
        <w:rPr>
          <w:rFonts w:hint="eastAsia"/>
          <w:bCs w:val="0"/>
        </w:rPr>
        <w:t xml:space="preserve">（二） </w:t>
      </w:r>
      <w:r>
        <w:rPr>
          <w:bCs w:val="0"/>
        </w:rPr>
        <w:t>公益活动社会影响评估。</w:t>
      </w:r>
      <w:r>
        <w:tab/>
      </w:r>
      <w:r>
        <w:fldChar w:fldCharType="begin"/>
      </w:r>
      <w:r>
        <w:instrText xml:space="preserve"> PAGEREF _Toc857964570 \h </w:instrText>
      </w:r>
      <w:r>
        <w:fldChar w:fldCharType="separate"/>
      </w:r>
      <w:r>
        <w:t>40</w:t>
      </w:r>
      <w:r>
        <w:fldChar w:fldCharType="end"/>
      </w:r>
      <w:r>
        <w:rPr>
          <w:rFonts w:hint="eastAsia" w:ascii="黑体" w:hAnsi="黑体" w:eastAsia="黑体" w:cs="黑体"/>
          <w:bCs/>
          <w:color w:val="auto"/>
          <w:szCs w:val="32"/>
          <w:lang w:val="en-US" w:eastAsia="zh-CN"/>
        </w:rPr>
        <w:fldChar w:fldCharType="end"/>
      </w:r>
    </w:p>
    <w:p w14:paraId="6E946117">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_Toc1605322032 </w:instrText>
      </w:r>
      <w:r>
        <w:rPr>
          <w:rFonts w:hint="eastAsia" w:ascii="黑体" w:hAnsi="黑体" w:eastAsia="黑体" w:cs="黑体"/>
          <w:bCs/>
          <w:szCs w:val="32"/>
          <w:lang w:val="en-US" w:eastAsia="zh-CN"/>
        </w:rPr>
        <w:fldChar w:fldCharType="separate"/>
      </w:r>
      <w:r>
        <w:rPr>
          <w:rFonts w:hint="eastAsia"/>
          <w:bCs w:val="0"/>
        </w:rPr>
        <w:t xml:space="preserve">（三） </w:t>
      </w:r>
      <w:r>
        <w:rPr>
          <w:bCs w:val="0"/>
        </w:rPr>
        <w:t>教义阐释质量评估。</w:t>
      </w:r>
      <w:r>
        <w:tab/>
      </w:r>
      <w:r>
        <w:fldChar w:fldCharType="begin"/>
      </w:r>
      <w:r>
        <w:instrText xml:space="preserve"> PAGEREF _Toc1605322032 \h </w:instrText>
      </w:r>
      <w:r>
        <w:fldChar w:fldCharType="separate"/>
      </w:r>
      <w:r>
        <w:t>41</w:t>
      </w:r>
      <w:r>
        <w:fldChar w:fldCharType="end"/>
      </w:r>
      <w:r>
        <w:rPr>
          <w:rFonts w:hint="eastAsia" w:ascii="黑体" w:hAnsi="黑体" w:eastAsia="黑体" w:cs="黑体"/>
          <w:bCs/>
          <w:color w:val="auto"/>
          <w:szCs w:val="32"/>
          <w:lang w:val="en-US" w:eastAsia="zh-CN"/>
        </w:rPr>
        <w:fldChar w:fldCharType="end"/>
      </w:r>
    </w:p>
    <w:p w14:paraId="02F2FD5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_Toc1810334563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基层宗教工作队伍的分层培训体系</w:t>
      </w:r>
      <w:r>
        <w:tab/>
      </w:r>
      <w:r>
        <w:fldChar w:fldCharType="begin"/>
      </w:r>
      <w:r>
        <w:instrText xml:space="preserve"> PAGEREF _Toc1810334563 \h </w:instrText>
      </w:r>
      <w:r>
        <w:fldChar w:fldCharType="separate"/>
      </w:r>
      <w:r>
        <w:t>41</w:t>
      </w:r>
      <w:r>
        <w:fldChar w:fldCharType="end"/>
      </w:r>
      <w:r>
        <w:rPr>
          <w:rFonts w:hint="eastAsia" w:ascii="黑体" w:hAnsi="黑体" w:eastAsia="黑体" w:cs="黑体"/>
          <w:bCs/>
          <w:color w:val="auto"/>
          <w:szCs w:val="32"/>
          <w:lang w:val="en-US" w:eastAsia="zh-CN"/>
        </w:rPr>
        <w:fldChar w:fldCharType="end"/>
      </w:r>
    </w:p>
    <w:p w14:paraId="0E475A2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_Toc744689645 </w:instrText>
      </w:r>
      <w:r>
        <w:rPr>
          <w:rFonts w:hint="eastAsia" w:ascii="黑体" w:hAnsi="黑体" w:eastAsia="黑体" w:cs="黑体"/>
          <w:bCs/>
          <w:szCs w:val="32"/>
          <w:lang w:val="en-US" w:eastAsia="zh-CN"/>
        </w:rPr>
        <w:fldChar w:fldCharType="separate"/>
      </w:r>
      <w:r>
        <w:t>四、</w:t>
      </w:r>
      <w:r>
        <w:rPr>
          <w:rFonts w:hint="eastAsia"/>
          <w:lang w:eastAsia="zh-CN"/>
        </w:rPr>
        <w:t>“</w:t>
      </w:r>
      <w:r>
        <w:t>公正</w:t>
      </w:r>
      <w:r>
        <w:rPr>
          <w:rFonts w:hint="eastAsia"/>
          <w:lang w:eastAsia="zh-CN"/>
        </w:rPr>
        <w:t>”“</w:t>
      </w:r>
      <w:r>
        <w:t>平等</w:t>
      </w:r>
      <w:r>
        <w:rPr>
          <w:rFonts w:hint="eastAsia"/>
          <w:lang w:eastAsia="zh-CN"/>
        </w:rPr>
        <w:t>”</w:t>
      </w:r>
      <w:r>
        <w:t>价值的制度性融入路径</w:t>
      </w:r>
      <w:r>
        <w:tab/>
      </w:r>
      <w:r>
        <w:fldChar w:fldCharType="begin"/>
      </w:r>
      <w:r>
        <w:instrText xml:space="preserve"> PAGEREF _Toc744689645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2EB385E5">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_Toc464168799 </w:instrText>
      </w:r>
      <w:r>
        <w:rPr>
          <w:rFonts w:hint="eastAsia" w:ascii="黑体" w:hAnsi="黑体" w:eastAsia="黑体" w:cs="黑体"/>
          <w:bCs/>
          <w:szCs w:val="32"/>
          <w:lang w:val="en-US" w:eastAsia="zh-CN"/>
        </w:rPr>
        <w:fldChar w:fldCharType="separate"/>
      </w:r>
      <w:r>
        <w:rPr>
          <w:rFonts w:hint="eastAsia"/>
        </w:rPr>
        <w:t xml:space="preserve">（一） </w:t>
      </w:r>
      <w:r>
        <w:t>推动基督教团体参与社会公平正义建设。</w:t>
      </w:r>
      <w:r>
        <w:tab/>
      </w:r>
      <w:r>
        <w:fldChar w:fldCharType="begin"/>
      </w:r>
      <w:r>
        <w:instrText xml:space="preserve"> PAGEREF _Toc464168799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0A2AF7C1">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_Toc1624398889 </w:instrText>
      </w:r>
      <w:r>
        <w:rPr>
          <w:rFonts w:hint="eastAsia" w:ascii="黑体" w:hAnsi="黑体" w:eastAsia="黑体" w:cs="黑体"/>
          <w:bCs/>
          <w:szCs w:val="32"/>
          <w:lang w:val="en-US" w:eastAsia="zh-CN"/>
        </w:rPr>
        <w:fldChar w:fldCharType="separate"/>
      </w:r>
      <w:r>
        <w:rPr>
          <w:rFonts w:hint="eastAsia"/>
        </w:rPr>
        <w:t xml:space="preserve">（二） </w:t>
      </w:r>
      <w:r>
        <w:t>建立公益项目的机会平等评估机制。</w:t>
      </w:r>
      <w:r>
        <w:tab/>
      </w:r>
      <w:r>
        <w:fldChar w:fldCharType="begin"/>
      </w:r>
      <w:r>
        <w:instrText xml:space="preserve"> PAGEREF _Toc1624398889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2B28BE16">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_Toc312523112 </w:instrText>
      </w:r>
      <w:r>
        <w:rPr>
          <w:rFonts w:hint="eastAsia" w:ascii="黑体" w:hAnsi="黑体" w:eastAsia="黑体" w:cs="黑体"/>
          <w:bCs/>
          <w:szCs w:val="32"/>
          <w:lang w:val="en-US" w:eastAsia="zh-CN"/>
        </w:rPr>
        <w:fldChar w:fldCharType="separate"/>
      </w:r>
      <w:r>
        <w:rPr>
          <w:rFonts w:hint="eastAsia"/>
        </w:rPr>
        <w:t xml:space="preserve">（三） </w:t>
      </w:r>
      <w:r>
        <w:t>强化基层宗教工作队伍的</w:t>
      </w:r>
      <w:r>
        <w:rPr>
          <w:rFonts w:hint="eastAsia"/>
          <w:lang w:eastAsia="zh-CN"/>
        </w:rPr>
        <w:t>“</w:t>
      </w:r>
      <w:r>
        <w:t>公正</w:t>
      </w:r>
      <w:r>
        <w:rPr>
          <w:rFonts w:hint="eastAsia"/>
          <w:lang w:eastAsia="zh-CN"/>
        </w:rPr>
        <w:t>”</w:t>
      </w:r>
      <w:r>
        <w:t>意识培训。</w:t>
      </w:r>
      <w:r>
        <w:tab/>
      </w:r>
      <w:r>
        <w:fldChar w:fldCharType="begin"/>
      </w:r>
      <w:r>
        <w:instrText xml:space="preserve"> PAGEREF _Toc312523112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6AE8056D">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_Toc1978426469 </w:instrText>
      </w:r>
      <w:r>
        <w:rPr>
          <w:rFonts w:hint="eastAsia" w:ascii="黑体" w:hAnsi="黑体" w:eastAsia="黑体" w:cs="黑体"/>
          <w:bCs/>
          <w:szCs w:val="32"/>
          <w:lang w:val="en-US" w:eastAsia="zh-CN"/>
        </w:rPr>
        <w:fldChar w:fldCharType="separate"/>
      </w:r>
      <w:r>
        <w:rPr>
          <w:rFonts w:hint="eastAsia"/>
          <w:lang w:val="en-US" w:eastAsia="zh-CN"/>
        </w:rPr>
        <w:t>六、</w:t>
      </w:r>
      <w:r>
        <w:rPr>
          <w:rFonts w:hint="eastAsia"/>
        </w:rPr>
        <w:t>结论与展望</w:t>
      </w:r>
      <w:r>
        <w:tab/>
      </w:r>
      <w:r>
        <w:fldChar w:fldCharType="begin"/>
      </w:r>
      <w:r>
        <w:instrText xml:space="preserve"> PAGEREF _Toc1978426469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3BCB14E2">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_Toc1924357982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研究结论</w:t>
      </w:r>
      <w:r>
        <w:tab/>
      </w:r>
      <w:r>
        <w:fldChar w:fldCharType="begin"/>
      </w:r>
      <w:r>
        <w:instrText xml:space="preserve"> PAGEREF _Toc1924357982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2A225FA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_Toc1580879654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融合的核心论断梳理</w:t>
      </w:r>
      <w:r>
        <w:tab/>
      </w:r>
      <w:r>
        <w:fldChar w:fldCharType="begin"/>
      </w:r>
      <w:r>
        <w:instrText xml:space="preserve"> PAGEREF _Toc1580879654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2B6411B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_Toc1176664094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融合路径的核心创新点</w:t>
      </w:r>
      <w:r>
        <w:tab/>
      </w:r>
      <w:r>
        <w:fldChar w:fldCharType="begin"/>
      </w:r>
      <w:r>
        <w:instrText xml:space="preserve"> PAGEREF _Toc1176664094 \h </w:instrText>
      </w:r>
      <w:r>
        <w:fldChar w:fldCharType="separate"/>
      </w:r>
      <w:r>
        <w:t>43</w:t>
      </w:r>
      <w:r>
        <w:fldChar w:fldCharType="end"/>
      </w:r>
      <w:r>
        <w:rPr>
          <w:rFonts w:hint="eastAsia" w:ascii="黑体" w:hAnsi="黑体" w:eastAsia="黑体" w:cs="黑体"/>
          <w:bCs/>
          <w:color w:val="auto"/>
          <w:szCs w:val="32"/>
          <w:lang w:val="en-US" w:eastAsia="zh-CN"/>
        </w:rPr>
        <w:fldChar w:fldCharType="end"/>
      </w:r>
    </w:p>
    <w:p w14:paraId="6AE2F78D">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_Toc16522635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研究不足与展望</w:t>
      </w:r>
      <w:r>
        <w:tab/>
      </w:r>
      <w:r>
        <w:fldChar w:fldCharType="begin"/>
      </w:r>
      <w:r>
        <w:instrText xml:space="preserve"> PAGEREF _Toc16522635 \h </w:instrText>
      </w:r>
      <w:r>
        <w:fldChar w:fldCharType="separate"/>
      </w:r>
      <w:r>
        <w:t>44</w:t>
      </w:r>
      <w:r>
        <w:fldChar w:fldCharType="end"/>
      </w:r>
      <w:r>
        <w:rPr>
          <w:rFonts w:hint="eastAsia" w:ascii="黑体" w:hAnsi="黑体" w:eastAsia="黑体" w:cs="黑体"/>
          <w:bCs/>
          <w:color w:val="auto"/>
          <w:szCs w:val="32"/>
          <w:lang w:val="en-US" w:eastAsia="zh-CN"/>
        </w:rPr>
        <w:fldChar w:fldCharType="end"/>
      </w:r>
    </w:p>
    <w:p w14:paraId="0589889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_Toc670535982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当前研究的局限性分析</w:t>
      </w:r>
      <w:r>
        <w:tab/>
      </w:r>
      <w:r>
        <w:fldChar w:fldCharType="begin"/>
      </w:r>
      <w:r>
        <w:instrText xml:space="preserve"> PAGEREF _Toc670535982 \h </w:instrText>
      </w:r>
      <w:r>
        <w:fldChar w:fldCharType="separate"/>
      </w:r>
      <w:r>
        <w:t>44</w:t>
      </w:r>
      <w:r>
        <w:fldChar w:fldCharType="end"/>
      </w:r>
      <w:r>
        <w:rPr>
          <w:rFonts w:hint="eastAsia" w:ascii="黑体" w:hAnsi="黑体" w:eastAsia="黑体" w:cs="黑体"/>
          <w:bCs/>
          <w:color w:val="auto"/>
          <w:szCs w:val="32"/>
          <w:lang w:val="en-US" w:eastAsia="zh-CN"/>
        </w:rPr>
        <w:fldChar w:fldCharType="end"/>
      </w:r>
    </w:p>
    <w:p w14:paraId="0863C9E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_Toc1851553665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未来研究与实践的发展方向</w:t>
      </w:r>
      <w:r>
        <w:tab/>
      </w:r>
      <w:r>
        <w:fldChar w:fldCharType="begin"/>
      </w:r>
      <w:r>
        <w:instrText xml:space="preserve"> PAGEREF _Toc1851553665 \h </w:instrText>
      </w:r>
      <w:r>
        <w:fldChar w:fldCharType="separate"/>
      </w:r>
      <w:r>
        <w:t>45</w:t>
      </w:r>
      <w:r>
        <w:fldChar w:fldCharType="end"/>
      </w:r>
      <w:r>
        <w:rPr>
          <w:rFonts w:hint="eastAsia" w:ascii="黑体" w:hAnsi="黑体" w:eastAsia="黑体" w:cs="黑体"/>
          <w:bCs/>
          <w:color w:val="auto"/>
          <w:szCs w:val="32"/>
          <w:lang w:val="en-US" w:eastAsia="zh-CN"/>
        </w:rPr>
        <w:fldChar w:fldCharType="end"/>
      </w:r>
    </w:p>
    <w:p w14:paraId="195B9AD7">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_Toc2024402625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_Toc2024402625 \h </w:instrText>
      </w:r>
      <w:r>
        <w:fldChar w:fldCharType="separate"/>
      </w:r>
      <w:r>
        <w:t>46</w:t>
      </w:r>
      <w:r>
        <w:fldChar w:fldCharType="end"/>
      </w:r>
      <w:r>
        <w:rPr>
          <w:rFonts w:hint="eastAsia" w:ascii="黑体" w:hAnsi="黑体" w:eastAsia="黑体" w:cs="黑体"/>
          <w:bCs/>
          <w:color w:val="auto"/>
          <w:szCs w:val="32"/>
          <w:lang w:val="en-US" w:eastAsia="zh-CN"/>
        </w:rPr>
        <w:fldChar w:fldCharType="end"/>
      </w:r>
    </w:p>
    <w:p w14:paraId="6ED9B4C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_Toc1551498954 </w:instrText>
      </w:r>
      <w:r>
        <w:rPr>
          <w:rFonts w:hint="eastAsia" w:ascii="黑体" w:hAnsi="黑体" w:eastAsia="黑体" w:cs="黑体"/>
          <w:bCs/>
          <w:szCs w:val="32"/>
          <w:lang w:val="en-US" w:eastAsia="zh-CN"/>
        </w:rPr>
        <w:fldChar w:fldCharType="separate"/>
      </w:r>
      <w:r>
        <w:rPr>
          <w:rFonts w:hint="eastAsia"/>
          <w:lang w:val="en-US" w:eastAsia="zh-CN"/>
        </w:rPr>
        <w:t>一、经典著作与外文文献</w:t>
      </w:r>
      <w:r>
        <w:tab/>
      </w:r>
      <w:r>
        <w:fldChar w:fldCharType="begin"/>
      </w:r>
      <w:r>
        <w:instrText xml:space="preserve"> PAGEREF _Toc1551498954 \h </w:instrText>
      </w:r>
      <w:r>
        <w:fldChar w:fldCharType="separate"/>
      </w:r>
      <w:r>
        <w:t>46</w:t>
      </w:r>
      <w:r>
        <w:fldChar w:fldCharType="end"/>
      </w:r>
      <w:r>
        <w:rPr>
          <w:rFonts w:hint="eastAsia" w:ascii="黑体" w:hAnsi="黑体" w:eastAsia="黑体" w:cs="黑体"/>
          <w:bCs/>
          <w:color w:val="auto"/>
          <w:szCs w:val="32"/>
          <w:lang w:val="en-US" w:eastAsia="zh-CN"/>
        </w:rPr>
        <w:fldChar w:fldCharType="end"/>
      </w:r>
    </w:p>
    <w:p w14:paraId="5296FBD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_Toc1296478004 </w:instrText>
      </w:r>
      <w:r>
        <w:rPr>
          <w:rFonts w:hint="eastAsia" w:ascii="黑体" w:hAnsi="黑体" w:eastAsia="黑体" w:cs="黑体"/>
          <w:bCs/>
          <w:szCs w:val="32"/>
          <w:lang w:val="en-US" w:eastAsia="zh-CN"/>
        </w:rPr>
        <w:fldChar w:fldCharType="separate"/>
      </w:r>
      <w:r>
        <w:rPr>
          <w:rFonts w:hint="eastAsia"/>
          <w:lang w:val="en-US" w:eastAsia="zh-CN"/>
        </w:rPr>
        <w:t>二、中文专著</w:t>
      </w:r>
      <w:r>
        <w:tab/>
      </w:r>
      <w:r>
        <w:fldChar w:fldCharType="begin"/>
      </w:r>
      <w:r>
        <w:instrText xml:space="preserve"> PAGEREF _Toc1296478004 \h </w:instrText>
      </w:r>
      <w:r>
        <w:fldChar w:fldCharType="separate"/>
      </w:r>
      <w:r>
        <w:t>47</w:t>
      </w:r>
      <w:r>
        <w:fldChar w:fldCharType="end"/>
      </w:r>
      <w:r>
        <w:rPr>
          <w:rFonts w:hint="eastAsia" w:ascii="黑体" w:hAnsi="黑体" w:eastAsia="黑体" w:cs="黑体"/>
          <w:bCs/>
          <w:color w:val="auto"/>
          <w:szCs w:val="32"/>
          <w:lang w:val="en-US" w:eastAsia="zh-CN"/>
        </w:rPr>
        <w:fldChar w:fldCharType="end"/>
      </w:r>
    </w:p>
    <w:p w14:paraId="54922F9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_Toc1536730766 </w:instrText>
      </w:r>
      <w:r>
        <w:rPr>
          <w:rFonts w:hint="eastAsia" w:ascii="黑体" w:hAnsi="黑体" w:eastAsia="黑体" w:cs="黑体"/>
          <w:bCs/>
          <w:szCs w:val="32"/>
          <w:lang w:val="en-US" w:eastAsia="zh-CN"/>
        </w:rPr>
        <w:fldChar w:fldCharType="separate"/>
      </w:r>
      <w:r>
        <w:rPr>
          <w:rFonts w:hint="eastAsia"/>
          <w:lang w:val="en-US" w:eastAsia="zh-CN"/>
        </w:rPr>
        <w:t>三、中文期刊论文与学位论文（2022-2025年最新成果）</w:t>
      </w:r>
      <w:r>
        <w:tab/>
      </w:r>
      <w:r>
        <w:fldChar w:fldCharType="begin"/>
      </w:r>
      <w:r>
        <w:instrText xml:space="preserve"> PAGEREF _Toc1536730766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52C7EB6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_Toc48161693 </w:instrText>
      </w:r>
      <w:r>
        <w:rPr>
          <w:rFonts w:hint="eastAsia" w:ascii="黑体" w:hAnsi="黑体" w:eastAsia="黑体" w:cs="黑体"/>
          <w:bCs/>
          <w:szCs w:val="32"/>
          <w:lang w:val="en-US" w:eastAsia="zh-CN"/>
        </w:rPr>
        <w:fldChar w:fldCharType="separate"/>
      </w:r>
      <w:r>
        <w:rPr>
          <w:rFonts w:hint="eastAsia"/>
          <w:lang w:val="en-US" w:eastAsia="zh-CN"/>
        </w:rPr>
        <w:t>四、政策文件与法规</w:t>
      </w:r>
      <w:r>
        <w:tab/>
      </w:r>
      <w:r>
        <w:fldChar w:fldCharType="begin"/>
      </w:r>
      <w:r>
        <w:instrText xml:space="preserve"> PAGEREF _Toc48161693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21C89A5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_Toc1999722979 </w:instrText>
      </w:r>
      <w:r>
        <w:rPr>
          <w:rFonts w:hint="eastAsia" w:ascii="黑体" w:hAnsi="黑体" w:eastAsia="黑体" w:cs="黑体"/>
          <w:bCs/>
          <w:szCs w:val="32"/>
          <w:lang w:val="en-US" w:eastAsia="zh-CN"/>
        </w:rPr>
        <w:fldChar w:fldCharType="separate"/>
      </w:r>
      <w:r>
        <w:rPr>
          <w:rFonts w:hint="eastAsia"/>
          <w:lang w:val="en-US" w:eastAsia="zh-CN"/>
        </w:rPr>
        <w:t>五、网络资源与新闻报道</w:t>
      </w:r>
      <w:r>
        <w:tab/>
      </w:r>
      <w:r>
        <w:fldChar w:fldCharType="begin"/>
      </w:r>
      <w:r>
        <w:instrText xml:space="preserve"> PAGEREF _Toc1999722979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3AE58A3B">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_Toc1225032503 </w:instrText>
      </w:r>
      <w:r>
        <w:rPr>
          <w:rFonts w:hint="eastAsia" w:ascii="黑体" w:hAnsi="黑体" w:eastAsia="黑体" w:cs="黑体"/>
          <w:bCs/>
          <w:szCs w:val="32"/>
          <w:lang w:val="en-US" w:eastAsia="zh-CN"/>
        </w:rPr>
        <w:fldChar w:fldCharType="separate"/>
      </w:r>
      <w:r>
        <w:rPr>
          <w:rFonts w:hint="eastAsia"/>
        </w:rPr>
        <w:t>附 录</w:t>
      </w:r>
      <w:r>
        <w:tab/>
      </w:r>
      <w:r>
        <w:fldChar w:fldCharType="begin"/>
      </w:r>
      <w:r>
        <w:instrText xml:space="preserve"> PAGEREF _Toc1225032503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1E5F071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_Toc1195554132 </w:instrText>
      </w:r>
      <w:r>
        <w:rPr>
          <w:rFonts w:hint="eastAsia" w:ascii="黑体" w:hAnsi="黑体" w:eastAsia="黑体" w:cs="黑体"/>
          <w:bCs/>
          <w:szCs w:val="32"/>
          <w:lang w:val="en-US" w:eastAsia="zh-CN"/>
        </w:rPr>
        <w:fldChar w:fldCharType="separate"/>
      </w:r>
      <w:r>
        <w:rPr>
          <w:rFonts w:hint="eastAsia"/>
          <w:lang w:val="en-US" w:eastAsia="zh-CN"/>
        </w:rPr>
        <w:t>一、致 谢</w:t>
      </w:r>
      <w:r>
        <w:tab/>
      </w:r>
      <w:r>
        <w:fldChar w:fldCharType="begin"/>
      </w:r>
      <w:r>
        <w:instrText xml:space="preserve"> PAGEREF _Toc1195554132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3AF5F0F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_Toc1821295192 </w:instrText>
      </w:r>
      <w:r>
        <w:rPr>
          <w:rFonts w:hint="eastAsia" w:ascii="黑体" w:hAnsi="黑体" w:eastAsia="黑体" w:cs="黑体"/>
          <w:bCs/>
          <w:szCs w:val="32"/>
          <w:lang w:val="en-US" w:eastAsia="zh-CN"/>
        </w:rPr>
        <w:fldChar w:fldCharType="separate"/>
      </w:r>
      <w:r>
        <w:rPr>
          <w:rFonts w:hint="eastAsia"/>
          <w:lang w:val="en-US" w:eastAsia="zh-CN"/>
        </w:rPr>
        <w:t>二、论文原创性声明内容</w:t>
      </w:r>
      <w:r>
        <w:tab/>
      </w:r>
      <w:r>
        <w:fldChar w:fldCharType="begin"/>
      </w:r>
      <w:r>
        <w:instrText xml:space="preserve"> PAGEREF _Toc1821295192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31457EB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_Toc276387606 </w:instrText>
      </w:r>
      <w:r>
        <w:rPr>
          <w:rFonts w:hint="eastAsia" w:ascii="黑体" w:hAnsi="黑体" w:eastAsia="黑体" w:cs="黑体"/>
          <w:bCs/>
          <w:szCs w:val="32"/>
          <w:lang w:val="en-US" w:eastAsia="zh-CN"/>
        </w:rPr>
        <w:fldChar w:fldCharType="separate"/>
      </w:r>
      <w:r>
        <w:rPr>
          <w:rFonts w:hint="eastAsia"/>
          <w:lang w:val="en-US" w:eastAsia="zh-CN"/>
        </w:rPr>
        <w:t>三、附 件</w:t>
      </w:r>
      <w:r>
        <w:tab/>
      </w:r>
      <w:r>
        <w:fldChar w:fldCharType="begin"/>
      </w:r>
      <w:r>
        <w:instrText xml:space="preserve"> PAGEREF _Toc276387606 \h </w:instrText>
      </w:r>
      <w:r>
        <w:fldChar w:fldCharType="separate"/>
      </w:r>
      <w:r>
        <w:t>52</w:t>
      </w:r>
      <w:r>
        <w:fldChar w:fldCharType="end"/>
      </w:r>
      <w:r>
        <w:rPr>
          <w:rFonts w:hint="eastAsia" w:ascii="黑体" w:hAnsi="黑体" w:eastAsia="黑体" w:cs="黑体"/>
          <w:bCs/>
          <w:color w:val="auto"/>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color w:val="auto"/>
          <w:sz w:val="32"/>
          <w:szCs w:val="32"/>
          <w:lang w:val="en-US" w:eastAsia="zh-CN"/>
        </w:rPr>
      </w:pPr>
      <w:r>
        <w:rPr>
          <w:rFonts w:hint="eastAsia" w:ascii="黑体" w:hAnsi="黑体" w:eastAsia="黑体" w:cs="黑体"/>
          <w:bCs/>
          <w:color w:val="auto"/>
          <w:szCs w:val="32"/>
          <w:lang w:val="en-US" w:eastAsia="zh-CN"/>
        </w:rPr>
        <w:fldChar w:fldCharType="end"/>
      </w:r>
    </w:p>
    <w:bookmarkEnd w:id="45"/>
    <w:p w14:paraId="651D0FF2">
      <w:pPr>
        <w:pageBreakBefore w:val="0"/>
        <w:kinsoku/>
        <w:wordWrap/>
        <w:overflowPunct/>
        <w:topLinePunct w:val="0"/>
        <w:bidi w:val="0"/>
        <w:adjustRightInd w:val="0"/>
        <w:snapToGrid w:val="0"/>
        <w:ind w:left="0" w:leftChars="0" w:firstLine="480" w:firstLineChars="200"/>
        <w:textAlignment w:val="auto"/>
        <w:rPr>
          <w:rFonts w:hint="eastAsia"/>
          <w:color w:val="auto"/>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p>
    <w:p w14:paraId="743D1CCB">
      <w:pPr>
        <w:pStyle w:val="2"/>
        <w:bidi w:val="0"/>
        <w:rPr>
          <w:rFonts w:hint="eastAsia"/>
          <w:color w:val="auto"/>
          <w:lang w:val="en-US" w:eastAsia="zh-CN"/>
        </w:rPr>
      </w:pPr>
      <w:bookmarkStart w:id="46" w:name="_Toc1566118065"/>
      <w:bookmarkStart w:id="47" w:name="_Toc897384602"/>
      <w:bookmarkStart w:id="48" w:name="_Toc1992287126"/>
      <w:bookmarkStart w:id="49" w:name="_Toc2065133620"/>
      <w:bookmarkStart w:id="50" w:name="_Toc1138181288"/>
      <w:bookmarkStart w:id="51" w:name="_Toc9661"/>
      <w:bookmarkStart w:id="52" w:name="_Toc2147402238"/>
      <w:bookmarkStart w:id="53" w:name="_Toc698215329"/>
      <w:bookmarkStart w:id="54" w:name="_Toc311664942"/>
      <w:bookmarkStart w:id="55" w:name="_Toc500452949"/>
      <w:r>
        <w:rPr>
          <w:rFonts w:hint="eastAsia"/>
          <w:color w:val="auto"/>
          <w:lang w:val="en-US" w:eastAsia="zh-CN"/>
        </w:rPr>
        <w:t>一、引言</w:t>
      </w:r>
      <w:bookmarkEnd w:id="46"/>
      <w:bookmarkEnd w:id="47"/>
      <w:bookmarkEnd w:id="48"/>
      <w:bookmarkEnd w:id="49"/>
      <w:bookmarkEnd w:id="50"/>
      <w:bookmarkEnd w:id="51"/>
      <w:bookmarkEnd w:id="52"/>
      <w:bookmarkEnd w:id="53"/>
      <w:bookmarkEnd w:id="54"/>
      <w:bookmarkEnd w:id="55"/>
    </w:p>
    <w:p w14:paraId="21EE77DF">
      <w:pPr>
        <w:pStyle w:val="3"/>
        <w:bidi w:val="0"/>
        <w:rPr>
          <w:rFonts w:hint="eastAsia"/>
          <w:color w:val="auto"/>
          <w:lang w:val="en-US" w:eastAsia="zh-CN"/>
        </w:rPr>
      </w:pPr>
      <w:bookmarkStart w:id="56" w:name="_Toc490"/>
      <w:bookmarkStart w:id="57" w:name="_Toc1776063587"/>
      <w:bookmarkStart w:id="58" w:name="_Toc779242584"/>
      <w:bookmarkStart w:id="59" w:name="_Toc39257176"/>
      <w:bookmarkStart w:id="60" w:name="_Toc1070048526"/>
      <w:bookmarkStart w:id="61" w:name="_Toc1054387295"/>
      <w:bookmarkStart w:id="62" w:name="_Toc565352933"/>
      <w:bookmarkStart w:id="63" w:name="_Toc804702658"/>
      <w:bookmarkStart w:id="64" w:name="_Toc440065161"/>
      <w:bookmarkStart w:id="65" w:name="_Toc1566752191"/>
      <w:r>
        <w:rPr>
          <w:rFonts w:hint="eastAsia"/>
          <w:color w:val="auto"/>
          <w:lang w:val="en-US" w:eastAsia="zh-CN"/>
        </w:rPr>
        <w:t xml:space="preserve">第一节 </w:t>
      </w:r>
      <w:bookmarkEnd w:id="56"/>
      <w:r>
        <w:rPr>
          <w:rFonts w:hint="eastAsia"/>
          <w:color w:val="auto"/>
          <w:lang w:val="en-US" w:eastAsia="zh-CN"/>
        </w:rPr>
        <w:t>研究背景与问题提出</w:t>
      </w:r>
      <w:bookmarkEnd w:id="57"/>
      <w:bookmarkEnd w:id="58"/>
      <w:bookmarkEnd w:id="59"/>
      <w:bookmarkEnd w:id="60"/>
      <w:bookmarkEnd w:id="61"/>
      <w:bookmarkEnd w:id="62"/>
      <w:bookmarkEnd w:id="63"/>
      <w:bookmarkEnd w:id="64"/>
      <w:bookmarkEnd w:id="65"/>
    </w:p>
    <w:p w14:paraId="2CFDF7BD">
      <w:pPr>
        <w:pStyle w:val="4"/>
        <w:bidi w:val="0"/>
        <w:rPr>
          <w:rFonts w:hint="eastAsia"/>
          <w:color w:val="auto"/>
          <w:lang w:val="en-US" w:eastAsia="zh-CN"/>
        </w:rPr>
      </w:pPr>
      <w:bookmarkStart w:id="66" w:name="_Toc1588"/>
      <w:bookmarkStart w:id="67" w:name="_Toc2158"/>
      <w:bookmarkStart w:id="68" w:name="_Toc32018"/>
      <w:bookmarkStart w:id="69" w:name="_Toc27344"/>
      <w:bookmarkStart w:id="70" w:name="_Toc17822"/>
      <w:bookmarkStart w:id="71" w:name="_Toc517877403"/>
      <w:bookmarkStart w:id="72" w:name="_Toc278013409"/>
      <w:bookmarkStart w:id="73" w:name="_Toc1277516504"/>
      <w:bookmarkStart w:id="74" w:name="_Toc1374829882"/>
      <w:bookmarkStart w:id="75" w:name="_Toc1419090603"/>
      <w:bookmarkStart w:id="76" w:name="_Toc52212021"/>
      <w:bookmarkStart w:id="77" w:name="_Toc1933047847"/>
      <w:bookmarkStart w:id="78" w:name="_Toc241480659"/>
      <w:bookmarkStart w:id="79" w:name="_Toc2107078270"/>
      <w:r>
        <w:rPr>
          <w:rFonts w:hint="eastAsia"/>
          <w:color w:val="auto"/>
          <w:lang w:val="en-US" w:eastAsia="zh-CN"/>
        </w:rPr>
        <w:t>一、</w:t>
      </w:r>
      <w:bookmarkEnd w:id="66"/>
      <w:bookmarkEnd w:id="67"/>
      <w:bookmarkEnd w:id="68"/>
      <w:bookmarkEnd w:id="69"/>
      <w:bookmarkEnd w:id="70"/>
      <w:r>
        <w:rPr>
          <w:rFonts w:hint="eastAsia"/>
          <w:color w:val="auto"/>
          <w:lang w:val="en-US" w:eastAsia="zh-CN"/>
        </w:rPr>
        <w:t>宗教中国化的政策演进与“五个认同”的时代要求</w:t>
      </w:r>
      <w:bookmarkEnd w:id="71"/>
      <w:bookmarkEnd w:id="72"/>
      <w:bookmarkEnd w:id="73"/>
      <w:bookmarkEnd w:id="74"/>
      <w:bookmarkEnd w:id="75"/>
      <w:bookmarkEnd w:id="76"/>
      <w:bookmarkEnd w:id="77"/>
      <w:bookmarkEnd w:id="78"/>
      <w:bookmarkEnd w:id="79"/>
    </w:p>
    <w:p w14:paraId="25E5827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2016年全国宗教工作会议是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宗教中国化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命题发展的重要节点。会议明确了宗教团体需要对教规教义作出符合当代中国发展要求、符合中华优秀传统文化的阐释，这一要求为基督教仁爱观念的中国化诠释指明了方向。支持我国宗教坚持中国化方向的核心在于深入挖掘教义教规中有益于社会和谐、时代进步、健康文明的内容，这与本文的研究主</w:t>
      </w:r>
      <w:bookmarkStart w:id="874" w:name="_GoBack"/>
      <w:bookmarkEnd w:id="874"/>
      <w:r>
        <w:rPr>
          <w:rFonts w:hint="eastAsia" w:ascii="宋体" w:hAnsi="宋体" w:eastAsia="宋体" w:cs="宋体"/>
          <w:color w:val="auto"/>
          <w:sz w:val="24"/>
          <w:szCs w:val="24"/>
        </w:rPr>
        <w:t>旨高度一致。</w:t>
      </w:r>
    </w:p>
    <w:p w14:paraId="16ECEC4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2021年全国宗教工作会议进一步深化了宗教中国化的理论内涵，明确提出以社会主义核心价值观引领宗教发展，增进宗教界对祖国、民族、文化、政党、制度的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五个认同”是一个相互支撑、互为补充、紧密相连的认知系统，统一于宗教中国化的伟大实践。认同伟大祖国是基本前提，要求宗教界牢固树立国家意识、公民意识、法治意识，自觉维护国家主权、安全和发展利益；认同中华民族是主体基础，要求宗教界铸牢中华民族共同体意识，促进各民族交往交流交融；认同中华文化是历史根源，要求宗教界从中华优秀传统文化中汲取营养，实现宗教文化与中华文化的深度融合；认同中国共产党是领导保证，要求宗教界深刻认识中国共产党是中国特色社会主义事业的领导核心，拥护党的领导和执政地位；认同中国特色社会主义是现实载体，要求宗教界理解中国特色社会主义道路是实现中华民族伟大复兴的必由之路。</w:t>
      </w:r>
      <w:r>
        <w:rPr>
          <w:rStyle w:val="29"/>
          <w:rFonts w:hint="eastAsia" w:ascii="宋体" w:hAnsi="宋体" w:eastAsia="宋体" w:cs="宋体"/>
          <w:color w:val="auto"/>
          <w:sz w:val="24"/>
          <w:szCs w:val="24"/>
          <w:lang w:val="en-US" w:eastAsia="zh-CN"/>
        </w:rPr>
        <w:footnoteReference w:id="0"/>
      </w:r>
    </w:p>
    <w:p w14:paraId="74E68A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Fonts w:hint="eastAsia" w:ascii="宋体" w:hAnsi="宋体" w:eastAsia="宋体" w:cs="宋体"/>
          <w:color w:val="auto"/>
          <w:sz w:val="24"/>
          <w:szCs w:val="24"/>
        </w:rPr>
        <w:footnoteReference w:id="1"/>
      </w:r>
      <w:r>
        <w:rPr>
          <w:rStyle w:val="29"/>
          <w:rFonts w:hint="eastAsia" w:ascii="宋体" w:hAnsi="宋体" w:eastAsia="宋体" w:cs="宋体"/>
          <w:color w:val="auto"/>
          <w:sz w:val="24"/>
          <w:szCs w:val="24"/>
        </w:rPr>
        <w:footnoteReference w:id="2"/>
      </w:r>
    </w:p>
    <w:p w14:paraId="244619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宋体" w:hAnsi="宋体" w:eastAsia="宋体" w:cs="宋体"/>
          <w:color w:val="auto"/>
          <w:sz w:val="24"/>
          <w:szCs w:val="24"/>
          <w:lang w:val="en-US" w:eastAsia="zh-CN"/>
        </w:rPr>
        <w:footnoteReference w:id="3"/>
      </w:r>
      <w:r>
        <w:rPr>
          <w:rFonts w:hint="eastAsia" w:ascii="宋体" w:hAnsi="宋体" w:eastAsia="宋体" w:cs="宋体"/>
          <w:color w:val="auto"/>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宋体" w:hAnsi="宋体" w:eastAsia="宋体" w:cs="宋体"/>
          <w:color w:val="auto"/>
          <w:sz w:val="24"/>
          <w:szCs w:val="24"/>
          <w:lang w:val="en-US" w:eastAsia="zh-CN"/>
        </w:rPr>
        <w:footnoteReference w:id="4"/>
      </w:r>
      <w:r>
        <w:rPr>
          <w:rFonts w:hint="eastAsia" w:ascii="宋体" w:hAnsi="宋体" w:eastAsia="宋体" w:cs="宋体"/>
          <w:color w:val="auto"/>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宋体" w:hAnsi="宋体" w:eastAsia="宋体" w:cs="宋体"/>
          <w:color w:val="auto"/>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作为浙江省宗教界“双通”人才研修班的学员，本文研究始终坚持以“五个认同”为根本政治遵循，将“政治上靠得住、宗教上有造诣、品德上能服众、关键时起作用”作为研究的价值坐标。在学术写作中，必须充分体现对伟大祖国、中华民族、中华文化、中国共产党、中国特色社会主义的坚定认同，将宗教中国化的政策要求转化为具体的学术论证与路径设计。</w:t>
      </w:r>
    </w:p>
    <w:p w14:paraId="5CE61F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在此基础上，本文将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从政治前提转化为贯穿全文的分析尺度，具体操作化为以下五个检验维度：第一，以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认同伟大祖国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检验融合实践是否有助于增进国家意识、公民意识、法治意识；第二，以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认同中华民族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检验融合实践是否有助于铸牢中华民族共同体意识；第三，以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认同中华文化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检验教义阐释是否有效吸收了中华优秀传统文化资源；第四，以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认同中国共产党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检验融合路径是否有助于引导信众拥护党的领导；第五，以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认同中国特色社会主义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检验融合实践是否有助于宗教与社会主义社会相适应。这五个维度贯穿本文的契合性分析、障碍梳理与路径构建，形成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政治引领—理论分析—实践检验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的完整逻辑链条。</w:t>
      </w:r>
    </w:p>
    <w:p w14:paraId="3A954973">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p>
    <w:p w14:paraId="7D4925B8">
      <w:pPr>
        <w:pStyle w:val="4"/>
        <w:bidi w:val="0"/>
        <w:rPr>
          <w:rFonts w:hint="eastAsia"/>
          <w:color w:val="auto"/>
          <w:lang w:val="en-US" w:eastAsia="zh-CN"/>
        </w:rPr>
      </w:pPr>
      <w:bookmarkStart w:id="80" w:name="_Toc1989268701"/>
      <w:bookmarkStart w:id="81" w:name="_Toc1354108971"/>
      <w:bookmarkStart w:id="82" w:name="_Toc702381039"/>
      <w:bookmarkStart w:id="83" w:name="_Toc214290930"/>
      <w:bookmarkStart w:id="84" w:name="_Toc1602552713"/>
      <w:bookmarkStart w:id="85" w:name="_Toc1794432838"/>
      <w:bookmarkStart w:id="86" w:name="_Toc678380022"/>
      <w:bookmarkStart w:id="87" w:name="_Toc1968826630"/>
      <w:bookmarkStart w:id="88" w:name="_Toc1659144860"/>
      <w:r>
        <w:rPr>
          <w:rFonts w:hint="eastAsia"/>
          <w:color w:val="auto"/>
          <w:lang w:val="en-US" w:eastAsia="zh-CN"/>
        </w:rPr>
        <w:t>二、要求基督教本土化发展的现实困境</w:t>
      </w:r>
      <w:bookmarkEnd w:id="80"/>
      <w:bookmarkEnd w:id="81"/>
      <w:bookmarkEnd w:id="82"/>
      <w:bookmarkEnd w:id="83"/>
      <w:bookmarkEnd w:id="84"/>
      <w:bookmarkEnd w:id="85"/>
      <w:bookmarkEnd w:id="86"/>
      <w:bookmarkEnd w:id="87"/>
      <w:bookmarkEnd w:id="88"/>
    </w:p>
    <w:p w14:paraId="6ABE0FD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据国内宗教研究领域的公开统计数据，目前我国基督教信众总规模约3800万人，地域分布呈现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县域及以下乡村占比高、中西部地区占比高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的特征。</w:t>
      </w:r>
      <w:r>
        <w:rPr>
          <w:rStyle w:val="29"/>
          <w:rFonts w:hint="eastAsia" w:ascii="宋体" w:hAnsi="宋体" w:eastAsia="宋体" w:cs="宋体"/>
          <w:color w:val="auto"/>
          <w:sz w:val="24"/>
          <w:szCs w:val="24"/>
        </w:rPr>
        <w:footnoteReference w:id="6"/>
      </w:r>
      <w:r>
        <w:rPr>
          <w:rFonts w:hint="eastAsia" w:ascii="宋体" w:hAnsi="宋体" w:eastAsia="宋体" w:cs="宋体"/>
          <w:color w:val="auto"/>
          <w:sz w:val="24"/>
          <w:szCs w:val="24"/>
        </w:rPr>
        <w:t xml:space="preserve"> 在本土化发展的过程中，基督教团体面临三重现实困境：</w:t>
      </w:r>
    </w:p>
    <w:p w14:paraId="7213B8E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第一，教义阐释的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西方中心主义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残余。部分偏远乡村教会的讲经内容直接照搬国外神学体系，缺乏对儒家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等本土文化语境的创造性转化，导致信众在文化认同上出现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叠合身份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困境——既难以完全融入本土社会文化，又无法维持纯粹的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西方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信仰形态。</w:t>
      </w:r>
      <w:r>
        <w:rPr>
          <w:rStyle w:val="29"/>
          <w:rFonts w:hint="eastAsia" w:ascii="宋体" w:hAnsi="宋体" w:eastAsia="宋体" w:cs="宋体"/>
          <w:color w:val="auto"/>
          <w:sz w:val="24"/>
          <w:szCs w:val="24"/>
        </w:rPr>
        <w:footnoteReference w:id="7"/>
      </w:r>
    </w:p>
    <w:p w14:paraId="4F6D42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第三，价值对话的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话语体系断裂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。基督教神学话语与社会主义核心价值观话语之间存在显著的语义鸿沟，前者以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神启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救赎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为核心范畴，后者以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发展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为核心范畴，二者在公共领域的对话缺乏有效的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机制，导致融合实践往往流于形式或产生误解。</w:t>
      </w:r>
    </w:p>
    <w:p w14:paraId="76F7AB9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信仰市场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中提升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产品适配性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的战略选择——将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这一宗教伦理进行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本土化包装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，以契合主流文化的价值偏好，从而扩大其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社会认可度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
      </w:r>
    </w:p>
    <w:p w14:paraId="45A16FE0">
      <w:pPr>
        <w:pStyle w:val="3"/>
        <w:bidi w:val="0"/>
        <w:rPr>
          <w:rFonts w:hint="eastAsia"/>
          <w:color w:val="auto"/>
          <w:lang w:val="en-US" w:eastAsia="zh-CN"/>
        </w:rPr>
      </w:pPr>
      <w:bookmarkStart w:id="89" w:name="_Toc200514914"/>
      <w:bookmarkStart w:id="90" w:name="_Toc542347831"/>
      <w:bookmarkStart w:id="91" w:name="_Toc1919853445"/>
      <w:bookmarkStart w:id="92" w:name="_Toc1625268338"/>
      <w:bookmarkStart w:id="93" w:name="_Toc1613641211"/>
      <w:bookmarkStart w:id="94" w:name="_Toc363546717"/>
      <w:bookmarkStart w:id="95" w:name="_Toc257584491"/>
      <w:bookmarkStart w:id="96" w:name="_Toc1641137434"/>
      <w:bookmarkStart w:id="97" w:name="_Toc172505725"/>
      <w:r>
        <w:rPr>
          <w:rFonts w:hint="eastAsia"/>
          <w:color w:val="auto"/>
          <w:lang w:val="en-US" w:eastAsia="zh-CN"/>
        </w:rPr>
        <w:t>第二节 文献综述</w:t>
      </w:r>
      <w:bookmarkEnd w:id="89"/>
      <w:bookmarkEnd w:id="90"/>
      <w:bookmarkEnd w:id="91"/>
      <w:bookmarkEnd w:id="92"/>
      <w:bookmarkEnd w:id="93"/>
      <w:bookmarkEnd w:id="94"/>
      <w:bookmarkEnd w:id="95"/>
      <w:bookmarkEnd w:id="96"/>
      <w:bookmarkEnd w:id="97"/>
    </w:p>
    <w:p w14:paraId="33329422">
      <w:pPr>
        <w:pStyle w:val="4"/>
        <w:bidi w:val="0"/>
        <w:rPr>
          <w:rFonts w:hint="eastAsia"/>
          <w:color w:val="auto"/>
          <w:lang w:val="en-US" w:eastAsia="zh-CN"/>
        </w:rPr>
      </w:pPr>
      <w:bookmarkStart w:id="98" w:name="_Toc2040450573"/>
      <w:bookmarkStart w:id="99" w:name="_Toc538696904"/>
      <w:bookmarkStart w:id="100" w:name="_Toc2044338961"/>
      <w:bookmarkStart w:id="101" w:name="_Toc652317455"/>
      <w:bookmarkStart w:id="102" w:name="_Toc2042991532"/>
      <w:bookmarkStart w:id="103" w:name="_Toc1035053940"/>
      <w:bookmarkStart w:id="104" w:name="_Toc1319397749"/>
      <w:bookmarkStart w:id="105" w:name="_Toc316891170"/>
      <w:bookmarkStart w:id="106" w:name="_Toc200796625"/>
      <w:r>
        <w:rPr>
          <w:rFonts w:hint="eastAsia"/>
          <w:color w:val="auto"/>
          <w:lang w:val="en-US" w:eastAsia="zh-CN"/>
        </w:rPr>
        <w:t>一、基督教仁爱观念的本源阐释与跨文化研究</w:t>
      </w:r>
      <w:bookmarkEnd w:id="98"/>
      <w:bookmarkEnd w:id="99"/>
      <w:bookmarkEnd w:id="100"/>
      <w:bookmarkEnd w:id="101"/>
      <w:bookmarkEnd w:id="102"/>
      <w:bookmarkEnd w:id="103"/>
      <w:bookmarkEnd w:id="104"/>
      <w:bookmarkEnd w:id="105"/>
      <w:bookmarkEnd w:id="106"/>
    </w:p>
    <w:p w14:paraId="0E2A493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基督教仁爱观念的本源研究集中在对希腊语汇</w:t>
      </w:r>
      <w:r>
        <w:rPr>
          <w:rFonts w:hint="default" w:ascii="Times New Roman" w:hAnsi="Times New Roman" w:eastAsia="宋体" w:cs="Times New Roman"/>
          <w:color w:val="auto"/>
          <w:sz w:val="24"/>
          <w:szCs w:val="24"/>
          <w:lang w:val="en-US" w:eastAsia="zh-CN"/>
        </w:rPr>
        <w:t>Agape（ἀγάπη）</w:t>
      </w:r>
      <w:r>
        <w:rPr>
          <w:rFonts w:hint="eastAsia" w:ascii="宋体" w:hAnsi="宋体" w:eastAsia="宋体" w:cs="宋体"/>
          <w:color w:val="auto"/>
          <w:sz w:val="24"/>
          <w:szCs w:val="24"/>
          <w:lang w:val="en-US" w:eastAsia="zh-CN"/>
        </w:rPr>
        <w:t>的神学阐释。</w:t>
      </w:r>
      <w:r>
        <w:rPr>
          <w:rFonts w:hint="default" w:ascii="Times New Roman" w:hAnsi="Times New Roman" w:eastAsia="宋体" w:cs="Times New Roman"/>
          <w:color w:val="auto"/>
          <w:sz w:val="24"/>
          <w:szCs w:val="24"/>
          <w:lang w:val="en-US" w:eastAsia="zh-CN"/>
        </w:rPr>
        <w:t>Anders Nygren</w:t>
      </w:r>
      <w:r>
        <w:rPr>
          <w:rFonts w:hint="eastAsia" w:ascii="宋体" w:hAnsi="宋体" w:eastAsia="宋体" w:cs="宋体"/>
          <w:color w:val="auto"/>
          <w:sz w:val="24"/>
          <w:szCs w:val="24"/>
          <w:lang w:val="en-US" w:eastAsia="zh-CN"/>
        </w:rPr>
        <w:t>在经典著作《圣爱与欲爱》中严格区分了</w:t>
      </w:r>
      <w:r>
        <w:rPr>
          <w:rFonts w:hint="default" w:ascii="Times New Roman" w:hAnsi="Times New Roman" w:eastAsia="宋体" w:cs="Times New Roman"/>
          <w:color w:val="auto"/>
          <w:sz w:val="24"/>
          <w:szCs w:val="24"/>
          <w:lang w:val="en-US" w:eastAsia="zh-CN"/>
        </w:rPr>
        <w:t>Agape</w:t>
      </w:r>
      <w:r>
        <w:rPr>
          <w:rFonts w:hint="eastAsia" w:ascii="宋体" w:hAnsi="宋体" w:eastAsia="宋体" w:cs="宋体"/>
          <w:color w:val="auto"/>
          <w:sz w:val="24"/>
          <w:szCs w:val="24"/>
          <w:lang w:val="en-US" w:eastAsia="zh-CN"/>
        </w:rPr>
        <w:t>与</w:t>
      </w:r>
      <w:r>
        <w:rPr>
          <w:rFonts w:hint="default" w:ascii="Times New Roman" w:hAnsi="Times New Roman" w:eastAsia="宋体" w:cs="Times New Roman"/>
          <w:color w:val="auto"/>
          <w:sz w:val="24"/>
          <w:szCs w:val="24"/>
          <w:lang w:val="en-US" w:eastAsia="zh-CN"/>
        </w:rPr>
        <w:t>Eros：Agape</w:t>
      </w:r>
      <w:r>
        <w:rPr>
          <w:rFonts w:hint="eastAsia" w:ascii="宋体" w:hAnsi="宋体" w:eastAsia="宋体" w:cs="宋体"/>
          <w:color w:val="auto"/>
          <w:sz w:val="24"/>
          <w:szCs w:val="24"/>
          <w:lang w:val="en-US" w:eastAsia="zh-CN"/>
        </w:rPr>
        <w:t>是“自上而下的赐予”，以上帝为唯一主体，具有无条件性和神圣性；</w:t>
      </w:r>
      <w:r>
        <w:rPr>
          <w:rFonts w:hint="default" w:ascii="Times New Roman" w:hAnsi="Times New Roman" w:eastAsia="宋体" w:cs="Times New Roman"/>
          <w:color w:val="auto"/>
          <w:sz w:val="24"/>
          <w:szCs w:val="24"/>
          <w:lang w:val="en-US" w:eastAsia="zh-CN"/>
        </w:rPr>
        <w:t>Eros</w:t>
      </w:r>
      <w:r>
        <w:rPr>
          <w:rFonts w:hint="eastAsia" w:ascii="宋体" w:hAnsi="宋体" w:eastAsia="宋体" w:cs="宋体"/>
          <w:color w:val="auto"/>
          <w:sz w:val="24"/>
          <w:szCs w:val="24"/>
          <w:lang w:val="en-US" w:eastAsia="zh-CN"/>
        </w:rPr>
        <w:t>则是“自下而上的追求”，以人的需要为驱动力，具有条件性和世俗性。</w:t>
      </w:r>
      <w:r>
        <w:rPr>
          <w:rStyle w:val="29"/>
          <w:rFonts w:hint="eastAsia" w:ascii="宋体" w:hAnsi="宋体" w:eastAsia="宋体" w:cs="宋体"/>
          <w:color w:val="auto"/>
          <w:sz w:val="24"/>
          <w:szCs w:val="24"/>
          <w:lang w:val="en-US" w:eastAsia="zh-CN"/>
        </w:rPr>
        <w:footnoteReference w:id="9"/>
      </w:r>
      <w:r>
        <w:rPr>
          <w:rFonts w:hint="eastAsia" w:ascii="宋体" w:hAnsi="宋体" w:eastAsia="宋体" w:cs="宋体"/>
          <w:color w:val="auto"/>
          <w:sz w:val="24"/>
          <w:szCs w:val="24"/>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宋体" w:hAnsi="宋体" w:eastAsia="宋体" w:cs="宋体"/>
          <w:color w:val="auto"/>
          <w:sz w:val="24"/>
          <w:szCs w:val="24"/>
          <w:lang w:val="en-US" w:eastAsia="zh-CN"/>
        </w:rPr>
        <w:footnoteReference w:id="10"/>
      </w:r>
      <w:r>
        <w:rPr>
          <w:rFonts w:hint="eastAsia" w:ascii="宋体" w:hAnsi="宋体" w:eastAsia="宋体" w:cs="宋体"/>
          <w:color w:val="auto"/>
          <w:sz w:val="24"/>
          <w:szCs w:val="24"/>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宋体" w:hAnsi="宋体" w:eastAsia="宋体" w:cs="宋体"/>
          <w:color w:val="auto"/>
          <w:sz w:val="24"/>
          <w:szCs w:val="24"/>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宋体" w:hAnsi="宋体" w:eastAsia="宋体" w:cs="宋体"/>
          <w:color w:val="auto"/>
          <w:sz w:val="24"/>
          <w:szCs w:val="24"/>
          <w:lang w:val="en-US" w:eastAsia="zh-CN"/>
        </w:rPr>
        <w:footnoteReference w:id="12"/>
      </w:r>
      <w:r>
        <w:rPr>
          <w:rFonts w:hint="eastAsia" w:ascii="宋体" w:hAnsi="宋体" w:eastAsia="宋体" w:cs="宋体"/>
          <w:color w:val="auto"/>
          <w:sz w:val="24"/>
          <w:szCs w:val="24"/>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宋体" w:hAnsi="宋体" w:eastAsia="宋体" w:cs="宋体"/>
          <w:color w:val="auto"/>
          <w:sz w:val="24"/>
          <w:szCs w:val="24"/>
          <w:lang w:val="en-US" w:eastAsia="zh-CN"/>
        </w:rPr>
        <w:footnoteReference w:id="13"/>
      </w:r>
      <w:r>
        <w:rPr>
          <w:rFonts w:hint="eastAsia" w:ascii="宋体" w:hAnsi="宋体" w:eastAsia="宋体" w:cs="宋体"/>
          <w:color w:val="auto"/>
          <w:sz w:val="24"/>
          <w:szCs w:val="24"/>
          <w:lang w:val="en-US" w:eastAsia="zh-CN"/>
        </w:rPr>
        <w:t xml:space="preserve"> Hans Küng与Julia Ching在《基督教与中国宗教》中系统比较了耶儒对话的可能性与限度，指出二者在“金规则”（Golden Rule）上存在实践伦理的交叠。</w:t>
      </w:r>
      <w:r>
        <w:rPr>
          <w:rStyle w:val="29"/>
          <w:rFonts w:hint="eastAsia" w:ascii="宋体" w:hAnsi="宋体" w:eastAsia="宋体" w:cs="宋体"/>
          <w:color w:val="auto"/>
          <w:sz w:val="24"/>
          <w:szCs w:val="24"/>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宋体" w:hAnsi="宋体" w:eastAsia="宋体" w:cs="宋体"/>
          <w:color w:val="auto"/>
          <w:sz w:val="24"/>
          <w:szCs w:val="24"/>
          <w:lang w:val="en-US" w:eastAsia="zh-CN"/>
        </w:rPr>
        <w:footnoteReference w:id="15"/>
      </w:r>
      <w:r>
        <w:rPr>
          <w:rFonts w:hint="eastAsia" w:ascii="宋体" w:hAnsi="宋体" w:eastAsia="宋体" w:cs="宋体"/>
          <w:color w:val="auto"/>
          <w:sz w:val="24"/>
          <w:szCs w:val="24"/>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宋体" w:hAnsi="宋体" w:eastAsia="宋体" w:cs="宋体"/>
          <w:color w:val="auto"/>
          <w:sz w:val="24"/>
          <w:szCs w:val="24"/>
          <w:lang w:val="en-US" w:eastAsia="zh-CN"/>
        </w:rPr>
        <w:footnoteReference w:id="16"/>
      </w:r>
      <w:r>
        <w:rPr>
          <w:rFonts w:hint="eastAsia" w:ascii="宋体" w:hAnsi="宋体" w:eastAsia="宋体" w:cs="宋体"/>
          <w:color w:val="auto"/>
          <w:sz w:val="24"/>
          <w:szCs w:val="24"/>
          <w:lang w:val="en-US" w:eastAsia="zh-CN"/>
        </w:rPr>
        <w:t xml:space="preserve"> 黄勇从全球伦理视角出发，论证儒家仁爱观对爱的多样性和适当性的强调，能够为基督教普遍主义提供有益的补充。</w:t>
      </w:r>
      <w:r>
        <w:rPr>
          <w:rStyle w:val="29"/>
          <w:rFonts w:hint="eastAsia" w:ascii="宋体" w:hAnsi="宋体" w:eastAsia="宋体" w:cs="宋体"/>
          <w:color w:val="auto"/>
          <w:sz w:val="24"/>
          <w:szCs w:val="24"/>
          <w:lang w:val="en-US" w:eastAsia="zh-CN"/>
        </w:rPr>
        <w:footnoteReference w:id="17"/>
      </w:r>
    </w:p>
    <w:p w14:paraId="2BD903D7">
      <w:pPr>
        <w:pStyle w:val="4"/>
        <w:bidi w:val="0"/>
        <w:rPr>
          <w:rFonts w:hint="eastAsia"/>
          <w:color w:val="auto"/>
          <w:lang w:val="en-US" w:eastAsia="zh-CN"/>
        </w:rPr>
      </w:pPr>
      <w:bookmarkStart w:id="107" w:name="_Toc87809776"/>
      <w:bookmarkStart w:id="108" w:name="_Toc686421468"/>
      <w:bookmarkStart w:id="109" w:name="_Toc442646441"/>
      <w:bookmarkStart w:id="110" w:name="_Toc201828521"/>
      <w:bookmarkStart w:id="111" w:name="_Toc1614049174"/>
      <w:bookmarkStart w:id="112" w:name="_Toc595448250"/>
      <w:bookmarkStart w:id="113" w:name="_Toc1534028880"/>
      <w:bookmarkStart w:id="114" w:name="_Toc230449630"/>
      <w:bookmarkStart w:id="115" w:name="_Toc1092066938"/>
      <w:r>
        <w:rPr>
          <w:rFonts w:hint="eastAsia"/>
          <w:color w:val="auto"/>
          <w:lang w:val="en-US" w:eastAsia="zh-CN"/>
        </w:rPr>
        <w:t>二、研究宗教价值与主流社会价值融合的国际比较</w:t>
      </w:r>
      <w:bookmarkEnd w:id="107"/>
      <w:bookmarkEnd w:id="108"/>
      <w:bookmarkEnd w:id="109"/>
      <w:bookmarkEnd w:id="110"/>
      <w:bookmarkEnd w:id="111"/>
      <w:bookmarkEnd w:id="112"/>
      <w:bookmarkEnd w:id="113"/>
      <w:bookmarkEnd w:id="114"/>
      <w:bookmarkEnd w:id="115"/>
    </w:p>
    <w:p w14:paraId="0A17223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在比较研究方面，Casanova的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提供了宏观视角。他认为，宗教在现代社会中可以通过参与公共领域讨论、提供社会服务，成为公民社会的重要组成部分，而非必然退入私人领域。Bellah对美国基督教伦理与公民文化融合机制的分析，以及Troeltsch对基督教社会存在形态的类型学划分，都揭示了宗教伦理与社会主流价值之间的功能性融合可能。Weber关于宗教伦理可以通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非意图后果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与社会主流价值实现功能整合的方法论，对理解基督教仁爱实践与核心价值观的关系具有启发意义。</w:t>
      </w:r>
      <w:r>
        <w:rPr>
          <w:rStyle w:val="29"/>
          <w:rFonts w:hint="eastAsia" w:ascii="宋体" w:hAnsi="宋体" w:eastAsia="宋体" w:cs="宋体"/>
          <w:color w:val="auto"/>
          <w:sz w:val="24"/>
          <w:szCs w:val="24"/>
        </w:rPr>
        <w:footnoteReference w:id="18"/>
      </w:r>
      <w:r>
        <w:rPr>
          <w:rStyle w:val="29"/>
          <w:rFonts w:hint="eastAsia" w:ascii="宋体" w:hAnsi="宋体" w:eastAsia="宋体" w:cs="宋体"/>
          <w:color w:val="auto"/>
          <w:sz w:val="24"/>
          <w:szCs w:val="24"/>
        </w:rPr>
        <w:footnoteReference w:id="19"/>
      </w:r>
      <w:r>
        <w:rPr>
          <w:rStyle w:val="29"/>
          <w:rFonts w:hint="eastAsia" w:ascii="宋体" w:hAnsi="宋体" w:eastAsia="宋体" w:cs="宋体"/>
          <w:color w:val="auto"/>
          <w:sz w:val="24"/>
          <w:szCs w:val="24"/>
        </w:rPr>
        <w:footnoteReference w:id="20"/>
      </w:r>
      <w:r>
        <w:rPr>
          <w:rStyle w:val="29"/>
          <w:rFonts w:hint="eastAsia" w:ascii="宋体" w:hAnsi="宋体" w:eastAsia="宋体" w:cs="宋体"/>
          <w:color w:val="auto"/>
          <w:sz w:val="24"/>
          <w:szCs w:val="24"/>
        </w:rPr>
        <w:footnoteReference w:id="21"/>
      </w:r>
    </w:p>
    <w:p w14:paraId="2EB5DE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宋体" w:hAnsi="宋体" w:eastAsia="宋体" w:cs="宋体"/>
          <w:color w:val="auto"/>
          <w:sz w:val="24"/>
          <w:szCs w:val="24"/>
          <w:lang w:val="en-US" w:eastAsia="zh-CN"/>
        </w:rPr>
        <w:footnoteReference w:id="22"/>
      </w:r>
      <w:r>
        <w:rPr>
          <w:rFonts w:hint="eastAsia" w:ascii="宋体" w:hAnsi="宋体" w:eastAsia="宋体" w:cs="宋体"/>
          <w:color w:val="auto"/>
          <w:sz w:val="24"/>
          <w:szCs w:val="24"/>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宋体" w:hAnsi="宋体" w:eastAsia="宋体" w:cs="宋体"/>
          <w:color w:val="auto"/>
          <w:sz w:val="24"/>
          <w:szCs w:val="24"/>
          <w:lang w:val="en-US" w:eastAsia="zh-CN"/>
        </w:rPr>
        <w:footnoteReference w:id="23"/>
      </w:r>
      <w:r>
        <w:rPr>
          <w:rFonts w:hint="eastAsia" w:ascii="宋体" w:hAnsi="宋体" w:eastAsia="宋体" w:cs="宋体"/>
          <w:color w:val="auto"/>
          <w:sz w:val="24"/>
          <w:szCs w:val="24"/>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宋体" w:hAnsi="宋体" w:eastAsia="宋体" w:cs="宋体"/>
          <w:color w:val="auto"/>
          <w:sz w:val="24"/>
          <w:szCs w:val="24"/>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在处境化诠释方面，Bevans提出的多种理论模型为基督教教义的本土化提供了方法论参照，而Schreiter关于本土神学需在本地文化经验中重新发现福音意义的观点，则为当代基督教中国化研究提供了重要的理论启示。</w:t>
      </w:r>
      <w:r>
        <w:rPr>
          <w:rStyle w:val="29"/>
          <w:rFonts w:hint="eastAsia" w:ascii="宋体" w:hAnsi="宋体" w:eastAsia="宋体" w:cs="宋体"/>
          <w:color w:val="auto"/>
          <w:sz w:val="24"/>
          <w:szCs w:val="24"/>
        </w:rPr>
        <w:footnoteReference w:id="25"/>
      </w:r>
      <w:r>
        <w:rPr>
          <w:rStyle w:val="29"/>
          <w:rFonts w:hint="eastAsia" w:ascii="宋体" w:hAnsi="宋体" w:eastAsia="宋体" w:cs="宋体"/>
          <w:color w:val="auto"/>
          <w:sz w:val="24"/>
          <w:szCs w:val="24"/>
        </w:rPr>
        <w:footnoteReference w:id="26"/>
      </w:r>
    </w:p>
    <w:p w14:paraId="6BEA0713">
      <w:pPr>
        <w:pStyle w:val="4"/>
        <w:bidi w:val="0"/>
        <w:rPr>
          <w:rFonts w:hint="eastAsia"/>
          <w:color w:val="auto"/>
          <w:lang w:val="en-US" w:eastAsia="zh-CN"/>
        </w:rPr>
      </w:pPr>
      <w:bookmarkStart w:id="116" w:name="_Toc403460992"/>
      <w:bookmarkStart w:id="117" w:name="_Toc497639743"/>
      <w:bookmarkStart w:id="118" w:name="_Toc1255273834"/>
      <w:bookmarkStart w:id="119" w:name="_Toc675380679"/>
      <w:bookmarkStart w:id="120" w:name="_Toc424942730"/>
      <w:bookmarkStart w:id="121" w:name="_Toc1882203925"/>
      <w:bookmarkStart w:id="122" w:name="_Toc311038514"/>
      <w:bookmarkStart w:id="123" w:name="_Toc1253915869"/>
      <w:bookmarkStart w:id="124" w:name="_Toc1973779704"/>
      <w:r>
        <w:rPr>
          <w:rFonts w:hint="eastAsia"/>
          <w:color w:val="auto"/>
          <w:lang w:val="en-US" w:eastAsia="zh-CN"/>
        </w:rPr>
        <w:t>三、比较宗教中国化与社会主义核心价值观引领的国内研究</w:t>
      </w:r>
      <w:bookmarkEnd w:id="116"/>
      <w:bookmarkEnd w:id="117"/>
      <w:bookmarkEnd w:id="118"/>
      <w:bookmarkEnd w:id="119"/>
      <w:bookmarkEnd w:id="120"/>
      <w:bookmarkEnd w:id="121"/>
      <w:bookmarkEnd w:id="122"/>
      <w:bookmarkEnd w:id="123"/>
      <w:bookmarkEnd w:id="124"/>
    </w:p>
    <w:p w14:paraId="71AE5DC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国内关于宗教中国化的研究近年来呈现井喷态势。张志刚系统阐释了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宗教中国化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的学理内涵，指出其包含政治认同、社会适应、文化融合、文明互鉴四个维度。</w:t>
      </w:r>
      <w:r>
        <w:rPr>
          <w:rStyle w:val="29"/>
          <w:rFonts w:hint="eastAsia" w:ascii="宋体" w:hAnsi="宋体" w:eastAsia="宋体" w:cs="宋体"/>
          <w:color w:val="auto"/>
          <w:sz w:val="24"/>
          <w:szCs w:val="24"/>
        </w:rPr>
        <w:footnoteReference w:id="27"/>
      </w:r>
      <w:r>
        <w:rPr>
          <w:rFonts w:hint="eastAsia" w:ascii="宋体" w:hAnsi="宋体" w:eastAsia="宋体" w:cs="宋体"/>
          <w:color w:val="auto"/>
          <w:sz w:val="24"/>
          <w:szCs w:val="24"/>
        </w:rPr>
        <w:t xml:space="preserve"> 牟钟鉴从中华文化主体性出发，论证宗教中国化是宗教在中华大地上生存发展的必由之路。</w:t>
      </w:r>
      <w:r>
        <w:rPr>
          <w:rStyle w:val="29"/>
          <w:rFonts w:hint="eastAsia" w:ascii="宋体" w:hAnsi="宋体" w:eastAsia="宋体" w:cs="宋体"/>
          <w:color w:val="auto"/>
          <w:sz w:val="24"/>
          <w:szCs w:val="24"/>
        </w:rPr>
        <w:footnoteReference w:id="28"/>
      </w:r>
      <w:r>
        <w:rPr>
          <w:rFonts w:hint="eastAsia" w:ascii="宋体" w:hAnsi="宋体" w:eastAsia="宋体" w:cs="宋体"/>
          <w:color w:val="auto"/>
          <w:sz w:val="24"/>
          <w:szCs w:val="24"/>
        </w:rPr>
        <w:t xml:space="preserve"> 王作安从宗教工作实务角度，论述了宗教与社会主义社会相适应的理论基础与实践路径。</w:t>
      </w:r>
      <w:r>
        <w:rPr>
          <w:rStyle w:val="29"/>
          <w:rFonts w:hint="eastAsia" w:ascii="宋体" w:hAnsi="宋体" w:eastAsia="宋体" w:cs="宋体"/>
          <w:color w:val="auto"/>
          <w:sz w:val="24"/>
          <w:szCs w:val="24"/>
        </w:rPr>
        <w:footnoteReference w:id="29"/>
      </w:r>
    </w:p>
    <w:p w14:paraId="00C7421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在基督教中国化专题研究方面，段琦梳理了中国基督教三自爱国运动的历史进程，指出三自运动是基督教中国化的政治前提。</w:t>
      </w:r>
      <w:r>
        <w:rPr>
          <w:rStyle w:val="29"/>
          <w:rFonts w:hint="eastAsia" w:ascii="宋体" w:hAnsi="宋体" w:eastAsia="宋体" w:cs="宋体"/>
          <w:color w:val="auto"/>
          <w:sz w:val="24"/>
          <w:szCs w:val="24"/>
        </w:rPr>
        <w:footnoteReference w:id="30"/>
      </w:r>
      <w:r>
        <w:rPr>
          <w:rFonts w:hint="eastAsia" w:ascii="宋体" w:hAnsi="宋体" w:eastAsia="宋体" w:cs="宋体"/>
          <w:color w:val="auto"/>
          <w:sz w:val="24"/>
          <w:szCs w:val="24"/>
        </w:rPr>
        <w:t xml:space="preserve"> 唐晓峰分析了改革开放以来基督教神学思想建设的成就与挑战。</w:t>
      </w:r>
      <w:r>
        <w:rPr>
          <w:rStyle w:val="29"/>
          <w:rFonts w:hint="eastAsia" w:ascii="宋体" w:hAnsi="宋体" w:eastAsia="宋体" w:cs="宋体"/>
          <w:color w:val="auto"/>
          <w:sz w:val="24"/>
          <w:szCs w:val="24"/>
        </w:rPr>
        <w:footnoteReference w:id="31"/>
      </w:r>
      <w:r>
        <w:rPr>
          <w:rFonts w:hint="eastAsia" w:ascii="宋体" w:hAnsi="宋体" w:eastAsia="宋体" w:cs="宋体"/>
          <w:color w:val="auto"/>
          <w:sz w:val="24"/>
          <w:szCs w:val="24"/>
        </w:rPr>
        <w:t xml:space="preserve"> 徐以骅从宗教与国际关系视角，讨论了基督教中国化在国际传播中的战略意义。</w:t>
      </w:r>
      <w:r>
        <w:rPr>
          <w:rStyle w:val="29"/>
          <w:rFonts w:hint="eastAsia" w:ascii="宋体" w:hAnsi="宋体" w:eastAsia="宋体" w:cs="宋体"/>
          <w:color w:val="auto"/>
          <w:sz w:val="24"/>
          <w:szCs w:val="24"/>
        </w:rPr>
        <w:footnoteReference w:id="32"/>
      </w:r>
      <w:r>
        <w:rPr>
          <w:rFonts w:hint="eastAsia" w:ascii="宋体" w:hAnsi="宋体" w:eastAsia="宋体" w:cs="宋体"/>
          <w:color w:val="auto"/>
          <w:sz w:val="24"/>
          <w:szCs w:val="24"/>
        </w:rPr>
        <w:t xml:space="preserve"> 游斌从圣经诠释学角度，探讨了基督教经典在汉语语境中的翻译与诠释问题。</w:t>
      </w:r>
      <w:r>
        <w:rPr>
          <w:rStyle w:val="29"/>
          <w:rFonts w:hint="eastAsia" w:ascii="宋体" w:hAnsi="宋体" w:eastAsia="宋体" w:cs="宋体"/>
          <w:color w:val="auto"/>
          <w:sz w:val="24"/>
          <w:szCs w:val="24"/>
        </w:rPr>
        <w:footnoteReference w:id="33"/>
      </w:r>
    </w:p>
    <w:p w14:paraId="73A976B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在社会主义核心价值观与宗教融合方面，陈宗皋、马桦等从宗教工作政策角度，论述了以社会主义核心价值观引领宗教的具体机制。</w:t>
      </w:r>
      <w:r>
        <w:rPr>
          <w:rStyle w:val="29"/>
          <w:rFonts w:hint="eastAsia" w:ascii="宋体" w:hAnsi="宋体" w:eastAsia="宋体" w:cs="宋体"/>
          <w:color w:val="auto"/>
          <w:sz w:val="24"/>
          <w:szCs w:val="24"/>
        </w:rPr>
        <w:footnoteReference w:id="34"/>
      </w:r>
      <w:r>
        <w:rPr>
          <w:rFonts w:hint="eastAsia" w:ascii="宋体" w:hAnsi="宋体" w:eastAsia="宋体" w:cs="宋体"/>
          <w:color w:val="auto"/>
          <w:sz w:val="24"/>
          <w:szCs w:val="24"/>
        </w:rPr>
        <w:t xml:space="preserve"> 李平晔从神学角度，探讨了基督教伦理与社会主义道德建设的对话空间。</w:t>
      </w:r>
      <w:r>
        <w:rPr>
          <w:rStyle w:val="29"/>
          <w:rFonts w:hint="eastAsia" w:ascii="宋体" w:hAnsi="宋体" w:eastAsia="宋体" w:cs="宋体"/>
          <w:color w:val="auto"/>
          <w:sz w:val="24"/>
          <w:szCs w:val="24"/>
        </w:rPr>
        <w:footnoteReference w:id="35"/>
      </w:r>
      <w:r>
        <w:rPr>
          <w:rFonts w:hint="eastAsia" w:ascii="宋体" w:hAnsi="宋体" w:eastAsia="宋体" w:cs="宋体"/>
          <w:color w:val="auto"/>
          <w:sz w:val="24"/>
          <w:szCs w:val="24"/>
        </w:rPr>
        <w:t xml:space="preserve"> 赵敦华从基督教哲学角度，分析了基督教伦理与中华传统美德的相通性。</w:t>
      </w:r>
      <w:r>
        <w:rPr>
          <w:rStyle w:val="29"/>
          <w:rFonts w:hint="eastAsia" w:ascii="宋体" w:hAnsi="宋体" w:eastAsia="宋体" w:cs="宋体"/>
          <w:color w:val="auto"/>
          <w:sz w:val="24"/>
          <w:szCs w:val="24"/>
        </w:rPr>
        <w:footnoteReference w:id="36"/>
      </w:r>
    </w:p>
    <w:p w14:paraId="7B05C9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近年来，宗教中国化研究进入深化阶段。2023年，中国基督教全国两会发布《深入推进我国基督教中国化五年工作规划纲要（2023-2027年）》，明确提出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以社会主义核心价值观为引领，用中华优秀传统文化浸润，逐步构建具有中国教会特色的神学思想体系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37"/>
      </w:r>
      <w:r>
        <w:rPr>
          <w:rFonts w:hint="eastAsia" w:ascii="宋体" w:hAnsi="宋体" w:eastAsia="宋体" w:cs="宋体"/>
          <w:color w:val="auto"/>
          <w:sz w:val="24"/>
          <w:szCs w:val="24"/>
        </w:rPr>
        <w:t xml:space="preserve"> 2024年，基督教全国两会提出年度工作要点，强调将社会主义核心价值观融入神学思考、教会秩序和具体事工中，体现在信徒的信仰实践和日常生活中。</w:t>
      </w:r>
      <w:r>
        <w:rPr>
          <w:rStyle w:val="29"/>
          <w:rFonts w:hint="eastAsia" w:ascii="宋体" w:hAnsi="宋体" w:eastAsia="宋体" w:cs="宋体"/>
          <w:color w:val="auto"/>
          <w:sz w:val="24"/>
          <w:szCs w:val="24"/>
        </w:rPr>
        <w:footnoteReference w:id="38"/>
      </w:r>
    </w:p>
    <w:p w14:paraId="34AD757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在《世界宗教研究》《中国宗教》等权威期刊方面，近年来涌现了一批重要成果。曹正勇从谢颂羔汉译《天路历程》分析基督教经典的中国化实践，揭示了翻译作为文化翻译的深层机制。</w:t>
      </w:r>
      <w:r>
        <w:rPr>
          <w:rStyle w:val="29"/>
          <w:rFonts w:hint="eastAsia" w:ascii="宋体" w:hAnsi="宋体" w:eastAsia="宋体" w:cs="宋体"/>
          <w:color w:val="auto"/>
          <w:sz w:val="24"/>
          <w:szCs w:val="24"/>
        </w:rPr>
        <w:footnoteReference w:id="39"/>
      </w:r>
      <w:r>
        <w:rPr>
          <w:rFonts w:hint="eastAsia" w:ascii="宋体" w:hAnsi="宋体" w:eastAsia="宋体" w:cs="宋体"/>
          <w:color w:val="auto"/>
          <w:sz w:val="24"/>
          <w:szCs w:val="24"/>
        </w:rPr>
        <w:t xml:space="preserve"> 赵卫红探讨了将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教育融入基督教神学教育、推动基督教中国化走深走实的路径。</w:t>
      </w:r>
      <w:r>
        <w:rPr>
          <w:rStyle w:val="29"/>
          <w:rFonts w:hint="eastAsia" w:ascii="宋体" w:hAnsi="宋体" w:eastAsia="宋体" w:cs="宋体"/>
          <w:color w:val="auto"/>
          <w:sz w:val="24"/>
          <w:szCs w:val="24"/>
        </w:rPr>
        <w:footnoteReference w:id="40"/>
      </w:r>
      <w:r>
        <w:rPr>
          <w:rFonts w:hint="eastAsia" w:ascii="宋体" w:hAnsi="宋体" w:eastAsia="宋体" w:cs="宋体"/>
          <w:color w:val="auto"/>
          <w:sz w:val="24"/>
          <w:szCs w:val="24"/>
        </w:rPr>
        <w:t xml:space="preserve"> 韩雪莉分析了社会主义核心价值观引领我国伊斯兰教中国化的当代实践与启示，其方法论对基督教研究具有借鉴意义。</w:t>
      </w:r>
      <w:r>
        <w:rPr>
          <w:rStyle w:val="29"/>
          <w:rFonts w:hint="eastAsia" w:ascii="宋体" w:hAnsi="宋体" w:eastAsia="宋体" w:cs="宋体"/>
          <w:color w:val="auto"/>
          <w:sz w:val="24"/>
          <w:szCs w:val="24"/>
        </w:rPr>
        <w:footnoteReference w:id="41"/>
      </w:r>
      <w:r>
        <w:rPr>
          <w:rFonts w:hint="eastAsia" w:ascii="宋体" w:hAnsi="宋体" w:eastAsia="宋体" w:cs="宋体"/>
          <w:color w:val="auto"/>
          <w:sz w:val="24"/>
          <w:szCs w:val="24"/>
        </w:rPr>
        <w:t xml:space="preserve"> 在《中国基督教研究》上，学者们就圣经新译与去殖民化主义、基督教中国化的已然与未然等议题展开了深入讨论。</w:t>
      </w:r>
      <w:r>
        <w:rPr>
          <w:rStyle w:val="29"/>
          <w:rFonts w:hint="eastAsia" w:ascii="宋体" w:hAnsi="宋体" w:eastAsia="宋体" w:cs="宋体"/>
          <w:color w:val="auto"/>
          <w:sz w:val="24"/>
          <w:szCs w:val="24"/>
        </w:rPr>
        <w:footnoteReference w:id="42"/>
      </w:r>
    </w:p>
    <w:p w14:paraId="1BD33C3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在实证研究方面，王思琪对山东圣公会乡村本色化运动（1912-1937）的历史考察，揭示了民国时期基督教仁爱实践与本土社会的互动机制。</w:t>
      </w:r>
      <w:r>
        <w:rPr>
          <w:rStyle w:val="29"/>
          <w:rFonts w:hint="eastAsia" w:ascii="宋体" w:hAnsi="宋体" w:eastAsia="宋体" w:cs="宋体"/>
          <w:color w:val="auto"/>
          <w:sz w:val="24"/>
          <w:szCs w:val="24"/>
        </w:rPr>
        <w:footnoteReference w:id="43"/>
      </w:r>
      <w:r>
        <w:rPr>
          <w:rFonts w:hint="eastAsia" w:ascii="宋体" w:hAnsi="宋体" w:eastAsia="宋体" w:cs="宋体"/>
          <w:color w:val="auto"/>
          <w:sz w:val="24"/>
          <w:szCs w:val="24"/>
        </w:rPr>
        <w:t xml:space="preserve"> 吕臻雨对泸州教会社会服务实践的田野研究，表明当代教会以普通社会组织身份参与社区服务时，更容易获得社会认可。</w:t>
      </w:r>
      <w:r>
        <w:rPr>
          <w:rStyle w:val="29"/>
          <w:rFonts w:hint="eastAsia" w:ascii="宋体" w:hAnsi="宋体" w:eastAsia="宋体" w:cs="宋体"/>
          <w:color w:val="auto"/>
          <w:sz w:val="24"/>
          <w:szCs w:val="24"/>
        </w:rPr>
        <w:footnoteReference w:id="44"/>
      </w:r>
      <w:r>
        <w:rPr>
          <w:rFonts w:hint="eastAsia" w:ascii="宋体" w:hAnsi="宋体" w:eastAsia="宋体" w:cs="宋体"/>
          <w:color w:val="auto"/>
          <w:sz w:val="24"/>
          <w:szCs w:val="24"/>
        </w:rPr>
        <w:t xml:space="preserve"> 陈金羽对Q教会服务队与社会工作融合的研究，发现宗教标识的刻意展示会显著降低非信众的接受度。</w:t>
      </w:r>
      <w:r>
        <w:rPr>
          <w:rStyle w:val="29"/>
          <w:rFonts w:hint="eastAsia" w:ascii="宋体" w:hAnsi="宋体" w:eastAsia="宋体" w:cs="宋体"/>
          <w:color w:val="auto"/>
          <w:sz w:val="24"/>
          <w:szCs w:val="24"/>
        </w:rPr>
        <w:footnoteReference w:id="45"/>
      </w:r>
    </w:p>
    <w:p w14:paraId="436D186F">
      <w:pPr>
        <w:pStyle w:val="4"/>
        <w:bidi w:val="0"/>
        <w:rPr>
          <w:rFonts w:hint="eastAsia"/>
          <w:color w:val="auto"/>
          <w:lang w:val="en-US" w:eastAsia="zh-CN"/>
        </w:rPr>
      </w:pPr>
      <w:bookmarkStart w:id="125" w:name="_Toc1363018965"/>
      <w:bookmarkStart w:id="126" w:name="_Toc1629336835"/>
      <w:bookmarkStart w:id="127" w:name="_Toc1671997558"/>
      <w:bookmarkStart w:id="128" w:name="_Toc649108000"/>
      <w:bookmarkStart w:id="129" w:name="_Toc1529839183"/>
      <w:bookmarkStart w:id="130" w:name="_Toc507979910"/>
      <w:bookmarkStart w:id="131" w:name="_Toc1767247165"/>
      <w:bookmarkStart w:id="132" w:name="_Toc1306982272"/>
      <w:bookmarkStart w:id="133" w:name="_Toc1135589919"/>
      <w:r>
        <w:rPr>
          <w:rFonts w:hint="eastAsia"/>
          <w:color w:val="auto"/>
          <w:lang w:val="en-US" w:eastAsia="zh-CN"/>
        </w:rPr>
        <w:t>四、现有研究的贡献与不足</w:t>
      </w:r>
      <w:bookmarkEnd w:id="125"/>
      <w:bookmarkEnd w:id="126"/>
      <w:bookmarkEnd w:id="127"/>
      <w:bookmarkEnd w:id="128"/>
      <w:bookmarkEnd w:id="129"/>
      <w:bookmarkEnd w:id="130"/>
      <w:bookmarkEnd w:id="131"/>
      <w:bookmarkEnd w:id="132"/>
      <w:bookmarkEnd w:id="133"/>
    </w:p>
    <w:p w14:paraId="3E40A64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本文正是针对上述研究缺口，在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bidi w:val="0"/>
        <w:rPr>
          <w:rFonts w:hint="eastAsia"/>
          <w:color w:val="auto"/>
          <w:lang w:val="en-US" w:eastAsia="zh-CN"/>
        </w:rPr>
      </w:pPr>
      <w:bookmarkStart w:id="134" w:name="_Toc1700202948"/>
      <w:bookmarkStart w:id="135" w:name="_Toc1370850545"/>
      <w:bookmarkStart w:id="136" w:name="_Toc1439436311"/>
      <w:bookmarkStart w:id="137" w:name="_Toc1051682206"/>
      <w:bookmarkStart w:id="138" w:name="_Toc341229240"/>
      <w:bookmarkStart w:id="139" w:name="_Toc185443150"/>
      <w:bookmarkStart w:id="140" w:name="_Toc276780498"/>
      <w:bookmarkStart w:id="141" w:name="_Toc1988303988"/>
      <w:bookmarkStart w:id="142" w:name="_Toc1172597744"/>
      <w:r>
        <w:rPr>
          <w:rFonts w:hint="eastAsia"/>
          <w:color w:val="auto"/>
          <w:lang w:val="en-US" w:eastAsia="zh-CN"/>
        </w:rPr>
        <w:t>第三节 研究意义</w:t>
      </w:r>
      <w:bookmarkEnd w:id="134"/>
      <w:bookmarkEnd w:id="135"/>
      <w:bookmarkEnd w:id="136"/>
      <w:bookmarkEnd w:id="137"/>
      <w:bookmarkEnd w:id="138"/>
      <w:bookmarkEnd w:id="139"/>
      <w:bookmarkEnd w:id="140"/>
      <w:bookmarkEnd w:id="141"/>
      <w:bookmarkEnd w:id="142"/>
    </w:p>
    <w:p w14:paraId="7E7E3129">
      <w:pPr>
        <w:pStyle w:val="4"/>
        <w:bidi w:val="0"/>
        <w:rPr>
          <w:rFonts w:hint="eastAsia"/>
          <w:color w:val="auto"/>
          <w:lang w:val="en-US" w:eastAsia="zh-CN"/>
        </w:rPr>
      </w:pPr>
      <w:bookmarkStart w:id="143" w:name="_Toc1202795522"/>
      <w:bookmarkStart w:id="144" w:name="_Toc893540054"/>
      <w:bookmarkStart w:id="145" w:name="_Toc1680544799"/>
      <w:bookmarkStart w:id="146" w:name="_Toc744250253"/>
      <w:bookmarkStart w:id="147" w:name="_Toc1832421432"/>
      <w:bookmarkStart w:id="148" w:name="_Toc400250484"/>
      <w:bookmarkStart w:id="149" w:name="_Toc1258499190"/>
      <w:bookmarkStart w:id="150" w:name="_Toc432095349"/>
      <w:bookmarkStart w:id="151" w:name="_Toc392854889"/>
      <w:r>
        <w:rPr>
          <w:rFonts w:hint="eastAsia"/>
          <w:color w:val="auto"/>
          <w:lang w:val="en-US" w:eastAsia="zh-CN"/>
        </w:rPr>
        <w:t>一、理论意义</w:t>
      </w:r>
      <w:bookmarkEnd w:id="143"/>
      <w:bookmarkEnd w:id="144"/>
      <w:bookmarkEnd w:id="145"/>
      <w:bookmarkEnd w:id="146"/>
      <w:bookmarkEnd w:id="147"/>
      <w:bookmarkEnd w:id="148"/>
      <w:bookmarkEnd w:id="149"/>
      <w:bookmarkEnd w:id="150"/>
      <w:bookmarkEnd w:id="151"/>
    </w:p>
    <w:p w14:paraId="32192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第二，将文化翻译理论应用于宗教本土化场景。本文将Bhabha关于文化互动中生成新意义的分析框架，以及刘耘华关于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跨文化诠释的研究，延伸至当代宗教中国化语境，形成具有历史连续性的文化翻译谱系。</w:t>
      </w:r>
      <w:r>
        <w:rPr>
          <w:rStyle w:val="29"/>
          <w:rFonts w:hint="eastAsia" w:ascii="宋体" w:hAnsi="宋体" w:eastAsia="宋体" w:cs="宋体"/>
          <w:color w:val="auto"/>
          <w:sz w:val="24"/>
          <w:szCs w:val="24"/>
        </w:rPr>
        <w:footnoteReference w:id="46"/>
      </w:r>
      <w:r>
        <w:rPr>
          <w:rStyle w:val="29"/>
          <w:rFonts w:hint="eastAsia" w:ascii="宋体" w:hAnsi="宋体" w:eastAsia="宋体" w:cs="宋体"/>
          <w:color w:val="auto"/>
          <w:sz w:val="24"/>
          <w:szCs w:val="24"/>
        </w:rPr>
        <w:footnoteReference w:id="47"/>
      </w:r>
    </w:p>
    <w:p w14:paraId="7EDE414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第三，对处境化神学理论的社会主义语境创新。本文借鉴Bevans的处境化神学模型与Schreiter的本土神学建构理论，提出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社会主义核心价值观引领下的处境化诠释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概念，为基督教教义的中国化阐释提供新的方法论工具。</w:t>
      </w:r>
      <w:r>
        <w:rPr>
          <w:rStyle w:val="29"/>
          <w:rFonts w:hint="eastAsia" w:ascii="宋体" w:hAnsi="宋体" w:eastAsia="宋体" w:cs="宋体"/>
          <w:color w:val="auto"/>
          <w:sz w:val="24"/>
          <w:szCs w:val="24"/>
        </w:rPr>
        <w:footnoteReference w:id="48"/>
      </w:r>
      <w:r>
        <w:rPr>
          <w:rStyle w:val="29"/>
          <w:rFonts w:hint="eastAsia" w:ascii="宋体" w:hAnsi="宋体" w:eastAsia="宋体" w:cs="宋体"/>
          <w:color w:val="auto"/>
          <w:sz w:val="24"/>
          <w:szCs w:val="24"/>
        </w:rPr>
        <w:footnoteReference w:id="49"/>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这一创新回应了2023年《纲要》关于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的政策要求，填补了理论到实践的转化空白。</w:t>
      </w:r>
    </w:p>
    <w:p w14:paraId="05748294">
      <w:pPr>
        <w:pStyle w:val="4"/>
        <w:bidi w:val="0"/>
        <w:rPr>
          <w:rFonts w:hint="eastAsia"/>
          <w:color w:val="auto"/>
          <w:lang w:val="en-US" w:eastAsia="zh-CN"/>
        </w:rPr>
      </w:pPr>
      <w:bookmarkStart w:id="152" w:name="_Toc374544107"/>
      <w:bookmarkStart w:id="153" w:name="_Toc1211511449"/>
      <w:bookmarkStart w:id="154" w:name="_Toc444025997"/>
      <w:bookmarkStart w:id="155" w:name="_Toc1669242043"/>
      <w:bookmarkStart w:id="156" w:name="_Toc1120769043"/>
      <w:bookmarkStart w:id="157" w:name="_Toc1091102184"/>
      <w:bookmarkStart w:id="158" w:name="_Toc1029447027"/>
      <w:bookmarkStart w:id="159" w:name="_Toc1584320136"/>
      <w:bookmarkStart w:id="160" w:name="_Toc1347388545"/>
      <w:r>
        <w:rPr>
          <w:rFonts w:hint="eastAsia"/>
          <w:color w:val="auto"/>
          <w:lang w:val="en-US" w:eastAsia="zh-CN"/>
        </w:rPr>
        <w:t>二、实践意义</w:t>
      </w:r>
      <w:bookmarkEnd w:id="152"/>
      <w:bookmarkEnd w:id="153"/>
      <w:bookmarkEnd w:id="154"/>
      <w:bookmarkEnd w:id="155"/>
      <w:bookmarkEnd w:id="156"/>
      <w:bookmarkEnd w:id="157"/>
      <w:bookmarkEnd w:id="158"/>
      <w:bookmarkEnd w:id="159"/>
      <w:bookmarkEnd w:id="160"/>
    </w:p>
    <w:p w14:paraId="20438D7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第二，为基督教界提供教义诠释创新的方法论指导。本文回应了基督教在中国社会寻求健康发展的内在需求，引导基督教界对其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等核心教义进行符合时代精神与中国语境的再阐释，使其公益慈善、社区服务等实践活动能更自然地被社会大众所理解和接纳。</w:t>
      </w:r>
    </w:p>
    <w:p w14:paraId="268893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人才培养提供学术范式参考。本文在研究中充分体现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政治上靠得住、文化上有自觉、教义诠释有创新、价值引领有实效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的培养目标，为未来宗教界骨干人才的学术研究提供可资借鉴的范式。特别是基于浙江本地案例的分析，为浙江乃至全国基督教中国化实践提供了区域经验。</w:t>
      </w:r>
    </w:p>
    <w:p w14:paraId="27B0BF12">
      <w:pPr>
        <w:pStyle w:val="3"/>
        <w:bidi w:val="0"/>
        <w:rPr>
          <w:rFonts w:hint="eastAsia"/>
          <w:color w:val="auto"/>
          <w:lang w:val="en-US" w:eastAsia="zh-CN"/>
        </w:rPr>
      </w:pPr>
      <w:bookmarkStart w:id="161" w:name="_Toc791544755"/>
      <w:bookmarkStart w:id="162" w:name="_Toc1787922557"/>
      <w:bookmarkStart w:id="163" w:name="_Toc224652293"/>
      <w:bookmarkStart w:id="164" w:name="_Toc1186237864"/>
      <w:bookmarkStart w:id="165" w:name="_Toc239258254"/>
      <w:bookmarkStart w:id="166" w:name="_Toc688236992"/>
      <w:bookmarkStart w:id="167" w:name="_Toc1580466136"/>
      <w:bookmarkStart w:id="168" w:name="_Toc1018786599"/>
      <w:bookmarkStart w:id="169" w:name="_Toc344218200"/>
      <w:r>
        <w:rPr>
          <w:rFonts w:hint="eastAsia"/>
          <w:color w:val="auto"/>
          <w:lang w:val="en-US" w:eastAsia="zh-CN"/>
        </w:rPr>
        <w:t>第四节 研究思路、方法与创新点</w:t>
      </w:r>
      <w:bookmarkEnd w:id="161"/>
      <w:bookmarkEnd w:id="162"/>
      <w:bookmarkEnd w:id="163"/>
      <w:bookmarkEnd w:id="164"/>
      <w:bookmarkEnd w:id="165"/>
      <w:bookmarkEnd w:id="166"/>
      <w:bookmarkEnd w:id="167"/>
      <w:bookmarkEnd w:id="168"/>
      <w:bookmarkEnd w:id="169"/>
    </w:p>
    <w:p w14:paraId="0028FD14">
      <w:pPr>
        <w:pStyle w:val="4"/>
        <w:bidi w:val="0"/>
        <w:rPr>
          <w:rFonts w:hint="eastAsia"/>
          <w:color w:val="auto"/>
          <w:lang w:val="en-US" w:eastAsia="zh-CN"/>
        </w:rPr>
      </w:pPr>
      <w:bookmarkStart w:id="170" w:name="_Toc669118009"/>
      <w:bookmarkStart w:id="171" w:name="_Toc1978987767"/>
      <w:bookmarkStart w:id="172" w:name="_Toc2023226675"/>
      <w:bookmarkStart w:id="173" w:name="_Toc852201802"/>
      <w:bookmarkStart w:id="174" w:name="_Toc1124087794"/>
      <w:bookmarkStart w:id="175" w:name="_Toc2009085147"/>
      <w:bookmarkStart w:id="176" w:name="_Toc454837025"/>
      <w:bookmarkStart w:id="177" w:name="_Toc859251862"/>
      <w:bookmarkStart w:id="178" w:name="_Toc2101826029"/>
      <w:r>
        <w:rPr>
          <w:rFonts w:hint="eastAsia"/>
          <w:color w:val="auto"/>
          <w:lang w:val="en-US" w:eastAsia="zh-CN"/>
        </w:rPr>
        <w:t>一、整体研究框架</w:t>
      </w:r>
      <w:bookmarkEnd w:id="170"/>
      <w:bookmarkEnd w:id="171"/>
      <w:bookmarkEnd w:id="172"/>
      <w:bookmarkEnd w:id="173"/>
      <w:bookmarkEnd w:id="174"/>
      <w:bookmarkEnd w:id="175"/>
      <w:bookmarkEnd w:id="176"/>
      <w:bookmarkEnd w:id="177"/>
      <w:bookmarkEnd w:id="178"/>
    </w:p>
    <w:p w14:paraId="4DC02B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本文的整体研究沿着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文献综述与概念界定—融合可行性论证—现实障碍梳理—实践路径构建—研究总结展望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bidi w:val="0"/>
        <w:rPr>
          <w:rFonts w:hint="eastAsia"/>
          <w:color w:val="auto"/>
          <w:lang w:val="en-US" w:eastAsia="zh-CN"/>
        </w:rPr>
      </w:pPr>
      <w:bookmarkStart w:id="179" w:name="_Toc1551579502"/>
      <w:bookmarkStart w:id="180" w:name="_Toc620675233"/>
      <w:bookmarkStart w:id="181" w:name="_Toc1642001571"/>
      <w:bookmarkStart w:id="182" w:name="_Toc1114660127"/>
      <w:bookmarkStart w:id="183" w:name="_Toc1129911099"/>
      <w:bookmarkStart w:id="184" w:name="_Toc1387244371"/>
      <w:bookmarkStart w:id="185" w:name="_Toc1808683848"/>
      <w:bookmarkStart w:id="186" w:name="_Toc1766002206"/>
      <w:bookmarkStart w:id="187" w:name="_Toc1431559900"/>
      <w:r>
        <w:rPr>
          <w:rFonts w:hint="eastAsia"/>
          <w:color w:val="auto"/>
          <w:lang w:val="en-US" w:eastAsia="zh-CN"/>
        </w:rPr>
        <w:t>二、核心研究方法</w:t>
      </w:r>
      <w:bookmarkEnd w:id="179"/>
      <w:bookmarkEnd w:id="180"/>
      <w:bookmarkEnd w:id="181"/>
      <w:bookmarkEnd w:id="182"/>
      <w:bookmarkEnd w:id="183"/>
      <w:bookmarkEnd w:id="184"/>
      <w:bookmarkEnd w:id="185"/>
      <w:bookmarkEnd w:id="186"/>
      <w:bookmarkEnd w:id="187"/>
    </w:p>
    <w:p w14:paraId="1AC4FF3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第二，历史比较法。考察了基督教仁爱观念从早期教会的Agape传统到明清耶稣会士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第四，跨文化诠释法。借鉴刘耘华、Roger Ames、Tu Weiming等学者的跨文化比较方法，对基督教Agape与儒家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进行语义分析、结构比较与实践对接，探索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中的创造性诠释可能。</w:t>
      </w:r>
    </w:p>
    <w:p w14:paraId="679BE087">
      <w:pPr>
        <w:pStyle w:val="4"/>
        <w:bidi w:val="0"/>
        <w:rPr>
          <w:rFonts w:hint="eastAsia"/>
          <w:color w:val="auto"/>
          <w:lang w:val="en-US" w:eastAsia="zh-CN"/>
        </w:rPr>
      </w:pPr>
      <w:bookmarkStart w:id="188" w:name="_Toc1955539847"/>
      <w:bookmarkStart w:id="189" w:name="_Toc217950472"/>
      <w:bookmarkStart w:id="190" w:name="_Toc918410051"/>
      <w:bookmarkStart w:id="191" w:name="_Toc502764593"/>
      <w:bookmarkStart w:id="192" w:name="_Toc1360567552"/>
      <w:bookmarkStart w:id="193" w:name="_Toc1592901708"/>
      <w:bookmarkStart w:id="194" w:name="_Toc186187918"/>
      <w:bookmarkStart w:id="195" w:name="_Toc827591055"/>
      <w:bookmarkStart w:id="196" w:name="_Toc1967941959"/>
      <w:r>
        <w:rPr>
          <w:rFonts w:hint="eastAsia"/>
          <w:color w:val="auto"/>
          <w:lang w:val="en-US" w:eastAsia="zh-CN"/>
        </w:rPr>
        <w:t>三、主要创新点</w:t>
      </w:r>
      <w:bookmarkEnd w:id="188"/>
      <w:bookmarkEnd w:id="189"/>
      <w:bookmarkEnd w:id="190"/>
      <w:bookmarkEnd w:id="191"/>
      <w:bookmarkEnd w:id="192"/>
      <w:bookmarkEnd w:id="193"/>
      <w:bookmarkEnd w:id="194"/>
      <w:bookmarkEnd w:id="195"/>
      <w:bookmarkEnd w:id="196"/>
    </w:p>
    <w:p w14:paraId="704EC7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本文的创新点主要体现在四个方面：第一，理论框架的创新。首次将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政治框架、Bhabha</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文化翻译理论、Rawls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政治哲学与Bevans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处境化神学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模型整合为统一的分析框架，突破了既往研究单一视角的局限。</w:t>
      </w:r>
    </w:p>
    <w:p w14:paraId="1C4039A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第二，教义诠释方案的创新。提出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的差序推扩逻辑与基督教Agape的普遍主义进行辩证统一，设计出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的三层诠释结构，为当代基督教讲道、神学思想建设提供可直接应用的方法论。这一方案直接回应了2023年《纲要》关于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的政策要求。</w:t>
      </w:r>
    </w:p>
    <w:p w14:paraId="249B9B7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第三，转化机制的创新。提出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的分层浸润机制，针对不同年龄、文化程度、地域特征的信众群体，设计差异化的教育引导策略，避免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一刀切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的形式主义。特别设计了浙江神学院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五能精品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教学的融合型教育模式。</w:t>
      </w:r>
    </w:p>
    <w:p w14:paraId="46EDDAC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需要特别说明的是，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不仅是本文的政治前提，更是贯穿全文的分析尺度。在第三章的契合性分析中，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认同伟大祖国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认同中华民族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构成价值追求契合的政治基础；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认同中华文化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构成文化内核契合的历史根基；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认同中国共产党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认同中国特色社会主义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则构成实践转化路径的制度保障。本文在教义阐释、教育引导、实践转化与制度保障四维路径的设计中，始终以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作为检验融合成效的核心指标，确保融合路径既具有理论说服力，又具有实践可操作性。</w:t>
      </w:r>
    </w:p>
    <w:p w14:paraId="00FCE8AA">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b w:val="0"/>
          <w:bCs w:val="0"/>
          <w:color w:val="auto"/>
          <w:sz w:val="24"/>
          <w:szCs w:val="24"/>
        </w:rPr>
      </w:pPr>
      <w:r>
        <w:rPr>
          <w:rFonts w:hint="eastAsia" w:ascii="宋体" w:hAnsi="宋体" w:eastAsia="宋体" w:cs="宋体"/>
          <w:color w:val="auto"/>
          <w:sz w:val="24"/>
          <w:szCs w:val="24"/>
        </w:rPr>
        <w:br w:type="page"/>
      </w:r>
    </w:p>
    <w:p w14:paraId="6EEF3911">
      <w:pPr>
        <w:pStyle w:val="2"/>
        <w:bidi w:val="0"/>
        <w:rPr>
          <w:rFonts w:hint="eastAsia"/>
          <w:color w:val="auto"/>
          <w:lang w:val="en-US" w:eastAsia="zh-CN"/>
        </w:rPr>
      </w:pPr>
      <w:bookmarkStart w:id="197" w:name="_Toc1633964769"/>
      <w:bookmarkStart w:id="198" w:name="_Toc652973208"/>
      <w:bookmarkStart w:id="199" w:name="_Toc1763847253"/>
      <w:bookmarkStart w:id="200" w:name="_Toc376664147"/>
      <w:bookmarkStart w:id="201" w:name="_Toc1367862854"/>
      <w:bookmarkStart w:id="202" w:name="_Toc1752756168"/>
      <w:bookmarkStart w:id="203" w:name="_Toc1668474841"/>
      <w:bookmarkStart w:id="204" w:name="_Toc71279766"/>
      <w:bookmarkStart w:id="205" w:name="_Toc1804857466"/>
      <w:r>
        <w:rPr>
          <w:rFonts w:hint="eastAsia"/>
          <w:color w:val="auto"/>
          <w:lang w:val="en-US" w:eastAsia="zh-CN"/>
        </w:rPr>
        <w:t>二、</w:t>
      </w:r>
      <w:r>
        <w:rPr>
          <w:rFonts w:hint="eastAsia"/>
          <w:color w:val="auto"/>
        </w:rPr>
        <w:t>核心概念界定与理论基础</w:t>
      </w:r>
      <w:bookmarkEnd w:id="197"/>
      <w:bookmarkEnd w:id="198"/>
      <w:bookmarkEnd w:id="199"/>
      <w:bookmarkEnd w:id="200"/>
      <w:bookmarkEnd w:id="201"/>
      <w:bookmarkEnd w:id="202"/>
      <w:bookmarkEnd w:id="203"/>
      <w:bookmarkEnd w:id="204"/>
      <w:bookmarkEnd w:id="205"/>
    </w:p>
    <w:p w14:paraId="1479F8BC">
      <w:pPr>
        <w:pStyle w:val="3"/>
        <w:bidi w:val="0"/>
        <w:rPr>
          <w:rFonts w:hint="eastAsia"/>
          <w:color w:val="auto"/>
          <w:lang w:val="en-US" w:eastAsia="zh-CN"/>
        </w:rPr>
      </w:pPr>
      <w:bookmarkStart w:id="206" w:name="_Toc1960010920"/>
      <w:bookmarkStart w:id="207" w:name="_Toc215190161"/>
      <w:bookmarkStart w:id="208" w:name="_Toc879270686"/>
      <w:bookmarkStart w:id="209" w:name="_Toc24994747"/>
      <w:bookmarkStart w:id="210" w:name="_Toc858546043"/>
      <w:bookmarkStart w:id="211" w:name="_Toc1116517983"/>
      <w:bookmarkStart w:id="212" w:name="_Toc1539729677"/>
      <w:bookmarkStart w:id="213" w:name="_Toc1850635783"/>
      <w:bookmarkStart w:id="214" w:name="_Toc1032917187"/>
      <w:r>
        <w:rPr>
          <w:rFonts w:hint="eastAsia"/>
          <w:color w:val="auto"/>
          <w:lang w:val="en-US" w:eastAsia="zh-CN"/>
        </w:rPr>
        <w:t xml:space="preserve">第一节 </w:t>
      </w:r>
      <w:r>
        <w:rPr>
          <w:rFonts w:hint="eastAsia"/>
          <w:color w:val="auto"/>
        </w:rPr>
        <w:t>基督教仁爱观念的核心内涵与历史演进</w:t>
      </w:r>
      <w:bookmarkEnd w:id="206"/>
      <w:bookmarkEnd w:id="207"/>
      <w:bookmarkEnd w:id="208"/>
      <w:bookmarkEnd w:id="209"/>
      <w:bookmarkEnd w:id="210"/>
      <w:bookmarkEnd w:id="211"/>
      <w:bookmarkEnd w:id="212"/>
      <w:bookmarkEnd w:id="213"/>
      <w:bookmarkEnd w:id="214"/>
    </w:p>
    <w:p w14:paraId="7DDB9437">
      <w:pPr>
        <w:pStyle w:val="4"/>
        <w:bidi w:val="0"/>
        <w:rPr>
          <w:rFonts w:hint="eastAsia"/>
          <w:color w:val="auto"/>
          <w:lang w:val="en-US" w:eastAsia="zh-CN"/>
        </w:rPr>
      </w:pPr>
      <w:bookmarkStart w:id="215" w:name="_Toc338574379"/>
      <w:bookmarkStart w:id="216" w:name="_Toc640720508"/>
      <w:bookmarkStart w:id="217" w:name="_Toc605632795"/>
      <w:bookmarkStart w:id="218" w:name="_Toc1058734989"/>
      <w:bookmarkStart w:id="219" w:name="_Toc1067444595"/>
      <w:bookmarkStart w:id="220" w:name="_Toc1327401664"/>
      <w:bookmarkStart w:id="221" w:name="_Toc1651871107"/>
      <w:bookmarkStart w:id="222" w:name="_Toc1629945380"/>
      <w:bookmarkStart w:id="223" w:name="_Toc2128843208"/>
      <w:r>
        <w:rPr>
          <w:rFonts w:hint="eastAsia"/>
          <w:color w:val="auto"/>
          <w:lang w:val="en-US" w:eastAsia="zh-CN"/>
        </w:rPr>
        <w:t>一、</w:t>
      </w:r>
      <w:r>
        <w:rPr>
          <w:rFonts w:hint="eastAsia"/>
          <w:color w:val="auto"/>
        </w:rPr>
        <w:t>Agape的神学本源：从希腊语汇到基督教伦理</w:t>
      </w:r>
      <w:bookmarkEnd w:id="215"/>
      <w:bookmarkEnd w:id="216"/>
      <w:bookmarkEnd w:id="217"/>
      <w:bookmarkEnd w:id="218"/>
      <w:bookmarkEnd w:id="219"/>
      <w:bookmarkEnd w:id="220"/>
      <w:bookmarkEnd w:id="221"/>
      <w:bookmarkEnd w:id="222"/>
      <w:bookmarkEnd w:id="223"/>
    </w:p>
    <w:p w14:paraId="27ACC8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的本源内涵根植于其经典教义体系，核心表述“爱神”与“爱人”构成了一个不可分割的有机整体。在《圣经》的文本脉络里，这一观念并非简单的伦理倡导，而是源于神圣启示并以上帝之爱为终极典范的信仰实践。《马太福音》记载耶稣将“尽心、尽性、尽意爱主你的神”与“爱人如己”并列为最大的诫命（太22:37-39），这确立了仁爱观念的双重维度。</w:t>
      </w:r>
    </w:p>
    <w:p w14:paraId="63C3BA8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（ἀγάπη）指称。</w:t>
      </w:r>
    </w:p>
    <w:p w14:paraId="7498B4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Anders Nygren在《圣爱与欲爱》中严格区分了Agape与Eros：Agape是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自上而下的赐予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，以上帝为唯一主体，具有无条件性和神圣性；Eros则是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自下而上的追求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，以人的需要为驱动力，具有条件性和世俗性。</w:t>
      </w:r>
      <w:r>
        <w:rPr>
          <w:rStyle w:val="29"/>
          <w:rFonts w:hint="eastAsia" w:ascii="宋体" w:hAnsi="宋体" w:eastAsia="宋体" w:cs="宋体"/>
          <w:color w:val="auto"/>
          <w:sz w:val="24"/>
          <w:szCs w:val="24"/>
        </w:rPr>
        <w:footnoteReference w:id="50"/>
      </w:r>
      <w:r>
        <w:rPr>
          <w:rFonts w:hint="eastAsia" w:ascii="宋体" w:hAnsi="宋体" w:eastAsia="宋体" w:cs="宋体"/>
          <w:color w:val="auto"/>
          <w:sz w:val="24"/>
          <w:szCs w:val="24"/>
        </w:rPr>
        <w:t xml:space="preserve"> 这一区分对理解基督教仁爱观念至关重要：其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无条件性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源于Agape的神学逻辑，而社会主义核心价值观的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则基于人的社会性需要，二者在本体论层面不可通约，但在伦理实践层面具有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家族相似性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（family resemblance）——即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在行为模式上的功能等价。</w:t>
      </w:r>
    </w:p>
    <w:p w14:paraId="5422C13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Thomas Aquinas在《神学大全》中进一步将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（Charity/Caritas）系统化为神学德性，指出其本质在于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愿上帝得荣耀、愿邻人得拯救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，强调爱德不仅是情感，更是意志的定向（act of will）。</w:t>
      </w:r>
      <w:r>
        <w:rPr>
          <w:rStyle w:val="29"/>
          <w:rFonts w:hint="eastAsia" w:ascii="宋体" w:hAnsi="宋体" w:eastAsia="宋体" w:cs="宋体"/>
          <w:color w:val="auto"/>
          <w:sz w:val="24"/>
          <w:szCs w:val="24"/>
        </w:rPr>
        <w:footnoteReference w:id="51"/>
      </w:r>
      <w:r>
        <w:rPr>
          <w:rFonts w:hint="eastAsia" w:ascii="宋体" w:hAnsi="宋体" w:eastAsia="宋体" w:cs="宋体"/>
          <w:color w:val="auto"/>
          <w:sz w:val="24"/>
          <w:szCs w:val="24"/>
        </w:rPr>
        <w:t xml:space="preserve"> Pope Benedict XVI在通谕《天主是爱》中重新激活了这一传统，指出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作为教会团体的爱（charity）与作为个人情感的爱（eros）并非对立，而是统一于上帝之爱的完整表达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，并强调教会的社会服务是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爱德的公共实践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（public practice of charity）。</w:t>
      </w:r>
      <w:r>
        <w:rPr>
          <w:rStyle w:val="29"/>
          <w:rFonts w:hint="eastAsia" w:ascii="宋体" w:hAnsi="宋体" w:eastAsia="宋体" w:cs="宋体"/>
          <w:color w:val="auto"/>
          <w:sz w:val="24"/>
          <w:szCs w:val="24"/>
        </w:rPr>
        <w:footnoteReference w:id="52"/>
      </w:r>
    </w:p>
    <w:p w14:paraId="41B573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耶稣关于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爱仇敌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为逼迫你们的祷告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的教导（太5:44），以及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的寓言（路10:25-37），都深刻诠释了这种爱的超越性，它要求打破血缘、族群乃至敌友的界限，以一种普遍性的姿态关怀每一个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p>
    <w:p w14:paraId="536C5F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需要严格区分三组概念：Agape、仁爱、仁。Agape是基督教神学的本源概念，指向上帝对人类的垂直关系；仁爱是Agape的中文神学译介，在中文语境中更接近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恩惠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的世俗化理解；仁则是儒家伦理的核心概念，以血缘亲情为根基的差序性推扩。三者的关系并非简单的线性对应，而是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翻译—转化—再创造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的复杂过程。</w:t>
      </w:r>
    </w:p>
    <w:p w14:paraId="71F29256">
      <w:pPr>
        <w:pStyle w:val="4"/>
        <w:bidi w:val="0"/>
        <w:rPr>
          <w:rFonts w:hint="eastAsia"/>
          <w:color w:val="auto"/>
          <w:lang w:val="en-US" w:eastAsia="zh-CN"/>
        </w:rPr>
      </w:pPr>
      <w:bookmarkStart w:id="224" w:name="_Toc109461081"/>
      <w:bookmarkStart w:id="225" w:name="_Toc462921127"/>
      <w:bookmarkStart w:id="226" w:name="_Toc1735406950"/>
      <w:bookmarkStart w:id="227" w:name="_Toc1579641812"/>
      <w:bookmarkStart w:id="228" w:name="_Toc1945382432"/>
      <w:bookmarkStart w:id="229" w:name="_Toc329106933"/>
      <w:bookmarkStart w:id="230" w:name="_Toc1106571898"/>
      <w:bookmarkStart w:id="231" w:name="_Toc1190600528"/>
      <w:bookmarkStart w:id="232" w:name="_Toc242754189"/>
      <w:r>
        <w:rPr>
          <w:rFonts w:hint="eastAsia"/>
          <w:color w:val="auto"/>
          <w:lang w:val="en-US" w:eastAsia="zh-CN"/>
        </w:rPr>
        <w:t>二、</w:t>
      </w:r>
      <w:r>
        <w:rPr>
          <w:rFonts w:hint="eastAsia"/>
          <w:color w:val="auto"/>
        </w:rPr>
        <w:t>基督教仁爱观念的中国化演进：从</w:t>
      </w:r>
      <w:r>
        <w:rPr>
          <w:rFonts w:hint="eastAsia"/>
          <w:color w:val="auto"/>
          <w:lang w:eastAsia="zh-CN"/>
        </w:rPr>
        <w:t>“</w:t>
      </w:r>
      <w:r>
        <w:rPr>
          <w:rFonts w:hint="eastAsia"/>
          <w:color w:val="auto"/>
        </w:rPr>
        <w:t>以儒释耶</w:t>
      </w:r>
      <w:r>
        <w:rPr>
          <w:rFonts w:hint="eastAsia"/>
          <w:color w:val="auto"/>
          <w:lang w:eastAsia="zh-CN"/>
        </w:rPr>
        <w:t>”</w:t>
      </w:r>
      <w:r>
        <w:rPr>
          <w:rFonts w:hint="eastAsia"/>
          <w:color w:val="auto"/>
        </w:rPr>
        <w:t>到三自爱国</w:t>
      </w:r>
      <w:bookmarkEnd w:id="224"/>
      <w:bookmarkEnd w:id="225"/>
      <w:bookmarkEnd w:id="226"/>
      <w:bookmarkEnd w:id="227"/>
      <w:bookmarkEnd w:id="228"/>
      <w:bookmarkEnd w:id="229"/>
      <w:bookmarkEnd w:id="230"/>
      <w:bookmarkEnd w:id="231"/>
      <w:bookmarkEnd w:id="232"/>
    </w:p>
    <w:p w14:paraId="2CE52C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传入中国后，仁爱观念的本土化调整始终与整个宗教的社会定位绑定。明清之际，以利玛窦为代表的耶稣会士采取“文化适应”策略，以“仁”释“爱”，以“上帝”译“Deus”，并非简单的语言转换，而是在两种文化符号的碰撞中创造新的神学表达。 刘耘华指出，这种“跨文化诠释”的机制，本质是“以儒释耶”的创造性转化，发生在Bhabha所谓“第三空间”中，生成兼具双方特质的“混杂性”新意义。</w:t>
      </w:r>
    </w:p>
    <w:p w14:paraId="6692B8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清末民初伴随不平等条约进入中国的基督教会，多以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洋教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思想和基督教伦理的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博爱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思想分别代表了东西方文明的思想精华，二者的差异在于社会历史文化背景不同、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的对象与范围不同、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的表现形式不同、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的实现途径不同。</w:t>
      </w:r>
      <w:r>
        <w:rPr>
          <w:rStyle w:val="29"/>
          <w:rFonts w:hint="eastAsia" w:ascii="宋体" w:hAnsi="宋体" w:eastAsia="宋体" w:cs="宋体"/>
          <w:color w:val="auto"/>
          <w:sz w:val="24"/>
          <w:szCs w:val="24"/>
        </w:rPr>
        <w:footnoteReference w:id="53"/>
      </w:r>
    </w:p>
    <w:p w14:paraId="3FB7448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民国时期本土教会发起的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本色化运动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率先开启了仁爱观念的适配调整。赵天恩指出，本色化运动的核心在于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使基督教在中华国土上彻底除去洋教的面貌，建立由中国信徒自主、自养、自传的教会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54"/>
      </w:r>
      <w:r>
        <w:rPr>
          <w:rFonts w:hint="eastAsia" w:ascii="宋体" w:hAnsi="宋体" w:eastAsia="宋体" w:cs="宋体"/>
          <w:color w:val="auto"/>
          <w:sz w:val="24"/>
          <w:szCs w:val="24"/>
        </w:rPr>
        <w:t xml:space="preserve"> 不少教会人士尝试将基督教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的教义与儒家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克己复礼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的思想做互释，弱化教义中的排他性，转而吸纳儒家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Fonts w:hint="eastAsia" w:ascii="宋体" w:hAnsi="宋体" w:eastAsia="宋体" w:cs="宋体"/>
          <w:color w:val="auto"/>
          <w:sz w:val="24"/>
          <w:szCs w:val="24"/>
        </w:rPr>
        <w:footnoteReference w:id="55"/>
      </w:r>
      <w:r>
        <w:rPr>
          <w:rStyle w:val="29"/>
          <w:rFonts w:hint="eastAsia" w:ascii="宋体" w:hAnsi="宋体" w:eastAsia="宋体" w:cs="宋体"/>
          <w:color w:val="auto"/>
          <w:sz w:val="24"/>
          <w:szCs w:val="24"/>
        </w:rPr>
        <w:footnoteReference w:id="56"/>
      </w:r>
    </w:p>
    <w:p w14:paraId="118A726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这一历程整体上呈现出从依附西方话语到适配本土文化、从服务传教目标到承担社会责任、从强调神学属性到兼顾世俗价值的发展脉络。</w:t>
      </w:r>
    </w:p>
    <w:p w14:paraId="423CBCFA">
      <w:pPr>
        <w:pStyle w:val="4"/>
        <w:bidi w:val="0"/>
        <w:rPr>
          <w:rFonts w:hint="eastAsia"/>
          <w:color w:val="auto"/>
          <w:lang w:val="en-US" w:eastAsia="zh-CN"/>
        </w:rPr>
      </w:pPr>
      <w:bookmarkStart w:id="233" w:name="_Toc1847090070"/>
      <w:bookmarkStart w:id="234" w:name="_Toc2009198743"/>
      <w:bookmarkStart w:id="235" w:name="_Toc604009049"/>
      <w:bookmarkStart w:id="236" w:name="_Toc945506666"/>
      <w:bookmarkStart w:id="237" w:name="_Toc1529831906"/>
      <w:bookmarkStart w:id="238" w:name="_Toc1466386535"/>
      <w:bookmarkStart w:id="239" w:name="_Toc2129612055"/>
      <w:bookmarkStart w:id="240" w:name="_Toc170451350"/>
      <w:bookmarkStart w:id="241" w:name="_Toc1898208870"/>
      <w:r>
        <w:rPr>
          <w:rFonts w:hint="eastAsia"/>
          <w:color w:val="auto"/>
          <w:lang w:val="en-US" w:eastAsia="zh-CN"/>
        </w:rPr>
        <w:t>三、</w:t>
      </w:r>
      <w:r>
        <w:rPr>
          <w:rFonts w:hint="eastAsia"/>
          <w:color w:val="auto"/>
        </w:rPr>
        <w:t>当代中国基督教仁爱观念的实践特征与世俗化趋势</w:t>
      </w:r>
      <w:bookmarkEnd w:id="233"/>
      <w:bookmarkEnd w:id="234"/>
      <w:bookmarkEnd w:id="235"/>
      <w:bookmarkEnd w:id="236"/>
      <w:bookmarkEnd w:id="237"/>
      <w:bookmarkEnd w:id="238"/>
      <w:bookmarkEnd w:id="239"/>
      <w:bookmarkEnd w:id="240"/>
      <w:bookmarkEnd w:id="241"/>
    </w:p>
    <w:p w14:paraId="70F591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Fonts w:hint="eastAsia" w:ascii="宋体" w:hAnsi="宋体" w:eastAsia="宋体" w:cs="宋体"/>
          <w:color w:val="auto"/>
          <w:sz w:val="24"/>
          <w:szCs w:val="24"/>
        </w:rPr>
        <w:footnoteReference w:id="57"/>
      </w:r>
    </w:p>
    <w:p w14:paraId="0E4302D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同时，教会的公益慈善和社区服务活动也积极响应国家的政策号召，与社会主义社会的发展需求相适应，成为社会公益事业的有益补充。</w:t>
      </w:r>
    </w:p>
    <w:p w14:paraId="76411055">
      <w:pPr>
        <w:pStyle w:val="3"/>
        <w:bidi w:val="0"/>
        <w:rPr>
          <w:rFonts w:hint="eastAsia"/>
          <w:color w:val="auto"/>
          <w:lang w:val="en-US" w:eastAsia="zh-CN"/>
        </w:rPr>
      </w:pPr>
      <w:bookmarkStart w:id="242" w:name="_Toc279863836"/>
      <w:bookmarkStart w:id="243" w:name="_Toc19205458"/>
      <w:bookmarkStart w:id="244" w:name="_Toc424887174"/>
      <w:bookmarkStart w:id="245" w:name="_Toc63138611"/>
      <w:bookmarkStart w:id="246" w:name="_Toc1570408173"/>
      <w:bookmarkStart w:id="247" w:name="_Toc1899031309"/>
      <w:bookmarkStart w:id="248" w:name="_Toc1036160773"/>
      <w:bookmarkStart w:id="249" w:name="_Toc32654352"/>
      <w:bookmarkStart w:id="250" w:name="_Toc179418258"/>
      <w:r>
        <w:rPr>
          <w:rFonts w:hint="eastAsia"/>
          <w:color w:val="auto"/>
          <w:lang w:val="en-US" w:eastAsia="zh-CN"/>
        </w:rPr>
        <w:t xml:space="preserve">第二节 </w:t>
      </w:r>
      <w:r>
        <w:rPr>
          <w:rFonts w:hint="eastAsia"/>
          <w:color w:val="auto"/>
        </w:rPr>
        <w:t>社会主义核心价值观的核心要义与价值追求</w:t>
      </w:r>
      <w:bookmarkEnd w:id="242"/>
      <w:bookmarkEnd w:id="243"/>
      <w:bookmarkEnd w:id="244"/>
      <w:bookmarkEnd w:id="245"/>
      <w:bookmarkEnd w:id="246"/>
      <w:bookmarkEnd w:id="247"/>
      <w:bookmarkEnd w:id="248"/>
      <w:bookmarkEnd w:id="249"/>
      <w:bookmarkEnd w:id="250"/>
    </w:p>
    <w:p w14:paraId="4AE00435">
      <w:pPr>
        <w:pStyle w:val="4"/>
        <w:bidi w:val="0"/>
        <w:rPr>
          <w:rFonts w:hint="eastAsia"/>
          <w:color w:val="auto"/>
          <w:lang w:val="en-US" w:eastAsia="zh-CN"/>
        </w:rPr>
      </w:pPr>
      <w:bookmarkStart w:id="251" w:name="_Toc695607143"/>
      <w:bookmarkStart w:id="252" w:name="_Toc809218288"/>
      <w:bookmarkStart w:id="253" w:name="_Toc663585556"/>
      <w:bookmarkStart w:id="254" w:name="_Toc1276141981"/>
      <w:bookmarkStart w:id="255" w:name="_Toc313713459"/>
      <w:bookmarkStart w:id="256" w:name="_Toc1117248649"/>
      <w:bookmarkStart w:id="257" w:name="_Toc682304722"/>
      <w:bookmarkStart w:id="258" w:name="_Toc1213364079"/>
      <w:bookmarkStart w:id="259" w:name="_Toc415621818"/>
      <w:r>
        <w:rPr>
          <w:rFonts w:hint="eastAsia"/>
          <w:color w:val="auto"/>
          <w:lang w:val="en-US" w:eastAsia="zh-CN"/>
        </w:rPr>
        <w:t>一、</w:t>
      </w:r>
      <w:r>
        <w:rPr>
          <w:rFonts w:hint="eastAsia"/>
          <w:color w:val="auto"/>
        </w:rPr>
        <w:t>三个层面的价值内涵与逻辑关联</w:t>
      </w:r>
      <w:bookmarkEnd w:id="251"/>
      <w:bookmarkEnd w:id="252"/>
      <w:bookmarkEnd w:id="253"/>
      <w:bookmarkEnd w:id="254"/>
      <w:bookmarkEnd w:id="255"/>
      <w:bookmarkEnd w:id="256"/>
      <w:bookmarkEnd w:id="257"/>
      <w:bookmarkEnd w:id="258"/>
      <w:bookmarkEnd w:id="259"/>
    </w:p>
    <w:p w14:paraId="68D792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民富国强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的传统诉求一脉相承。</w:t>
      </w:r>
    </w:p>
    <w:p w14:paraId="14AFDE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三个层面的内容并非相互割裂，而是形成了从宏观到微观的完整价值链条，共同构成了我国当代社会价值引导的核心依据，也为宗教领域的价值适配工作划定了基本的价值框架。</w:t>
      </w:r>
    </w:p>
    <w:p w14:paraId="325BDCC1">
      <w:pPr>
        <w:pStyle w:val="4"/>
        <w:bidi w:val="0"/>
        <w:rPr>
          <w:rFonts w:hint="eastAsia"/>
          <w:color w:val="auto"/>
          <w:lang w:val="en-US" w:eastAsia="zh-CN"/>
        </w:rPr>
      </w:pPr>
      <w:bookmarkStart w:id="260" w:name="_Toc168278133"/>
      <w:bookmarkStart w:id="261" w:name="_Toc1199092078"/>
      <w:bookmarkStart w:id="262" w:name="_Toc1034375"/>
      <w:bookmarkStart w:id="263" w:name="_Toc2080271321"/>
      <w:bookmarkStart w:id="264" w:name="_Toc517829965"/>
      <w:bookmarkStart w:id="265" w:name="_Toc509752028"/>
      <w:bookmarkStart w:id="266" w:name="_Toc999860821"/>
      <w:bookmarkStart w:id="267" w:name="_Toc505363841"/>
      <w:bookmarkStart w:id="268" w:name="_Toc1739075082"/>
      <w:r>
        <w:rPr>
          <w:rFonts w:hint="eastAsia"/>
          <w:color w:val="auto"/>
          <w:lang w:val="en-US" w:eastAsia="zh-CN"/>
        </w:rPr>
        <w:t>二、</w:t>
      </w:r>
      <w:r>
        <w:rPr>
          <w:rFonts w:hint="eastAsia"/>
          <w:color w:val="auto"/>
        </w:rPr>
        <w:t>核心价值观对宗教领域的引领功能</w:t>
      </w:r>
      <w:bookmarkEnd w:id="260"/>
      <w:bookmarkEnd w:id="261"/>
      <w:bookmarkEnd w:id="262"/>
      <w:bookmarkEnd w:id="263"/>
      <w:bookmarkEnd w:id="264"/>
      <w:bookmarkEnd w:id="265"/>
      <w:bookmarkEnd w:id="266"/>
      <w:bookmarkEnd w:id="267"/>
      <w:bookmarkEnd w:id="268"/>
    </w:p>
    <w:p w14:paraId="2C12E0C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bidi w:val="0"/>
        <w:rPr>
          <w:rFonts w:hint="eastAsia"/>
          <w:color w:val="auto"/>
          <w:lang w:val="en-US" w:eastAsia="zh-CN"/>
        </w:rPr>
      </w:pPr>
      <w:bookmarkStart w:id="269" w:name="_Toc352251802"/>
      <w:bookmarkStart w:id="270" w:name="_Toc1382467504"/>
      <w:r>
        <w:rPr>
          <w:color w:val="auto"/>
        </w:rPr>
        <w:t xml:space="preserve">第三节 </w:t>
      </w:r>
      <w:r>
        <w:rPr>
          <w:color w:val="auto"/>
        </w:rPr>
        <w:t>研究的</w:t>
      </w:r>
      <w:r>
        <w:rPr>
          <w:color w:val="auto"/>
        </w:rPr>
        <w:t>理论基础与分析框架</w:t>
      </w:r>
      <w:bookmarkEnd w:id="269"/>
      <w:bookmarkEnd w:id="270"/>
    </w:p>
    <w:p w14:paraId="48ABBCA4">
      <w:pPr>
        <w:pStyle w:val="4"/>
        <w:bidi w:val="0"/>
        <w:rPr>
          <w:rFonts w:hint="eastAsia"/>
          <w:color w:val="auto"/>
          <w:lang w:val="en-US" w:eastAsia="zh-CN"/>
        </w:rPr>
      </w:pPr>
      <w:bookmarkStart w:id="271" w:name="_Toc858157202"/>
      <w:bookmarkStart w:id="272" w:name="_Toc648545593"/>
      <w:bookmarkStart w:id="273" w:name="_Toc568252834"/>
      <w:bookmarkStart w:id="274" w:name="_Toc494679709"/>
      <w:bookmarkStart w:id="275" w:name="_Toc875489466"/>
      <w:bookmarkStart w:id="276" w:name="_Toc1815375869"/>
      <w:bookmarkStart w:id="277" w:name="_Toc1546430829"/>
      <w:bookmarkStart w:id="278" w:name="_Toc1831105082"/>
      <w:bookmarkStart w:id="279" w:name="_Toc1505762835"/>
      <w:r>
        <w:rPr>
          <w:rFonts w:hint="eastAsia"/>
          <w:color w:val="auto"/>
          <w:lang w:val="en-US" w:eastAsia="zh-CN"/>
        </w:rPr>
        <w:t>一、</w:t>
      </w:r>
      <w:r>
        <w:rPr>
          <w:rFonts w:hint="eastAsia"/>
          <w:color w:val="auto"/>
        </w:rPr>
        <w:t>中国特色社会主义宗教理论：政策合法性框架</w:t>
      </w:r>
      <w:bookmarkEnd w:id="271"/>
      <w:bookmarkEnd w:id="272"/>
      <w:bookmarkEnd w:id="273"/>
      <w:bookmarkEnd w:id="274"/>
      <w:bookmarkEnd w:id="275"/>
      <w:bookmarkEnd w:id="276"/>
      <w:bookmarkEnd w:id="277"/>
      <w:bookmarkEnd w:id="278"/>
      <w:bookmarkEnd w:id="279"/>
    </w:p>
    <w:p w14:paraId="18337E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Fonts w:hint="eastAsia" w:ascii="宋体" w:hAnsi="宋体" w:eastAsia="宋体" w:cs="宋体"/>
          <w:color w:val="auto"/>
          <w:sz w:val="24"/>
          <w:szCs w:val="24"/>
        </w:rPr>
        <w:footnoteReference w:id="58"/>
      </w:r>
    </w:p>
    <w:p w14:paraId="246B21E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改革开放后，随着社会转型和宗教领域的新变化，理论不断得到丰富和发展。龚学增系统论述了社会主义与宗教的关系，提出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积极引导宗教与社会主义社会相适应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是处理中国宗教问题的根本途径。</w:t>
      </w:r>
      <w:r>
        <w:rPr>
          <w:rStyle w:val="29"/>
          <w:rFonts w:hint="eastAsia" w:ascii="宋体" w:hAnsi="宋体" w:eastAsia="宋体" w:cs="宋体"/>
          <w:color w:val="auto"/>
          <w:sz w:val="24"/>
          <w:szCs w:val="24"/>
        </w:rPr>
        <w:footnoteReference w:id="59"/>
      </w:r>
      <w:r>
        <w:rPr>
          <w:rFonts w:hint="eastAsia" w:ascii="宋体" w:hAnsi="宋体" w:eastAsia="宋体" w:cs="宋体"/>
          <w:color w:val="auto"/>
          <w:sz w:val="24"/>
          <w:szCs w:val="24"/>
        </w:rPr>
        <w:t xml:space="preserve"> 到新时代，习近平总书记提出的坚持宗教中国化方向、以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的方针处理宗教问题等重要论述，让这一理论体系更加成熟完整。</w:t>
      </w:r>
    </w:p>
    <w:p w14:paraId="3F2CD7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该理论的核心内容包括几个关键方面：首先是关于我国宗教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的基本判断，即长期性、群众性、民族性、国际性、复杂性；其次是坚持宗教中国化方向的核心要求；最后是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的宗教工作方针，主张积极引导宗教与社会主义社会相适应。</w:t>
      </w:r>
      <w:r>
        <w:rPr>
          <w:rStyle w:val="29"/>
          <w:rFonts w:hint="eastAsia" w:ascii="宋体" w:hAnsi="宋体" w:eastAsia="宋体" w:cs="宋体"/>
          <w:color w:val="auto"/>
          <w:sz w:val="24"/>
          <w:szCs w:val="24"/>
        </w:rPr>
        <w:footnoteReference w:id="60"/>
      </w:r>
      <w:r>
        <w:rPr>
          <w:rFonts w:hint="eastAsia" w:ascii="宋体" w:hAnsi="宋体" w:eastAsia="宋体" w:cs="宋体"/>
          <w:color w:val="auto"/>
          <w:sz w:val="24"/>
          <w:szCs w:val="24"/>
        </w:rPr>
        <w:t xml:space="preserve"> 本文以此作为研究的根本政策遵循，确保分析不偏离正确的政治方向。</w:t>
      </w:r>
    </w:p>
    <w:p w14:paraId="6E62AE12">
      <w:pPr>
        <w:pStyle w:val="4"/>
        <w:bidi w:val="0"/>
        <w:rPr>
          <w:rFonts w:hint="eastAsia"/>
          <w:color w:val="auto"/>
          <w:lang w:val="en-US" w:eastAsia="zh-CN"/>
        </w:rPr>
      </w:pPr>
      <w:bookmarkStart w:id="280" w:name="_Toc2015847009"/>
      <w:bookmarkStart w:id="281" w:name="_Toc765602829"/>
      <w:bookmarkStart w:id="282" w:name="_Toc1626273026"/>
      <w:bookmarkStart w:id="283" w:name="_Toc1722057354"/>
      <w:bookmarkStart w:id="284" w:name="_Toc1172671626"/>
      <w:bookmarkStart w:id="285" w:name="_Toc1940989465"/>
      <w:bookmarkStart w:id="286" w:name="_Toc547920762"/>
      <w:bookmarkStart w:id="287" w:name="_Toc1942451664"/>
      <w:bookmarkStart w:id="288" w:name="_Toc1408671597"/>
      <w:r>
        <w:rPr>
          <w:rFonts w:hint="eastAsia"/>
          <w:color w:val="auto"/>
          <w:lang w:val="en-US" w:eastAsia="zh-CN"/>
        </w:rPr>
        <w:t>二、</w:t>
      </w:r>
      <w:r>
        <w:rPr>
          <w:rFonts w:hint="eastAsia"/>
          <w:color w:val="auto"/>
        </w:rPr>
        <w:t>文化翻译理论与</w:t>
      </w:r>
      <w:r>
        <w:rPr>
          <w:rFonts w:hint="eastAsia"/>
          <w:color w:val="auto"/>
          <w:lang w:eastAsia="zh-CN"/>
        </w:rPr>
        <w:t>“</w:t>
      </w:r>
      <w:r>
        <w:rPr>
          <w:rFonts w:hint="eastAsia"/>
          <w:color w:val="auto"/>
        </w:rPr>
        <w:t>第三空间</w:t>
      </w:r>
      <w:r>
        <w:rPr>
          <w:rFonts w:hint="eastAsia"/>
          <w:color w:val="auto"/>
          <w:lang w:eastAsia="zh-CN"/>
        </w:rPr>
        <w:t>”</w:t>
      </w:r>
      <w:r>
        <w:rPr>
          <w:rFonts w:hint="eastAsia"/>
          <w:color w:val="auto"/>
        </w:rPr>
        <w:t>：过程分析框架</w:t>
      </w:r>
      <w:bookmarkEnd w:id="280"/>
      <w:bookmarkEnd w:id="281"/>
      <w:bookmarkEnd w:id="282"/>
      <w:bookmarkEnd w:id="283"/>
      <w:bookmarkEnd w:id="284"/>
      <w:bookmarkEnd w:id="285"/>
      <w:bookmarkEnd w:id="286"/>
      <w:bookmarkEnd w:id="287"/>
      <w:bookmarkEnd w:id="288"/>
    </w:p>
    <w:p w14:paraId="6C2F16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Homi Bhabha的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理论指出，文化相遇并非</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本土—外来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的二元对立，而是在交互中生成新的意义空间。</w:t>
      </w:r>
      <w:r>
        <w:rPr>
          <w:rStyle w:val="29"/>
          <w:rFonts w:hint="eastAsia" w:ascii="宋体" w:hAnsi="宋体" w:eastAsia="宋体" w:cs="宋体"/>
          <w:color w:val="auto"/>
          <w:sz w:val="24"/>
          <w:szCs w:val="24"/>
        </w:rPr>
        <w:footnoteReference w:id="61"/>
      </w:r>
      <w:r>
        <w:rPr>
          <w:rFonts w:hint="eastAsia" w:ascii="宋体" w:hAnsi="宋体" w:eastAsia="宋体" w:cs="宋体"/>
          <w:color w:val="auto"/>
          <w:sz w:val="24"/>
          <w:szCs w:val="24"/>
        </w:rPr>
        <w:t xml:space="preserve"> 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的实践，正是发生在这一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——不是简单的语言转换，而是在两种文化符号的碰撞中创造新的意义。</w:t>
      </w:r>
    </w:p>
    <w:p w14:paraId="0405CC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刘耘华系统分析了这一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跨文化诠释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的机制，指出其本质是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的创造性转化。</w:t>
      </w:r>
      <w:r>
        <w:rPr>
          <w:rStyle w:val="29"/>
          <w:rFonts w:hint="eastAsia" w:ascii="宋体" w:hAnsi="宋体" w:eastAsia="宋体" w:cs="宋体"/>
          <w:color w:val="auto"/>
          <w:sz w:val="24"/>
          <w:szCs w:val="24"/>
        </w:rPr>
        <w:footnoteReference w:id="62"/>
      </w:r>
      <w:r>
        <w:rPr>
          <w:rFonts w:hint="eastAsia" w:ascii="宋体" w:hAnsi="宋体" w:eastAsia="宋体" w:cs="宋体"/>
          <w:color w:val="auto"/>
          <w:sz w:val="24"/>
          <w:szCs w:val="24"/>
        </w:rPr>
        <w:t xml:space="preserve"> 本文将当代融合视为这一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的延续：基督教仁爱观念与核心价值观的对话，不是在二者之间寻找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最大公约数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，而是在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中生成兼具双方特质的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混杂性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新意义。这一理论视角为第三章第三节分析二者文化内核的契合性提供了分析工具。</w:t>
      </w:r>
    </w:p>
    <w:p w14:paraId="6DD6A973">
      <w:pPr>
        <w:pStyle w:val="4"/>
        <w:bidi w:val="0"/>
        <w:rPr>
          <w:rFonts w:hint="eastAsia"/>
          <w:color w:val="auto"/>
          <w:lang w:val="en-US" w:eastAsia="zh-CN"/>
        </w:rPr>
      </w:pPr>
      <w:bookmarkStart w:id="289" w:name="_Toc1933340325"/>
      <w:bookmarkStart w:id="290" w:name="_Toc1912217826"/>
      <w:bookmarkStart w:id="291" w:name="_Toc1634589663"/>
      <w:bookmarkStart w:id="292" w:name="_Toc1638665191"/>
      <w:bookmarkStart w:id="293" w:name="_Toc1746372613"/>
      <w:bookmarkStart w:id="294" w:name="_Toc494368598"/>
      <w:bookmarkStart w:id="295" w:name="_Toc980838059"/>
      <w:bookmarkStart w:id="296" w:name="_Toc738715154"/>
      <w:bookmarkStart w:id="297" w:name="_Toc1683806251"/>
      <w:r>
        <w:rPr>
          <w:rFonts w:hint="eastAsia"/>
          <w:color w:val="auto"/>
          <w:lang w:val="en-US" w:eastAsia="zh-CN"/>
        </w:rPr>
        <w:t>三、</w:t>
      </w:r>
      <w:r>
        <w:rPr>
          <w:rFonts w:hint="eastAsia"/>
          <w:color w:val="auto"/>
        </w:rPr>
        <w:t>交叠共识理论：价值对话框架</w:t>
      </w:r>
      <w:bookmarkEnd w:id="289"/>
      <w:bookmarkEnd w:id="290"/>
      <w:bookmarkEnd w:id="291"/>
      <w:bookmarkEnd w:id="292"/>
      <w:bookmarkEnd w:id="293"/>
      <w:bookmarkEnd w:id="294"/>
      <w:bookmarkEnd w:id="295"/>
      <w:bookmarkEnd w:id="296"/>
      <w:bookmarkEnd w:id="297"/>
    </w:p>
    <w:p w14:paraId="6BC5B7D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在价值对话的理论基础方面，Rawls关于多元社会中不同价值体系如何在保持各自内核的前提下达成共识的思考，为本文提供了重要的参照。万俊人将这一理论引入中国语境后，论证了其与儒家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思想的相通性。本文借其核心逻辑来理解：基督教与核心价值观属于两种不同的价值体系，前者以上帝为价值根基，后者以人民为主体，二者在形而上学层面存在差异，但可以在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尊重人的尊严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促进社会和谐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等实践性价值上形成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差异中的统一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63"/>
      </w:r>
      <w:r>
        <w:rPr>
          <w:rStyle w:val="29"/>
          <w:rFonts w:hint="eastAsia" w:ascii="宋体" w:hAnsi="宋体" w:eastAsia="宋体" w:cs="宋体"/>
          <w:color w:val="auto"/>
          <w:sz w:val="24"/>
          <w:szCs w:val="24"/>
        </w:rPr>
        <w:footnoteReference w:id="64"/>
      </w:r>
    </w:p>
    <w:p w14:paraId="4E66D05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这一理论视角为第三章第一节分析二者价值追求的契合性提供了分析工具，同时也回应了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虚假共识论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的质疑——融合不是掩盖差异，而是承认差异前提下的实践合作。</w:t>
      </w:r>
    </w:p>
    <w:p w14:paraId="6A5BDA40">
      <w:pPr>
        <w:pStyle w:val="4"/>
        <w:bidi w:val="0"/>
        <w:rPr>
          <w:rFonts w:hint="eastAsia"/>
          <w:color w:val="auto"/>
          <w:lang w:val="en-US" w:eastAsia="zh-CN"/>
        </w:rPr>
      </w:pPr>
      <w:bookmarkStart w:id="298" w:name="_Toc1937653617"/>
      <w:bookmarkStart w:id="299" w:name="_Toc1552224227"/>
      <w:bookmarkStart w:id="300" w:name="_Toc1715576009"/>
      <w:bookmarkStart w:id="301" w:name="_Toc238796343"/>
      <w:bookmarkStart w:id="302" w:name="_Toc860783241"/>
      <w:bookmarkStart w:id="303" w:name="_Toc75779518"/>
      <w:bookmarkStart w:id="304" w:name="_Toc1625503142"/>
      <w:bookmarkStart w:id="305" w:name="_Toc982629971"/>
      <w:bookmarkStart w:id="306" w:name="_Toc192160391"/>
      <w:r>
        <w:rPr>
          <w:rFonts w:hint="eastAsia"/>
          <w:color w:val="auto"/>
          <w:lang w:val="en-US" w:eastAsia="zh-CN"/>
        </w:rPr>
        <w:t>四、</w:t>
      </w:r>
      <w:r>
        <w:rPr>
          <w:rFonts w:hint="eastAsia"/>
          <w:color w:val="auto"/>
        </w:rPr>
        <w:t>处境化神学理论：教义诠释创新框架</w:t>
      </w:r>
      <w:bookmarkEnd w:id="298"/>
      <w:bookmarkEnd w:id="299"/>
      <w:bookmarkEnd w:id="300"/>
      <w:bookmarkEnd w:id="301"/>
      <w:bookmarkEnd w:id="302"/>
      <w:bookmarkEnd w:id="303"/>
      <w:bookmarkEnd w:id="304"/>
      <w:bookmarkEnd w:id="305"/>
      <w:bookmarkEnd w:id="306"/>
    </w:p>
    <w:p w14:paraId="4D8166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在教义诠释的方法论方面，Bevans的处境化神学理论为基督教教义的本土化提供了多种路径选择。其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合成模型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主张在基督教传统与本土文化之间寻找综合点，创造新的神学表达；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自然模型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则主张在本土文化的自然发展中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发现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福音的踪迹，而非强加外来的神学框架。Schreiter进一步指出，本土神学建构需经历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解构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外来神学中的文化霸权元素，然后在本土经验中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福音的意义。本文提出的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Agape与仁的创造性对接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方案，正是这一方法论的具体应用。</w:t>
      </w:r>
      <w:r>
        <w:rPr>
          <w:rStyle w:val="29"/>
          <w:rFonts w:hint="eastAsia" w:ascii="宋体" w:hAnsi="宋体" w:eastAsia="宋体" w:cs="宋体"/>
          <w:color w:val="auto"/>
          <w:sz w:val="24"/>
          <w:szCs w:val="24"/>
        </w:rPr>
        <w:footnoteReference w:id="65"/>
      </w:r>
      <w:r>
        <w:rPr>
          <w:rStyle w:val="29"/>
          <w:rFonts w:hint="eastAsia" w:ascii="宋体" w:hAnsi="宋体" w:eastAsia="宋体" w:cs="宋体"/>
          <w:color w:val="auto"/>
          <w:sz w:val="24"/>
          <w:szCs w:val="24"/>
        </w:rPr>
        <w:footnoteReference w:id="66"/>
      </w:r>
    </w:p>
    <w:p w14:paraId="50EF2A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Robert Schreiter在《建构本土神学》中进一步指出，本土神学建构需要经历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解构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（deconstruction）与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（reconstruction）两个阶段：首先解构外来神学中的文化霸权元素，然后在本土经验中重构福音的意义。</w:t>
      </w:r>
      <w:r>
        <w:rPr>
          <w:rStyle w:val="29"/>
          <w:rFonts w:hint="eastAsia" w:ascii="宋体" w:hAnsi="宋体" w:eastAsia="宋体" w:cs="宋体"/>
          <w:color w:val="auto"/>
          <w:sz w:val="24"/>
          <w:szCs w:val="24"/>
        </w:rPr>
        <w:footnoteReference w:id="67"/>
      </w:r>
      <w:r>
        <w:rPr>
          <w:rFonts w:hint="eastAsia" w:ascii="宋体" w:hAnsi="宋体" w:eastAsia="宋体" w:cs="宋体"/>
          <w:color w:val="auto"/>
          <w:sz w:val="24"/>
          <w:szCs w:val="24"/>
        </w:rPr>
        <w:t xml:space="preserve"> 本文提出的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方案，正是这一方法论的具体应用。2023年《纲要》明确提出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以社会主义核心价值观为引领，用中华优秀传统文化浸润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，这一政策要求与处境化神学理论形成了理论与实践的双向互动。</w:t>
      </w:r>
    </w:p>
    <w:p w14:paraId="37A1B6C4">
      <w:pPr>
        <w:pStyle w:val="4"/>
        <w:bidi w:val="0"/>
        <w:rPr>
          <w:rFonts w:hint="eastAsia"/>
          <w:color w:val="auto"/>
          <w:lang w:val="en-US" w:eastAsia="zh-CN"/>
        </w:rPr>
      </w:pPr>
      <w:bookmarkStart w:id="307" w:name="_Toc601239433"/>
      <w:bookmarkStart w:id="308" w:name="_Toc1950684205"/>
      <w:bookmarkStart w:id="309" w:name="_Toc1691834107"/>
      <w:bookmarkStart w:id="310" w:name="_Toc168556355"/>
      <w:bookmarkStart w:id="311" w:name="_Toc1702317811"/>
      <w:bookmarkStart w:id="312" w:name="_Toc1570538641"/>
      <w:bookmarkStart w:id="313" w:name="_Toc1734085295"/>
      <w:bookmarkStart w:id="314" w:name="_Toc912677167"/>
      <w:bookmarkStart w:id="315" w:name="_Toc1971770096"/>
      <w:r>
        <w:rPr>
          <w:rFonts w:hint="eastAsia"/>
          <w:color w:val="auto"/>
          <w:lang w:val="en-US" w:eastAsia="zh-CN"/>
        </w:rPr>
        <w:t>五、</w:t>
      </w:r>
      <w:r>
        <w:rPr>
          <w:rFonts w:hint="eastAsia"/>
          <w:color w:val="auto"/>
        </w:rPr>
        <w:t>研究边界与理论承诺</w:t>
      </w:r>
      <w:bookmarkEnd w:id="307"/>
      <w:bookmarkEnd w:id="308"/>
      <w:bookmarkEnd w:id="309"/>
      <w:bookmarkEnd w:id="310"/>
      <w:bookmarkEnd w:id="311"/>
      <w:bookmarkEnd w:id="312"/>
      <w:bookmarkEnd w:id="313"/>
      <w:bookmarkEnd w:id="314"/>
      <w:bookmarkEnd w:id="315"/>
    </w:p>
    <w:p w14:paraId="3B4FBB0D">
      <w:pPr>
        <w:keepNext w:val="0"/>
        <w:keepLines w:val="0"/>
        <w:pageBreakBefore w:val="0"/>
        <w:widowControl w:val="0"/>
        <w:tabs>
          <w:tab w:val="left" w:pos="1643"/>
        </w:tabs>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Peter Berger的“方法论悬置”原则，即将宗教的“意义功能”与“整合功能”区分，社会学分析仅涉及后者。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41F0EDF3">
      <w:pPr>
        <w:pStyle w:val="2"/>
        <w:bidi w:val="0"/>
        <w:rPr>
          <w:rFonts w:hint="eastAsia"/>
          <w:color w:val="auto"/>
          <w:lang w:val="en-US" w:eastAsia="zh-CN"/>
        </w:rPr>
      </w:pPr>
      <w:bookmarkStart w:id="316" w:name="_Toc1321434010"/>
      <w:bookmarkStart w:id="317" w:name="_Toc1664078333"/>
      <w:bookmarkStart w:id="318" w:name="_Toc1270979628"/>
      <w:bookmarkStart w:id="319" w:name="_Toc395728092"/>
      <w:bookmarkStart w:id="320" w:name="_Toc1120591296"/>
      <w:bookmarkStart w:id="321" w:name="_Toc1972350069"/>
      <w:bookmarkStart w:id="322" w:name="_Toc2078304143"/>
      <w:bookmarkStart w:id="323" w:name="_Toc2036938895"/>
      <w:bookmarkStart w:id="324" w:name="_Toc1719846615"/>
      <w:r>
        <w:rPr>
          <w:rFonts w:hint="eastAsia"/>
          <w:color w:val="auto"/>
          <w:lang w:val="en-US" w:eastAsia="zh-CN"/>
        </w:rPr>
        <w:t>三、</w:t>
      </w:r>
      <w:r>
        <w:rPr>
          <w:rFonts w:hint="eastAsia"/>
          <w:color w:val="auto"/>
        </w:rPr>
        <w:t>基督教仁爱观念与社会主义核心价值观的契合性分析</w:t>
      </w:r>
      <w:bookmarkEnd w:id="316"/>
      <w:bookmarkEnd w:id="317"/>
      <w:bookmarkEnd w:id="318"/>
      <w:bookmarkEnd w:id="319"/>
      <w:bookmarkEnd w:id="320"/>
      <w:bookmarkEnd w:id="321"/>
      <w:bookmarkEnd w:id="322"/>
      <w:bookmarkEnd w:id="323"/>
      <w:bookmarkEnd w:id="324"/>
    </w:p>
    <w:p w14:paraId="15750AA9">
      <w:pPr>
        <w:pStyle w:val="3"/>
        <w:bidi w:val="0"/>
        <w:rPr>
          <w:rFonts w:hint="eastAsia"/>
          <w:color w:val="auto"/>
          <w:lang w:val="en-US" w:eastAsia="zh-CN"/>
        </w:rPr>
      </w:pPr>
      <w:bookmarkStart w:id="325" w:name="_Toc730034591"/>
      <w:bookmarkStart w:id="326" w:name="_Toc245187485"/>
      <w:bookmarkStart w:id="327" w:name="_Toc1236212946"/>
      <w:bookmarkStart w:id="328" w:name="_Toc334771087"/>
      <w:bookmarkStart w:id="329" w:name="_Toc346327682"/>
      <w:bookmarkStart w:id="330" w:name="_Toc1485007850"/>
      <w:bookmarkStart w:id="331" w:name="_Toc65528796"/>
      <w:bookmarkStart w:id="332" w:name="_Toc1795191438"/>
      <w:bookmarkStart w:id="333" w:name="_Toc332169685"/>
      <w:r>
        <w:rPr>
          <w:rFonts w:hint="eastAsia"/>
          <w:color w:val="auto"/>
          <w:lang w:val="en-US" w:eastAsia="zh-CN"/>
        </w:rPr>
        <w:t xml:space="preserve">第一节 </w:t>
      </w:r>
      <w:r>
        <w:rPr>
          <w:rFonts w:hint="eastAsia"/>
          <w:color w:val="auto"/>
        </w:rPr>
        <w:t>价值追求的契合：对人的尊严与福祉的共同关切</w:t>
      </w:r>
      <w:bookmarkEnd w:id="325"/>
      <w:bookmarkEnd w:id="326"/>
      <w:bookmarkEnd w:id="327"/>
      <w:bookmarkEnd w:id="328"/>
      <w:bookmarkEnd w:id="329"/>
      <w:bookmarkEnd w:id="330"/>
      <w:bookmarkEnd w:id="331"/>
      <w:bookmarkEnd w:id="332"/>
      <w:bookmarkEnd w:id="333"/>
    </w:p>
    <w:p w14:paraId="5C38FD65">
      <w:pPr>
        <w:pStyle w:val="4"/>
        <w:bidi w:val="0"/>
        <w:rPr>
          <w:rFonts w:hint="eastAsia"/>
          <w:color w:val="auto"/>
          <w:lang w:val="en-US" w:eastAsia="zh-CN"/>
        </w:rPr>
      </w:pPr>
      <w:bookmarkStart w:id="334" w:name="_Toc1992425449"/>
      <w:bookmarkStart w:id="335" w:name="_Toc1048668004"/>
      <w:bookmarkStart w:id="336" w:name="_Toc1117295626"/>
      <w:bookmarkStart w:id="337" w:name="_Toc471989516"/>
      <w:bookmarkStart w:id="338" w:name="_Toc1830847108"/>
      <w:bookmarkStart w:id="339" w:name="_Toc90504069"/>
      <w:bookmarkStart w:id="340" w:name="_Toc126698697"/>
      <w:bookmarkStart w:id="341" w:name="_Toc1784741763"/>
      <w:bookmarkStart w:id="342" w:name="_Toc1465897242"/>
      <w:r>
        <w:rPr>
          <w:rFonts w:hint="eastAsia"/>
          <w:color w:val="auto"/>
          <w:lang w:val="en-US" w:eastAsia="zh-CN"/>
        </w:rPr>
        <w:t>一、</w:t>
      </w:r>
      <w:r>
        <w:rPr>
          <w:rFonts w:hint="eastAsia"/>
          <w:color w:val="auto"/>
        </w:rPr>
        <w:t>基督教</w:t>
      </w:r>
      <w:r>
        <w:rPr>
          <w:rFonts w:hint="eastAsia"/>
          <w:color w:val="auto"/>
          <w:lang w:eastAsia="zh-CN"/>
        </w:rPr>
        <w:t>“</w:t>
      </w:r>
      <w:r>
        <w:rPr>
          <w:rFonts w:hint="eastAsia"/>
          <w:color w:val="auto"/>
        </w:rPr>
        <w:t>爱人如己</w:t>
      </w:r>
      <w:r>
        <w:rPr>
          <w:rFonts w:hint="eastAsia"/>
          <w:color w:val="auto"/>
          <w:lang w:eastAsia="zh-CN"/>
        </w:rPr>
        <w:t>”</w:t>
      </w:r>
      <w:r>
        <w:rPr>
          <w:rFonts w:hint="eastAsia"/>
          <w:color w:val="auto"/>
        </w:rPr>
        <w:t>的人本导向解析</w:t>
      </w:r>
      <w:bookmarkEnd w:id="334"/>
      <w:bookmarkEnd w:id="335"/>
      <w:bookmarkEnd w:id="336"/>
      <w:bookmarkEnd w:id="337"/>
      <w:bookmarkEnd w:id="338"/>
      <w:bookmarkEnd w:id="339"/>
      <w:bookmarkEnd w:id="340"/>
      <w:bookmarkEnd w:id="341"/>
      <w:bookmarkEnd w:id="342"/>
    </w:p>
    <w:p w14:paraId="656CCA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黄勇指出，儒家仁爱观强调爱的多样性和对不同对象的适当回应，能够为全球伦理提供有益的指导，而基督教博爱思想同样强调对道德和礼仪的追求，二者在道德实践层面有相似之处。</w:t>
      </w:r>
      <w:r>
        <w:rPr>
          <w:rStyle w:val="29"/>
          <w:rFonts w:hint="eastAsia" w:ascii="宋体" w:hAnsi="宋体" w:eastAsia="宋体" w:cs="宋体"/>
          <w:color w:val="auto"/>
          <w:sz w:val="24"/>
          <w:szCs w:val="24"/>
        </w:rPr>
        <w:footnoteReference w:id="68"/>
      </w:r>
      <w:r>
        <w:rPr>
          <w:rFonts w:hint="eastAsia" w:ascii="宋体" w:hAnsi="宋体" w:eastAsia="宋体" w:cs="宋体"/>
          <w:color w:val="auto"/>
          <w:sz w:val="24"/>
          <w:szCs w:val="24"/>
        </w:rPr>
        <w:t xml:space="preserve"> 从处境化神学角度看，基督教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的诫命在不同文化语境中必然经历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再语境化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（recontextualization）：在希腊罗马语境中，它表现为对陌生人的接待（hospitality）；在欧洲中世纪语境中，它表现为对贫民的救济（almsgiving）；在当代中国语境中，它则应当表现为对社会主义核心价值观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准则的主动践行。</w:t>
      </w:r>
    </w:p>
    <w:p w14:paraId="6D4EC2B8">
      <w:pPr>
        <w:pStyle w:val="4"/>
        <w:bidi w:val="0"/>
        <w:rPr>
          <w:rFonts w:hint="eastAsia"/>
          <w:color w:val="auto"/>
          <w:lang w:val="en-US" w:eastAsia="zh-CN"/>
        </w:rPr>
      </w:pPr>
      <w:bookmarkStart w:id="343" w:name="_Toc790576814"/>
      <w:bookmarkStart w:id="344" w:name="_Toc1901649940"/>
      <w:bookmarkStart w:id="345" w:name="_Toc2070687041"/>
      <w:bookmarkStart w:id="346" w:name="_Toc683465607"/>
      <w:bookmarkStart w:id="347" w:name="_Toc982013672"/>
      <w:bookmarkStart w:id="348" w:name="_Toc564852299"/>
      <w:bookmarkStart w:id="349" w:name="_Toc1268706302"/>
      <w:bookmarkStart w:id="350" w:name="_Toc103229445"/>
      <w:bookmarkStart w:id="351" w:name="_Toc1402547910"/>
      <w:r>
        <w:rPr>
          <w:rFonts w:hint="eastAsia"/>
          <w:color w:val="auto"/>
          <w:lang w:val="en-US" w:eastAsia="zh-CN"/>
        </w:rPr>
        <w:t>二、</w:t>
      </w:r>
      <w:r>
        <w:rPr>
          <w:rFonts w:hint="eastAsia"/>
          <w:color w:val="auto"/>
        </w:rPr>
        <w:t>社会主义核心价值观</w:t>
      </w:r>
      <w:r>
        <w:rPr>
          <w:rFonts w:hint="eastAsia"/>
          <w:color w:val="auto"/>
          <w:lang w:eastAsia="zh-CN"/>
        </w:rPr>
        <w:t>“</w:t>
      </w:r>
      <w:r>
        <w:rPr>
          <w:rFonts w:hint="eastAsia"/>
          <w:color w:val="auto"/>
        </w:rPr>
        <w:t>以人为本</w:t>
      </w:r>
      <w:r>
        <w:rPr>
          <w:rFonts w:hint="eastAsia"/>
          <w:color w:val="auto"/>
          <w:lang w:eastAsia="zh-CN"/>
        </w:rPr>
        <w:t>”</w:t>
      </w:r>
      <w:r>
        <w:rPr>
          <w:rFonts w:hint="eastAsia"/>
          <w:color w:val="auto"/>
        </w:rPr>
        <w:t>的价值逻辑</w:t>
      </w:r>
      <w:bookmarkEnd w:id="343"/>
      <w:bookmarkEnd w:id="344"/>
      <w:bookmarkEnd w:id="345"/>
      <w:bookmarkEnd w:id="346"/>
      <w:bookmarkEnd w:id="347"/>
      <w:bookmarkEnd w:id="348"/>
      <w:bookmarkEnd w:id="349"/>
      <w:bookmarkEnd w:id="350"/>
      <w:bookmarkEnd w:id="351"/>
    </w:p>
    <w:p w14:paraId="742A896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，价值逻辑的起点与归宿均指向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以人民为中心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从理论渊源上看，这一逻辑继承并发展了中华传统文化中源远流长的民本思想，如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民惟邦本，本固邦宁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价值理念在法律制度中的具体落实。</w:t>
      </w:r>
    </w:p>
    <w:p w14:paraId="606A0C73">
      <w:pPr>
        <w:pStyle w:val="4"/>
        <w:bidi w:val="0"/>
        <w:rPr>
          <w:rFonts w:hint="eastAsia"/>
          <w:color w:val="auto"/>
          <w:lang w:val="en-US" w:eastAsia="zh-CN"/>
        </w:rPr>
      </w:pPr>
      <w:bookmarkStart w:id="352" w:name="_Toc2064598452"/>
      <w:bookmarkStart w:id="353" w:name="_Toc116429046"/>
      <w:bookmarkStart w:id="354" w:name="_Toc31423279"/>
      <w:bookmarkStart w:id="355" w:name="_Toc743188909"/>
      <w:bookmarkStart w:id="356" w:name="_Toc1594869553"/>
      <w:bookmarkStart w:id="357" w:name="_Toc781686651"/>
      <w:bookmarkStart w:id="358" w:name="_Toc1291958109"/>
      <w:bookmarkStart w:id="359" w:name="_Toc1957978986"/>
      <w:bookmarkStart w:id="360" w:name="_Toc1842213898"/>
      <w:r>
        <w:rPr>
          <w:rFonts w:hint="eastAsia"/>
          <w:color w:val="auto"/>
          <w:lang w:val="en-US" w:eastAsia="zh-CN"/>
        </w:rPr>
        <w:t>三、</w:t>
      </w:r>
      <w:r>
        <w:rPr>
          <w:rFonts w:hint="eastAsia"/>
          <w:color w:val="auto"/>
        </w:rPr>
        <w:t>二者价值追求的交叠共识：差异中的统一</w:t>
      </w:r>
      <w:bookmarkEnd w:id="352"/>
      <w:bookmarkEnd w:id="353"/>
      <w:bookmarkEnd w:id="354"/>
      <w:bookmarkEnd w:id="355"/>
      <w:bookmarkEnd w:id="356"/>
      <w:bookmarkEnd w:id="357"/>
      <w:bookmarkEnd w:id="358"/>
      <w:bookmarkEnd w:id="359"/>
      <w:bookmarkEnd w:id="360"/>
    </w:p>
    <w:p w14:paraId="16B39B0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基督教仁爱观念与社会主义核心价值观虽然在思想渊源和表达形式上存在差异，但深入分析其价值内核，可以发现二者在以人为本的价值追求上具有深刻的共通性。基督教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爱邻舍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乃至更广泛人群的关怀，在当代中国的社会实践中常常具体化为对贫困者、病患、孤寡老人的慈善帮扶。许多基层教会组织志愿者参与社区养老、灾害救助等活动，行动的内在驱动力正是源于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与此相应，社会主义核心价值观将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从政治哲学的视角看，基督教仁爱观念与核心价值观属于两种不同的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整全性学说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（Comprehensive Doctrines），前者以上帝为价值根基，后者以人民为主体，二者在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终极关切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层面不可通约。但在公共伦理层面，二者可以就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尊重人的尊严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促进社会福祉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等实践性价值达成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——这不是掩盖差异的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虚假共识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，而是承认</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不可通约性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前提下的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差异中的统一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（Unity in Diversity）。</w:t>
      </w:r>
    </w:p>
    <w:p w14:paraId="130580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以原典文本为参照，可以更清晰地看到这一交叠共识的生成机制。《论语·颜渊》载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樊迟问仁，子曰：爱人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，儒家之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的核心要义即在于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；《礼记·礼运》提出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大道之行也，天下为公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，确立了中华文明对社会公义的追求。这两条经典论述与基督教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的诫命、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行公义，好怜悯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的教导（弥6:8）在伦理实践层面形成了深刻的呼应。值得注意的是，这种呼应不是简单的概念等同，而是在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中生成的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创造性诠释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——儒家之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为基督教Agape提供了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差序推扩</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的本土化路径，而基督教Agape的普遍主义则为儒家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突破了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爱有差等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的局限，二者在对话中各自获得了新的理论生命力。</w:t>
      </w:r>
    </w:p>
    <w:p w14:paraId="3AE4CC9E">
      <w:pPr>
        <w:pStyle w:val="4"/>
        <w:bidi w:val="0"/>
        <w:rPr>
          <w:rFonts w:hint="eastAsia"/>
          <w:color w:val="auto"/>
          <w:lang w:val="en-US" w:eastAsia="zh-CN"/>
        </w:rPr>
      </w:pPr>
      <w:bookmarkStart w:id="361" w:name="_Toc1011102611"/>
      <w:bookmarkStart w:id="362" w:name="_Toc665414538"/>
      <w:bookmarkStart w:id="363" w:name="_Toc732783146"/>
      <w:bookmarkStart w:id="364" w:name="_Toc1860894721"/>
      <w:bookmarkStart w:id="365" w:name="_Toc1817244887"/>
      <w:r>
        <w:rPr>
          <w:rFonts w:hint="eastAsia"/>
          <w:color w:val="auto"/>
        </w:rPr>
        <w:t>四、“公正”与“平等”：基督教社会伦理与核心价值观的深层契合</w:t>
      </w:r>
      <w:bookmarkEnd w:id="361"/>
      <w:bookmarkEnd w:id="362"/>
      <w:bookmarkEnd w:id="363"/>
      <w:bookmarkEnd w:id="364"/>
      <w:bookmarkEnd w:id="365"/>
    </w:p>
    <w:p w14:paraId="0813C6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Justice/Righteousness）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471E2D32">
      <w:pPr>
        <w:pStyle w:val="3"/>
        <w:bidi w:val="0"/>
        <w:rPr>
          <w:rFonts w:hint="eastAsia"/>
          <w:color w:val="auto"/>
          <w:lang w:val="en-US" w:eastAsia="zh-CN"/>
        </w:rPr>
      </w:pPr>
      <w:bookmarkStart w:id="366" w:name="_Toc563484366"/>
      <w:bookmarkStart w:id="367" w:name="_Toc1650074658"/>
      <w:bookmarkStart w:id="368" w:name="_Toc67619277"/>
      <w:bookmarkStart w:id="369" w:name="_Toc812823086"/>
      <w:bookmarkStart w:id="370" w:name="_Toc1997556638"/>
      <w:bookmarkStart w:id="371" w:name="_Toc465373705"/>
      <w:bookmarkStart w:id="372" w:name="_Toc1674790237"/>
      <w:bookmarkStart w:id="373" w:name="_Toc105740939"/>
      <w:bookmarkStart w:id="374" w:name="_Toc922388175"/>
      <w:r>
        <w:rPr>
          <w:rFonts w:hint="eastAsia"/>
          <w:color w:val="auto"/>
          <w:lang w:val="en-US" w:eastAsia="zh-CN"/>
        </w:rPr>
        <w:t xml:space="preserve">第二节 </w:t>
      </w:r>
      <w:r>
        <w:rPr>
          <w:rFonts w:hint="eastAsia"/>
          <w:color w:val="auto"/>
        </w:rPr>
        <w:t>社会功能的契合：对社会和谐与稳定的共同维护</w:t>
      </w:r>
      <w:bookmarkEnd w:id="366"/>
      <w:bookmarkEnd w:id="367"/>
      <w:bookmarkEnd w:id="368"/>
      <w:bookmarkEnd w:id="369"/>
      <w:bookmarkEnd w:id="370"/>
      <w:bookmarkEnd w:id="371"/>
      <w:bookmarkEnd w:id="372"/>
      <w:bookmarkEnd w:id="373"/>
      <w:bookmarkEnd w:id="374"/>
    </w:p>
    <w:p w14:paraId="0FEC4982">
      <w:pPr>
        <w:pStyle w:val="4"/>
        <w:bidi w:val="0"/>
        <w:rPr>
          <w:rFonts w:hint="eastAsia"/>
          <w:color w:val="auto"/>
          <w:lang w:val="en-US" w:eastAsia="zh-CN"/>
        </w:rPr>
      </w:pPr>
      <w:bookmarkStart w:id="375" w:name="_Toc400417561"/>
      <w:bookmarkStart w:id="376" w:name="_Toc1131352030"/>
      <w:bookmarkStart w:id="377" w:name="_Toc974127835"/>
      <w:bookmarkStart w:id="378" w:name="_Toc458339276"/>
      <w:bookmarkStart w:id="379" w:name="_Toc200959648"/>
      <w:bookmarkStart w:id="380" w:name="_Toc1322561315"/>
      <w:bookmarkStart w:id="381" w:name="_Toc78856092"/>
      <w:bookmarkStart w:id="382" w:name="_Toc1218985704"/>
      <w:bookmarkStart w:id="383" w:name="_Toc2041093179"/>
      <w:r>
        <w:rPr>
          <w:rFonts w:hint="eastAsia"/>
          <w:color w:val="auto"/>
          <w:lang w:val="en-US" w:eastAsia="zh-CN"/>
        </w:rPr>
        <w:t>一、</w:t>
      </w:r>
      <w:r>
        <w:rPr>
          <w:rFonts w:hint="eastAsia"/>
          <w:color w:val="auto"/>
        </w:rPr>
        <w:t>基督教仁爱观念的社会调节与伦理约束功能</w:t>
      </w:r>
      <w:bookmarkEnd w:id="375"/>
      <w:bookmarkEnd w:id="376"/>
      <w:bookmarkEnd w:id="377"/>
      <w:bookmarkEnd w:id="378"/>
      <w:bookmarkEnd w:id="379"/>
      <w:bookmarkEnd w:id="380"/>
      <w:bookmarkEnd w:id="381"/>
      <w:bookmarkEnd w:id="382"/>
      <w:bookmarkEnd w:id="383"/>
    </w:p>
    <w:p w14:paraId="3CFF8AD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基督教仁爱观念对信众的行为约束与引导，是其发挥社会调节作用的核心逻辑。奥古斯丁在《论基督教教义》中就明确提出，世俗层面的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实践是信众践行教义的核心内容，不需要附加太多超验性的传教目标。传入中国后，经过本土化调适的基督教仁爱观念进一步吸纳了儒家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的处世逻辑，对信众的日常行为形成了更贴合本土社会规则的引导。</w:t>
      </w:r>
    </w:p>
    <w:p w14:paraId="04EB65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Fonts w:hint="eastAsia" w:ascii="宋体" w:hAnsi="宋体" w:eastAsia="宋体" w:cs="宋体"/>
          <w:color w:val="auto"/>
          <w:sz w:val="24"/>
          <w:szCs w:val="24"/>
        </w:rPr>
        <w:footnoteReference w:id="69"/>
      </w:r>
    </w:p>
    <w:p w14:paraId="07D005C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Fonts w:hint="eastAsia" w:ascii="宋体" w:hAnsi="宋体" w:eastAsia="宋体" w:cs="宋体"/>
          <w:color w:val="auto"/>
          <w:sz w:val="24"/>
          <w:szCs w:val="24"/>
        </w:rPr>
        <w:footnoteReference w:id="70"/>
      </w:r>
    </w:p>
    <w:p w14:paraId="150BA75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Stanley Hauerwas在《品格的社群》中指出，基督教伦理的核心功能不在于提供普遍适用的道德法则，而在于塑造具有特定品格（character）的社群成员，这些成员通过日常实践中的“叙事性认同”（narrative identity）成为社会稳定的微观基础。 这一理论视角有助于理解基督教仁爱观念的社会调节机制：它并非通过外部强制，而是通过内在品格的塑造，实现对社会行为的柔性约束。</w:t>
      </w:r>
      <w:r>
        <w:rPr>
          <w:rStyle w:val="29"/>
          <w:rFonts w:hint="eastAsia" w:ascii="宋体" w:hAnsi="宋体" w:eastAsia="宋体" w:cs="宋体"/>
          <w:color w:val="auto"/>
          <w:sz w:val="24"/>
          <w:szCs w:val="24"/>
        </w:rPr>
        <w:footnoteReference w:id="71"/>
      </w:r>
    </w:p>
    <w:p w14:paraId="585457D2">
      <w:pPr>
        <w:pStyle w:val="4"/>
        <w:bidi w:val="0"/>
        <w:rPr>
          <w:rFonts w:hint="eastAsia"/>
          <w:color w:val="auto"/>
          <w:lang w:val="en-US" w:eastAsia="zh-CN"/>
        </w:rPr>
      </w:pPr>
      <w:bookmarkStart w:id="384" w:name="_Toc1684510852"/>
      <w:bookmarkStart w:id="385" w:name="_Toc1751681676"/>
      <w:bookmarkStart w:id="386" w:name="_Toc336928045"/>
      <w:bookmarkStart w:id="387" w:name="_Toc1898681764"/>
      <w:bookmarkStart w:id="388" w:name="_Toc1832274755"/>
      <w:bookmarkStart w:id="389" w:name="_Toc284369943"/>
      <w:bookmarkStart w:id="390" w:name="_Toc813357672"/>
      <w:bookmarkStart w:id="391" w:name="_Toc498734748"/>
      <w:bookmarkStart w:id="392" w:name="_Toc749282275"/>
      <w:r>
        <w:rPr>
          <w:rFonts w:hint="eastAsia"/>
          <w:color w:val="auto"/>
          <w:lang w:val="en-US" w:eastAsia="zh-CN"/>
        </w:rPr>
        <w:t>二、</w:t>
      </w:r>
      <w:r>
        <w:rPr>
          <w:rFonts w:hint="eastAsia"/>
          <w:color w:val="auto"/>
        </w:rPr>
        <w:t>核心价值观的社会整合与公序良俗维护功能</w:t>
      </w:r>
      <w:bookmarkEnd w:id="384"/>
      <w:bookmarkEnd w:id="385"/>
      <w:bookmarkEnd w:id="386"/>
      <w:bookmarkEnd w:id="387"/>
      <w:bookmarkEnd w:id="388"/>
      <w:bookmarkEnd w:id="389"/>
      <w:bookmarkEnd w:id="390"/>
      <w:bookmarkEnd w:id="391"/>
      <w:bookmarkEnd w:id="392"/>
    </w:p>
    <w:p w14:paraId="4D8DF5E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富强、民主、文明、和谐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国家目标，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自由、平等、公正、法治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社会取向，以及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爱国、敬业、诚信、友善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个人准则，共同构成了一个具有广泛包容性和引领性的价值同心圆。</w:t>
      </w:r>
    </w:p>
    <w:p w14:paraId="474EF1F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法治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等要素，直接对应并升华了传统公序良俗的核心要求，为其注入了新的时代内涵。</w:t>
      </w:r>
    </w:p>
    <w:p w14:paraId="372577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通过将这些价值理念融入法律法规、政策制度和社会治理的方方面面，能够潜移默化地规范社会行为，调节人际关系。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价值倡导下社会信用体系的建设，不仅惩戒失信，更激励守信，优化了市场环境和社会交往环境；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bidi w:val="0"/>
        <w:rPr>
          <w:rFonts w:hint="eastAsia"/>
          <w:color w:val="auto"/>
          <w:lang w:val="en-US" w:eastAsia="zh-CN"/>
        </w:rPr>
      </w:pPr>
      <w:bookmarkStart w:id="393" w:name="_Toc1684896775"/>
      <w:bookmarkStart w:id="394" w:name="_Toc660611809"/>
      <w:bookmarkStart w:id="395" w:name="_Toc126309305"/>
      <w:bookmarkStart w:id="396" w:name="_Toc1254517426"/>
      <w:bookmarkStart w:id="397" w:name="_Toc1296971163"/>
      <w:bookmarkStart w:id="398" w:name="_Toc1982758823"/>
      <w:bookmarkStart w:id="399" w:name="_Toc1368980149"/>
      <w:bookmarkStart w:id="400" w:name="_Toc606235395"/>
      <w:bookmarkStart w:id="401" w:name="_Toc343089917"/>
      <w:r>
        <w:rPr>
          <w:rFonts w:hint="eastAsia"/>
          <w:color w:val="auto"/>
          <w:lang w:val="en-US" w:eastAsia="zh-CN"/>
        </w:rPr>
        <w:t>三、</w:t>
      </w:r>
      <w:r>
        <w:rPr>
          <w:rFonts w:hint="eastAsia"/>
          <w:color w:val="auto"/>
        </w:rPr>
        <w:t>二者社会功能的互补性竞争关系</w:t>
      </w:r>
      <w:bookmarkEnd w:id="393"/>
      <w:bookmarkEnd w:id="394"/>
      <w:bookmarkEnd w:id="395"/>
      <w:bookmarkEnd w:id="396"/>
      <w:bookmarkEnd w:id="397"/>
      <w:bookmarkEnd w:id="398"/>
      <w:bookmarkEnd w:id="399"/>
      <w:bookmarkEnd w:id="400"/>
      <w:bookmarkEnd w:id="401"/>
    </w:p>
    <w:p w14:paraId="1A191B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对比基督教仁爱观念的社会属性与核心价值观的社会功能，可以发现二者的实践指向具有高度的目标一致性。基督教仁爱倡导的宽恕、谦让准则，与核心价值观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的价值取向一致，都能有效减少基层邻里矛盾、降低社会治理的隐性成本。基督教仁爱要求优先关照底层群体的需求，核心价值观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的价值导向也指向缩小城乡、阶层差距。</w:t>
      </w:r>
    </w:p>
    <w:p w14:paraId="0A8E2F8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社会服务版本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——通过满足社会的公共需求来获取社会认可度。当这一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宗教产品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与核心价值观倡导的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公共伦理产品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形成功能替代时，二者便构成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互补性竞争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关系：既非零和博弈，也非完全等同，而是在共同满足社会需求中实现各自价值。</w:t>
      </w:r>
    </w:p>
    <w:p w14:paraId="2D188D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José Casanova的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理论为理解这种关系提供了宏观视角：宗教在现代社会中不必退入私人领域，而可以通过参与公共事务、提供社会服务，成为公民社会的重要组成部分。</w:t>
      </w:r>
      <w:r>
        <w:rPr>
          <w:rStyle w:val="29"/>
          <w:rFonts w:hint="eastAsia" w:ascii="宋体" w:hAnsi="宋体" w:eastAsia="宋体" w:cs="宋体"/>
          <w:color w:val="auto"/>
          <w:sz w:val="24"/>
          <w:szCs w:val="24"/>
        </w:rPr>
        <w:footnoteReference w:id="72"/>
      </w:r>
      <w:r>
        <w:rPr>
          <w:rFonts w:hint="eastAsia" w:ascii="宋体" w:hAnsi="宋体" w:eastAsia="宋体" w:cs="宋体"/>
          <w:color w:val="auto"/>
          <w:sz w:val="24"/>
          <w:szCs w:val="24"/>
        </w:rPr>
        <w:t xml:space="preserve"> 在这一框架下，基督教仁爱实践与核心价值观的社会整合功能不是相互排斥的，而是可以在公共领域中形成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分工合作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：核心价值观提供宏观的价值导向与制度框架，基督教仁爱实践提供微观的伦理动力与社群网络。</w:t>
      </w:r>
    </w:p>
    <w:p w14:paraId="6FEDA6F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综上可得出明确结论：基督教仁爱观念与社会主义核心价值观的社会功能没有本质冲突，二者正向功能的目标一致性，是两类价值体系实现融合的核心功能基础。</w:t>
      </w:r>
    </w:p>
    <w:p w14:paraId="4B6D25E1">
      <w:pPr>
        <w:pStyle w:val="3"/>
        <w:bidi w:val="0"/>
        <w:rPr>
          <w:rFonts w:hint="eastAsia"/>
          <w:color w:val="auto"/>
          <w:lang w:val="en-US" w:eastAsia="zh-CN"/>
        </w:rPr>
      </w:pPr>
      <w:bookmarkStart w:id="402" w:name="_Toc1340728083"/>
      <w:bookmarkStart w:id="403" w:name="_Toc679932536"/>
      <w:bookmarkStart w:id="404" w:name="_Toc309570285"/>
      <w:bookmarkStart w:id="405" w:name="_Toc1235319491"/>
      <w:bookmarkStart w:id="406" w:name="_Toc1723787662"/>
      <w:bookmarkStart w:id="407" w:name="_Toc412218873"/>
      <w:bookmarkStart w:id="408" w:name="_Toc1166645899"/>
      <w:bookmarkStart w:id="409" w:name="_Toc1335862397"/>
      <w:bookmarkStart w:id="410" w:name="_Toc318642824"/>
      <w:r>
        <w:rPr>
          <w:rFonts w:hint="eastAsia"/>
          <w:color w:val="auto"/>
          <w:lang w:val="en-US" w:eastAsia="zh-CN"/>
        </w:rPr>
        <w:t xml:space="preserve">第三节 </w:t>
      </w:r>
      <w:r>
        <w:rPr>
          <w:rFonts w:hint="eastAsia"/>
          <w:color w:val="auto"/>
        </w:rPr>
        <w:t>文化内核的契合：对中华优秀传统文化的共同吸纳</w:t>
      </w:r>
      <w:bookmarkEnd w:id="402"/>
      <w:bookmarkEnd w:id="403"/>
      <w:bookmarkEnd w:id="404"/>
      <w:bookmarkEnd w:id="405"/>
      <w:bookmarkEnd w:id="406"/>
      <w:bookmarkEnd w:id="407"/>
      <w:bookmarkEnd w:id="408"/>
      <w:bookmarkEnd w:id="409"/>
      <w:bookmarkEnd w:id="410"/>
    </w:p>
    <w:p w14:paraId="37B2AE37">
      <w:pPr>
        <w:pStyle w:val="4"/>
        <w:bidi w:val="0"/>
        <w:rPr>
          <w:rFonts w:hint="eastAsia"/>
          <w:color w:val="auto"/>
          <w:lang w:val="en-US" w:eastAsia="zh-CN"/>
        </w:rPr>
      </w:pPr>
      <w:bookmarkStart w:id="411" w:name="_Toc1291927383"/>
      <w:bookmarkStart w:id="412" w:name="_Toc1742386961"/>
      <w:bookmarkStart w:id="413" w:name="_Toc70983010"/>
      <w:bookmarkStart w:id="414" w:name="_Toc865646865"/>
      <w:bookmarkStart w:id="415" w:name="_Toc2144837204"/>
      <w:bookmarkStart w:id="416" w:name="_Toc142786041"/>
      <w:bookmarkStart w:id="417" w:name="_Toc380353289"/>
      <w:bookmarkStart w:id="418" w:name="_Toc2045260641"/>
      <w:bookmarkStart w:id="419" w:name="_Toc1753210997"/>
      <w:r>
        <w:rPr>
          <w:rFonts w:hint="eastAsia"/>
          <w:color w:val="auto"/>
          <w:lang w:val="en-US" w:eastAsia="zh-CN"/>
        </w:rPr>
        <w:t>一、</w:t>
      </w:r>
      <w:r>
        <w:rPr>
          <w:rFonts w:hint="eastAsia"/>
          <w:color w:val="auto"/>
        </w:rPr>
        <w:t>基督教仁爱对儒家</w:t>
      </w:r>
      <w:r>
        <w:rPr>
          <w:rFonts w:hint="eastAsia"/>
          <w:color w:val="auto"/>
          <w:lang w:eastAsia="zh-CN"/>
        </w:rPr>
        <w:t>“</w:t>
      </w:r>
      <w:r>
        <w:rPr>
          <w:rFonts w:hint="eastAsia"/>
          <w:color w:val="auto"/>
        </w:rPr>
        <w:t>仁</w:t>
      </w:r>
      <w:r>
        <w:rPr>
          <w:rFonts w:hint="eastAsia"/>
          <w:color w:val="auto"/>
          <w:lang w:eastAsia="zh-CN"/>
        </w:rPr>
        <w:t>”</w:t>
      </w:r>
      <w:r>
        <w:rPr>
          <w:rFonts w:hint="eastAsia"/>
          <w:color w:val="auto"/>
        </w:rPr>
        <w:t>文化的创造性吸纳</w:t>
      </w:r>
      <w:bookmarkEnd w:id="411"/>
      <w:bookmarkEnd w:id="412"/>
      <w:bookmarkEnd w:id="413"/>
      <w:bookmarkEnd w:id="414"/>
      <w:bookmarkEnd w:id="415"/>
      <w:bookmarkEnd w:id="416"/>
      <w:bookmarkEnd w:id="417"/>
      <w:bookmarkEnd w:id="418"/>
      <w:bookmarkEnd w:id="419"/>
    </w:p>
    <w:p w14:paraId="1C5B1D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基督教仁爱观念的中国化，本身就是一个持续的文化翻译过程。如前文所述，Bhabha的文化翻译理论强调，文化相遇不是简单的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原文—译文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对应，而是在交互中生成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混杂性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的新意义。利玛窦以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的实践正是这一理论的早期历史例证：他并非在寻找Agape与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的完全等价物，而是在两种文化符号的碰撞中创造新的神学表达。刘耘华将这一机制概括为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的创造性转化。</w:t>
      </w:r>
      <w:r>
        <w:rPr>
          <w:rStyle w:val="29"/>
          <w:rFonts w:hint="eastAsia" w:ascii="宋体" w:hAnsi="宋体" w:eastAsia="宋体" w:cs="宋体"/>
          <w:color w:val="auto"/>
          <w:sz w:val="24"/>
          <w:szCs w:val="24"/>
        </w:rPr>
        <w:footnoteReference w:id="73"/>
      </w:r>
      <w:r>
        <w:rPr>
          <w:rStyle w:val="29"/>
          <w:rFonts w:hint="eastAsia" w:ascii="宋体" w:hAnsi="宋体" w:eastAsia="宋体" w:cs="宋体"/>
          <w:color w:val="auto"/>
          <w:sz w:val="24"/>
          <w:szCs w:val="24"/>
        </w:rPr>
        <w:footnoteReference w:id="74"/>
      </w:r>
    </w:p>
    <w:p w14:paraId="6284220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一历史过程可分为三个阶段。第一阶段：明清之际的语义嫁接。传教士利玛窦在《天主实义》中尝试用儒家“仁”解释基督教仁爱观念，他认为两者本质都强调对他人的关爱，这种做法让当时中国士大夫更容易接受基督教教义。Roger Ames指出，利玛窦的翻译策略实际上是一种“哲学创造”（philosophical creation），他并非在寻找“对等词”，而是在建构“可比性”（comparability）。</w:t>
      </w:r>
      <w:r>
        <w:rPr>
          <w:rStyle w:val="29"/>
          <w:rFonts w:hint="eastAsia" w:ascii="宋体" w:hAnsi="宋体" w:eastAsia="宋体" w:cs="宋体"/>
          <w:color w:val="auto"/>
          <w:sz w:val="24"/>
          <w:szCs w:val="24"/>
        </w:rPr>
        <w:footnoteReference w:id="75"/>
      </w:r>
    </w:p>
    <w:p w14:paraId="61F2F97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Fonts w:hint="eastAsia" w:ascii="宋体" w:hAnsi="宋体" w:eastAsia="宋体" w:cs="宋体"/>
          <w:color w:val="auto"/>
          <w:sz w:val="24"/>
          <w:szCs w:val="24"/>
        </w:rPr>
        <w:footnoteReference w:id="76"/>
      </w:r>
    </w:p>
    <w:p w14:paraId="6AE2822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Fonts w:hint="eastAsia" w:ascii="宋体" w:hAnsi="宋体" w:eastAsia="宋体" w:cs="宋体"/>
          <w:color w:val="auto"/>
          <w:sz w:val="24"/>
          <w:szCs w:val="24"/>
        </w:rPr>
        <w:footnoteReference w:id="77"/>
      </w:r>
    </w:p>
    <w:p w14:paraId="2A4AE7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这些例子说明，基督教仁爱观念在与儒家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文化接触中，不断吸纳核心内容，形成中国特色表达形式。这种吸纳不是简单照搬，而是基于文化适配性的选择——儒家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文化中的人文关怀、社会责任感与基督教仁爱观念中的爱人如己、服务他人有天然共通之处，为两者融合提供基础。</w:t>
      </w:r>
    </w:p>
    <w:p w14:paraId="54B27E3B">
      <w:pPr>
        <w:pStyle w:val="4"/>
        <w:bidi w:val="0"/>
        <w:rPr>
          <w:rFonts w:hint="eastAsia"/>
          <w:color w:val="auto"/>
          <w:lang w:val="en-US" w:eastAsia="zh-CN"/>
        </w:rPr>
      </w:pPr>
      <w:bookmarkStart w:id="420" w:name="_Toc618389086"/>
      <w:bookmarkStart w:id="421" w:name="_Toc1686394751"/>
      <w:bookmarkStart w:id="422" w:name="_Toc216371264"/>
      <w:bookmarkStart w:id="423" w:name="_Toc1210643035"/>
      <w:bookmarkStart w:id="424" w:name="_Toc1158024985"/>
      <w:bookmarkStart w:id="425" w:name="_Toc1065757388"/>
      <w:bookmarkStart w:id="426" w:name="_Toc1872635277"/>
      <w:bookmarkStart w:id="427" w:name="_Toc2072339405"/>
      <w:bookmarkStart w:id="428" w:name="_Toc594106092"/>
      <w:r>
        <w:rPr>
          <w:rFonts w:hint="eastAsia"/>
          <w:color w:val="auto"/>
          <w:lang w:val="en-US" w:eastAsia="zh-CN"/>
        </w:rPr>
        <w:t>二、</w:t>
      </w:r>
      <w:r>
        <w:rPr>
          <w:rFonts w:hint="eastAsia"/>
          <w:color w:val="auto"/>
        </w:rPr>
        <w:t>社会主义核心价值观对中华优秀传统文化的传承发展</w:t>
      </w:r>
      <w:bookmarkEnd w:id="420"/>
      <w:bookmarkEnd w:id="421"/>
      <w:bookmarkEnd w:id="422"/>
      <w:bookmarkEnd w:id="423"/>
      <w:bookmarkEnd w:id="424"/>
      <w:bookmarkEnd w:id="425"/>
      <w:bookmarkEnd w:id="426"/>
      <w:bookmarkEnd w:id="427"/>
      <w:bookmarkEnd w:id="428"/>
    </w:p>
    <w:p w14:paraId="00C1EF4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社会主义核心价值观同样深深植根于中华优秀传统文化的沃土之中。它所倡导的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等价值理念，都可以在中华传统文化中找到源头。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对应着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的思想，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体现了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人无信不立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的处世原则，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Fonts w:hint="eastAsia" w:ascii="宋体" w:hAnsi="宋体" w:eastAsia="宋体" w:cs="宋体"/>
          <w:color w:val="auto"/>
          <w:sz w:val="24"/>
          <w:szCs w:val="24"/>
        </w:rPr>
        <w:footnoteReference w:id="78"/>
      </w:r>
    </w:p>
    <w:p w14:paraId="0976DA2C">
      <w:pPr>
        <w:pStyle w:val="4"/>
        <w:bidi w:val="0"/>
        <w:rPr>
          <w:rFonts w:hint="eastAsia"/>
          <w:color w:val="auto"/>
          <w:lang w:val="en-US" w:eastAsia="zh-CN"/>
        </w:rPr>
      </w:pPr>
      <w:bookmarkStart w:id="429" w:name="_Toc1592000569"/>
      <w:bookmarkStart w:id="430" w:name="_Toc281630134"/>
      <w:bookmarkStart w:id="431" w:name="_Toc2017417567"/>
      <w:bookmarkStart w:id="432" w:name="_Toc747406951"/>
      <w:bookmarkStart w:id="433" w:name="_Toc23320489"/>
      <w:bookmarkStart w:id="434" w:name="_Toc2008253754"/>
      <w:bookmarkStart w:id="435" w:name="_Toc862019677"/>
      <w:bookmarkStart w:id="436" w:name="_Toc1918592789"/>
      <w:bookmarkStart w:id="437" w:name="_Toc1489613341"/>
      <w:r>
        <w:rPr>
          <w:rFonts w:hint="eastAsia"/>
          <w:color w:val="auto"/>
          <w:lang w:val="en-US" w:eastAsia="zh-CN"/>
        </w:rPr>
        <w:t>三、</w:t>
      </w:r>
      <w:r>
        <w:rPr>
          <w:rFonts w:hint="eastAsia"/>
          <w:color w:val="auto"/>
          <w:lang w:eastAsia="zh-CN"/>
        </w:rPr>
        <w:t>“</w:t>
      </w:r>
      <w:r>
        <w:rPr>
          <w:rFonts w:hint="eastAsia"/>
          <w:color w:val="auto"/>
        </w:rPr>
        <w:t>第三空间</w:t>
      </w:r>
      <w:r>
        <w:rPr>
          <w:rFonts w:hint="eastAsia"/>
          <w:color w:val="auto"/>
          <w:lang w:eastAsia="zh-CN"/>
        </w:rPr>
        <w:t>”</w:t>
      </w:r>
      <w:r>
        <w:rPr>
          <w:rFonts w:hint="eastAsia"/>
          <w:color w:val="auto"/>
        </w:rPr>
        <w:t>中的文化共通性：从利玛窦到当代</w:t>
      </w:r>
      <w:bookmarkEnd w:id="429"/>
      <w:bookmarkEnd w:id="430"/>
      <w:bookmarkEnd w:id="431"/>
      <w:bookmarkEnd w:id="432"/>
      <w:bookmarkEnd w:id="433"/>
      <w:bookmarkEnd w:id="434"/>
      <w:bookmarkEnd w:id="435"/>
      <w:bookmarkEnd w:id="436"/>
      <w:bookmarkEnd w:id="437"/>
    </w:p>
    <w:p w14:paraId="2033A71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Agape的神学深度，又吸纳了儒家“仁”的文化厚度，还融入了马克思主义“人民性”的时代高度，形成了一种具有中国特色的“仁爱”公共伦理。</w:t>
      </w:r>
      <w:r>
        <w:rPr>
          <w:rStyle w:val="29"/>
          <w:rFonts w:hint="eastAsia" w:ascii="宋体" w:hAnsi="宋体" w:eastAsia="宋体" w:cs="宋体"/>
          <w:color w:val="auto"/>
          <w:sz w:val="24"/>
          <w:szCs w:val="24"/>
        </w:rPr>
        <w:footnoteReference w:id="79"/>
      </w:r>
    </w:p>
    <w:p w14:paraId="474495E2">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2B3A16DA">
      <w:pPr>
        <w:pStyle w:val="2"/>
        <w:bidi w:val="0"/>
        <w:rPr>
          <w:rFonts w:hint="eastAsia"/>
          <w:color w:val="auto"/>
          <w:lang w:val="en-US" w:eastAsia="zh-CN"/>
        </w:rPr>
      </w:pPr>
      <w:bookmarkStart w:id="438" w:name="_Toc1254805210"/>
      <w:bookmarkStart w:id="439" w:name="_Toc303704150"/>
      <w:bookmarkStart w:id="440" w:name="_Toc117746086"/>
      <w:bookmarkStart w:id="441" w:name="_Toc1105434869"/>
      <w:bookmarkStart w:id="442" w:name="_Toc720363579"/>
      <w:bookmarkStart w:id="443" w:name="_Toc1040028677"/>
      <w:bookmarkStart w:id="444" w:name="_Toc1036774154"/>
      <w:bookmarkStart w:id="445" w:name="_Toc1322045018"/>
      <w:bookmarkStart w:id="446" w:name="_Toc567065461"/>
      <w:r>
        <w:rPr>
          <w:rFonts w:hint="eastAsia"/>
          <w:color w:val="auto"/>
          <w:lang w:val="en-US" w:eastAsia="zh-CN"/>
        </w:rPr>
        <w:t>四、</w:t>
      </w:r>
      <w:r>
        <w:rPr>
          <w:rFonts w:hint="eastAsia"/>
          <w:color w:val="auto"/>
        </w:rPr>
        <w:t>基督教仁爱观念与核心价值观融合的现实障碍</w:t>
      </w:r>
      <w:bookmarkEnd w:id="438"/>
      <w:bookmarkEnd w:id="439"/>
      <w:bookmarkEnd w:id="440"/>
      <w:bookmarkEnd w:id="441"/>
      <w:bookmarkEnd w:id="442"/>
      <w:bookmarkEnd w:id="443"/>
      <w:bookmarkEnd w:id="444"/>
      <w:bookmarkEnd w:id="445"/>
      <w:bookmarkEnd w:id="446"/>
    </w:p>
    <w:p w14:paraId="27361B50">
      <w:pPr>
        <w:pStyle w:val="3"/>
        <w:bidi w:val="0"/>
        <w:rPr>
          <w:rFonts w:hint="eastAsia"/>
          <w:color w:val="auto"/>
          <w:lang w:val="en-US" w:eastAsia="zh-CN"/>
        </w:rPr>
      </w:pPr>
      <w:bookmarkStart w:id="447" w:name="_Toc1162813086"/>
      <w:bookmarkStart w:id="448" w:name="_Toc1221750930"/>
      <w:bookmarkStart w:id="449" w:name="_Toc1934503778"/>
      <w:bookmarkStart w:id="450" w:name="_Toc1785354114"/>
      <w:bookmarkStart w:id="451" w:name="_Toc380894520"/>
      <w:bookmarkStart w:id="452" w:name="_Toc1126028515"/>
      <w:bookmarkStart w:id="453" w:name="_Toc1392571406"/>
      <w:bookmarkStart w:id="454" w:name="_Toc1744805664"/>
      <w:bookmarkStart w:id="455" w:name="_Toc136777641"/>
      <w:r>
        <w:rPr>
          <w:rFonts w:hint="eastAsia"/>
          <w:color w:val="auto"/>
          <w:lang w:val="en-US" w:eastAsia="zh-CN"/>
        </w:rPr>
        <w:t xml:space="preserve">第一节 </w:t>
      </w:r>
      <w:r>
        <w:rPr>
          <w:rFonts w:hint="eastAsia"/>
          <w:color w:val="auto"/>
        </w:rPr>
        <w:t>认知层面的结构性壁垒</w:t>
      </w:r>
      <w:bookmarkEnd w:id="447"/>
      <w:bookmarkEnd w:id="448"/>
      <w:bookmarkEnd w:id="449"/>
      <w:bookmarkEnd w:id="450"/>
      <w:bookmarkEnd w:id="451"/>
      <w:bookmarkEnd w:id="452"/>
      <w:bookmarkEnd w:id="453"/>
      <w:bookmarkEnd w:id="454"/>
      <w:bookmarkEnd w:id="455"/>
    </w:p>
    <w:p w14:paraId="0216203B">
      <w:pPr>
        <w:pStyle w:val="4"/>
        <w:bidi w:val="0"/>
        <w:rPr>
          <w:rFonts w:hint="eastAsia"/>
          <w:color w:val="auto"/>
          <w:lang w:val="en-US" w:eastAsia="zh-CN"/>
        </w:rPr>
      </w:pPr>
      <w:bookmarkStart w:id="456" w:name="_Toc45445933"/>
      <w:bookmarkStart w:id="457" w:name="_Toc1805078114"/>
      <w:bookmarkStart w:id="458" w:name="_Toc302581266"/>
      <w:bookmarkStart w:id="459" w:name="_Toc1670835636"/>
      <w:bookmarkStart w:id="460" w:name="_Toc1535354241"/>
      <w:bookmarkStart w:id="461" w:name="_Toc1298348702"/>
      <w:bookmarkStart w:id="462" w:name="_Toc1876731543"/>
      <w:bookmarkStart w:id="463" w:name="_Toc1059595063"/>
      <w:bookmarkStart w:id="464" w:name="_Toc1014309997"/>
      <w:r>
        <w:rPr>
          <w:rFonts w:hint="eastAsia"/>
          <w:color w:val="auto"/>
          <w:lang w:val="en-US" w:eastAsia="zh-CN"/>
        </w:rPr>
        <w:t>一、</w:t>
      </w:r>
      <w:r>
        <w:rPr>
          <w:rFonts w:hint="eastAsia"/>
          <w:color w:val="auto"/>
        </w:rPr>
        <w:t>部分信众的</w:t>
      </w:r>
      <w:r>
        <w:rPr>
          <w:rFonts w:hint="eastAsia"/>
          <w:color w:val="auto"/>
          <w:lang w:eastAsia="zh-CN"/>
        </w:rPr>
        <w:t>“</w:t>
      </w:r>
      <w:r>
        <w:rPr>
          <w:rFonts w:hint="eastAsia"/>
          <w:color w:val="auto"/>
        </w:rPr>
        <w:t>叠合身份</w:t>
      </w:r>
      <w:r>
        <w:rPr>
          <w:rFonts w:hint="eastAsia"/>
          <w:color w:val="auto"/>
          <w:lang w:eastAsia="zh-CN"/>
        </w:rPr>
        <w:t>”</w:t>
      </w:r>
      <w:r>
        <w:rPr>
          <w:rFonts w:hint="eastAsia"/>
          <w:color w:val="auto"/>
        </w:rPr>
        <w:t>困境与认知偏差</w:t>
      </w:r>
      <w:bookmarkEnd w:id="456"/>
      <w:bookmarkEnd w:id="457"/>
      <w:bookmarkEnd w:id="458"/>
      <w:bookmarkEnd w:id="459"/>
      <w:bookmarkEnd w:id="460"/>
      <w:bookmarkEnd w:id="461"/>
      <w:bookmarkEnd w:id="462"/>
      <w:bookmarkEnd w:id="463"/>
      <w:bookmarkEnd w:id="464"/>
    </w:p>
    <w:p w14:paraId="6E9B8FB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Fonts w:hint="eastAsia" w:ascii="宋体" w:hAnsi="宋体" w:eastAsia="宋体" w:cs="宋体"/>
          <w:color w:val="auto"/>
          <w:sz w:val="24"/>
          <w:szCs w:val="24"/>
        </w:rPr>
        <w:footnoteReference w:id="80"/>
      </w:r>
    </w:p>
    <w:p w14:paraId="15CBDC2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的要求看，这种认知偏差本质上是对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认同中国特色社会主义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认同中华文化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等要求的理解不到位，需要在教育引导中予以纠正。</w:t>
      </w:r>
    </w:p>
    <w:p w14:paraId="3BE9FF81">
      <w:pPr>
        <w:pStyle w:val="4"/>
        <w:bidi w:val="0"/>
        <w:rPr>
          <w:rFonts w:hint="eastAsia"/>
          <w:color w:val="auto"/>
          <w:lang w:val="en-US" w:eastAsia="zh-CN"/>
        </w:rPr>
      </w:pPr>
      <w:bookmarkStart w:id="465" w:name="_Toc765297347"/>
      <w:bookmarkStart w:id="466" w:name="_Toc446380829"/>
      <w:bookmarkStart w:id="467" w:name="_Toc535226135"/>
      <w:bookmarkStart w:id="468" w:name="_Toc1238366080"/>
      <w:bookmarkStart w:id="469" w:name="_Toc242061566"/>
      <w:bookmarkStart w:id="470" w:name="_Toc1453101246"/>
      <w:bookmarkStart w:id="471" w:name="_Toc2134719712"/>
      <w:bookmarkStart w:id="472" w:name="_Toc1679822917"/>
      <w:bookmarkStart w:id="473" w:name="_Toc782929693"/>
      <w:r>
        <w:rPr>
          <w:rFonts w:hint="eastAsia"/>
          <w:color w:val="auto"/>
          <w:lang w:val="en-US" w:eastAsia="zh-CN"/>
        </w:rPr>
        <w:t>二、</w:t>
      </w:r>
      <w:r>
        <w:rPr>
          <w:rFonts w:hint="eastAsia"/>
          <w:color w:val="auto"/>
        </w:rPr>
        <w:t>非信众群体的历史记忆与刻板印象</w:t>
      </w:r>
      <w:bookmarkEnd w:id="465"/>
      <w:bookmarkEnd w:id="466"/>
      <w:bookmarkEnd w:id="467"/>
      <w:bookmarkEnd w:id="468"/>
      <w:bookmarkEnd w:id="469"/>
      <w:bookmarkEnd w:id="470"/>
      <w:bookmarkEnd w:id="471"/>
      <w:bookmarkEnd w:id="472"/>
      <w:bookmarkEnd w:id="473"/>
    </w:p>
    <w:p w14:paraId="3396F74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从外部社会来看，非信众群体对基督教的刻板印象同样构成障碍。历史上基督教与近代殖民主义、不平等条约的复杂关联，使得部分民众至今仍将其视为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外来文化渗透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的载体。当这种历史记忆与现实中个别教会刻意突出宗教标识的慈善行为相叠加时，基督教的社会服务容易被曲解为传教手段。</w:t>
      </w:r>
    </w:p>
    <w:p w14:paraId="2FFBB8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陈金羽对Q教会服务队的实证研究发现，带有明显宗教符号的教会活动会显著降低社区非信众的接受度。 这种双向的认知偏差——信众担心被“世俗化”，非信众警惕被“渗透”——共同构成了融合实践的心理壁垒。</w:t>
      </w:r>
      <w:r>
        <w:rPr>
          <w:rStyle w:val="29"/>
          <w:rFonts w:hint="eastAsia" w:ascii="宋体" w:hAnsi="宋体" w:eastAsia="宋体" w:cs="宋体"/>
          <w:color w:val="auto"/>
          <w:sz w:val="24"/>
          <w:szCs w:val="24"/>
        </w:rPr>
        <w:footnoteReference w:id="81"/>
      </w:r>
    </w:p>
    <w:p w14:paraId="1E43B99C">
      <w:pPr>
        <w:pStyle w:val="4"/>
        <w:bidi w:val="0"/>
        <w:rPr>
          <w:rFonts w:hint="eastAsia"/>
          <w:color w:val="auto"/>
          <w:lang w:val="en-US" w:eastAsia="zh-CN"/>
        </w:rPr>
      </w:pPr>
      <w:bookmarkStart w:id="474" w:name="_Toc224909155"/>
      <w:bookmarkStart w:id="475" w:name="_Toc1884137309"/>
      <w:bookmarkStart w:id="476" w:name="_Toc994712344"/>
      <w:bookmarkStart w:id="477" w:name="_Toc1072949146"/>
      <w:bookmarkStart w:id="478" w:name="_Toc1162214032"/>
      <w:bookmarkStart w:id="479" w:name="_Toc1088607838"/>
      <w:bookmarkStart w:id="480" w:name="_Toc1954683483"/>
      <w:bookmarkStart w:id="481" w:name="_Toc1963742557"/>
      <w:bookmarkStart w:id="482" w:name="_Toc1067045082"/>
      <w:r>
        <w:rPr>
          <w:rFonts w:hint="eastAsia"/>
          <w:color w:val="auto"/>
          <w:lang w:val="en-US" w:eastAsia="zh-CN"/>
        </w:rPr>
        <w:t>三、</w:t>
      </w:r>
      <w:r>
        <w:rPr>
          <w:rFonts w:hint="eastAsia"/>
          <w:color w:val="auto"/>
        </w:rPr>
        <w:t>神学话语与政治话语的沟通鸿沟</w:t>
      </w:r>
      <w:bookmarkEnd w:id="474"/>
      <w:bookmarkEnd w:id="475"/>
      <w:bookmarkEnd w:id="476"/>
      <w:bookmarkEnd w:id="477"/>
      <w:bookmarkEnd w:id="478"/>
      <w:bookmarkEnd w:id="479"/>
      <w:bookmarkEnd w:id="480"/>
      <w:bookmarkEnd w:id="481"/>
      <w:bookmarkEnd w:id="482"/>
    </w:p>
    <w:p w14:paraId="68502D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话语体系的差异进一步加剧了认知壁垒。基督教仁爱观念的话语深深植根于其神学传统，核心概念如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博爱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以对上帝的信仰为前提，论述逻辑常从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神的启示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人的罪性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出发，强调通过践行仁爱来荣耀神。相比之下，社会主义核心价值观的话语体系基于马克思主义理论，结合中华优秀传统文化与中国特色社会主义实践经验，强调集体利益、社会和谐与国家发展，使用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富强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等世俗化、公共性的表达。</w:t>
      </w:r>
    </w:p>
    <w:p w14:paraId="4BFAB1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这种话语差异导致双方在交流时难以准确把握对方意图：当基督教徒以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传福音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bidi w:val="0"/>
        <w:rPr>
          <w:rFonts w:hint="eastAsia"/>
          <w:color w:val="auto"/>
          <w:lang w:val="en-US" w:eastAsia="zh-CN"/>
        </w:rPr>
      </w:pPr>
      <w:bookmarkStart w:id="483" w:name="_Toc2117657360"/>
      <w:bookmarkStart w:id="484" w:name="_Toc2049377348"/>
      <w:bookmarkStart w:id="485" w:name="_Toc1818744473"/>
      <w:bookmarkStart w:id="486" w:name="_Toc476949365"/>
      <w:bookmarkStart w:id="487" w:name="_Toc636112963"/>
      <w:bookmarkStart w:id="488" w:name="_Toc1967466359"/>
      <w:bookmarkStart w:id="489" w:name="_Toc160466975"/>
      <w:bookmarkStart w:id="490" w:name="_Toc2092468403"/>
      <w:bookmarkStart w:id="491" w:name="_Toc190757077"/>
      <w:r>
        <w:rPr>
          <w:rFonts w:hint="eastAsia"/>
          <w:color w:val="auto"/>
          <w:lang w:val="en-US" w:eastAsia="zh-CN"/>
        </w:rPr>
        <w:t xml:space="preserve">第二节 </w:t>
      </w:r>
      <w:r>
        <w:rPr>
          <w:rFonts w:hint="eastAsia"/>
          <w:color w:val="auto"/>
        </w:rPr>
        <w:t>实践层面的形式化与功利化问题</w:t>
      </w:r>
      <w:bookmarkEnd w:id="483"/>
      <w:bookmarkEnd w:id="484"/>
      <w:bookmarkEnd w:id="485"/>
      <w:bookmarkEnd w:id="486"/>
      <w:bookmarkEnd w:id="487"/>
      <w:bookmarkEnd w:id="488"/>
      <w:bookmarkEnd w:id="489"/>
      <w:bookmarkEnd w:id="490"/>
      <w:bookmarkEnd w:id="491"/>
    </w:p>
    <w:p w14:paraId="07C0D58A">
      <w:pPr>
        <w:pStyle w:val="4"/>
        <w:bidi w:val="0"/>
        <w:rPr>
          <w:rFonts w:hint="eastAsia"/>
          <w:color w:val="auto"/>
          <w:lang w:val="en-US" w:eastAsia="zh-CN"/>
        </w:rPr>
      </w:pPr>
      <w:bookmarkStart w:id="492" w:name="_Toc356126313"/>
      <w:bookmarkStart w:id="493" w:name="_Toc1220767789"/>
      <w:bookmarkStart w:id="494" w:name="_Toc1679006951"/>
      <w:bookmarkStart w:id="495" w:name="_Toc976974375"/>
      <w:bookmarkStart w:id="496" w:name="_Toc253899207"/>
      <w:bookmarkStart w:id="497" w:name="_Toc1876471840"/>
      <w:bookmarkStart w:id="498" w:name="_Toc394873603"/>
      <w:bookmarkStart w:id="499" w:name="_Toc924245949"/>
      <w:bookmarkStart w:id="500" w:name="_Toc2008591815"/>
      <w:r>
        <w:rPr>
          <w:rFonts w:hint="eastAsia"/>
          <w:color w:val="auto"/>
          <w:lang w:val="en-US" w:eastAsia="zh-CN"/>
        </w:rPr>
        <w:t>一、</w:t>
      </w:r>
      <w:r>
        <w:rPr>
          <w:rFonts w:hint="eastAsia"/>
          <w:color w:val="auto"/>
        </w:rPr>
        <w:t>融合活动的象征性执行与形式化困境</w:t>
      </w:r>
      <w:bookmarkEnd w:id="492"/>
      <w:bookmarkEnd w:id="493"/>
      <w:bookmarkEnd w:id="494"/>
      <w:bookmarkEnd w:id="495"/>
      <w:bookmarkEnd w:id="496"/>
      <w:bookmarkEnd w:id="497"/>
      <w:bookmarkEnd w:id="498"/>
      <w:bookmarkEnd w:id="499"/>
      <w:bookmarkEnd w:id="500"/>
    </w:p>
    <w:p w14:paraId="498D844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融合工作在实践层面的推进，同样面临诸多现实困境。首先是活动的形式化问题。目前部分基层基督教活动场所推进融合工作，存在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重宣传、轻实效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这种形式化的活动很难让信众真正理解基督教仁爱观念与核心价值观的内在契合性，甚至可能让信众认为张贴宣传标语只是应付管理要求的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表面功夫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，与自身信仰实践没有关联。当融合活动未结合信众的日常服务需求，也未对接社区的公共服务缺口，只是照搬上级下发的活动模板时，价值引导效果自然微乎其微。</w:t>
      </w:r>
    </w:p>
    <w:p w14:paraId="1B945D9F">
      <w:pPr>
        <w:pStyle w:val="4"/>
        <w:bidi w:val="0"/>
        <w:rPr>
          <w:rFonts w:hint="eastAsia"/>
          <w:color w:val="auto"/>
          <w:lang w:val="en-US" w:eastAsia="zh-CN"/>
        </w:rPr>
      </w:pPr>
      <w:bookmarkStart w:id="501" w:name="_Toc2064858685"/>
      <w:bookmarkStart w:id="502" w:name="_Toc1134703877"/>
      <w:bookmarkStart w:id="503" w:name="_Toc385466285"/>
      <w:bookmarkStart w:id="504" w:name="_Toc916176391"/>
      <w:bookmarkStart w:id="505" w:name="_Toc348355663"/>
      <w:bookmarkStart w:id="506" w:name="_Toc378018402"/>
      <w:bookmarkStart w:id="507" w:name="_Toc233965460"/>
      <w:bookmarkStart w:id="508" w:name="_Toc1052446092"/>
      <w:bookmarkStart w:id="509" w:name="_Toc2107187512"/>
      <w:r>
        <w:rPr>
          <w:rFonts w:hint="eastAsia"/>
          <w:color w:val="auto"/>
          <w:lang w:val="en-US" w:eastAsia="zh-CN"/>
        </w:rPr>
        <w:t>二、</w:t>
      </w:r>
      <w:r>
        <w:rPr>
          <w:rFonts w:hint="eastAsia"/>
          <w:color w:val="auto"/>
        </w:rPr>
        <w:t>慈善实践中的功利化倾向与</w:t>
      </w:r>
      <w:r>
        <w:rPr>
          <w:rFonts w:hint="eastAsia"/>
          <w:color w:val="auto"/>
          <w:lang w:eastAsia="zh-CN"/>
        </w:rPr>
        <w:t>“</w:t>
      </w:r>
      <w:r>
        <w:rPr>
          <w:rFonts w:hint="eastAsia"/>
          <w:color w:val="auto"/>
        </w:rPr>
        <w:t>以慈善传教</w:t>
      </w:r>
      <w:r>
        <w:rPr>
          <w:rFonts w:hint="eastAsia"/>
          <w:color w:val="auto"/>
          <w:lang w:eastAsia="zh-CN"/>
        </w:rPr>
        <w:t>”</w:t>
      </w:r>
      <w:r>
        <w:rPr>
          <w:rFonts w:hint="eastAsia"/>
          <w:color w:val="auto"/>
        </w:rPr>
        <w:t>风险</w:t>
      </w:r>
      <w:bookmarkEnd w:id="501"/>
      <w:bookmarkEnd w:id="502"/>
      <w:bookmarkEnd w:id="503"/>
      <w:bookmarkEnd w:id="504"/>
      <w:bookmarkEnd w:id="505"/>
      <w:bookmarkEnd w:id="506"/>
      <w:bookmarkEnd w:id="507"/>
      <w:bookmarkEnd w:id="508"/>
      <w:bookmarkEnd w:id="509"/>
    </w:p>
    <w:p w14:paraId="2E63F0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bidi w:val="0"/>
        <w:rPr>
          <w:rFonts w:hint="eastAsia"/>
          <w:color w:val="auto"/>
          <w:lang w:val="en-US" w:eastAsia="zh-CN"/>
        </w:rPr>
      </w:pPr>
      <w:bookmarkStart w:id="510" w:name="_Toc773206319"/>
      <w:bookmarkStart w:id="511" w:name="_Toc1098654588"/>
      <w:bookmarkStart w:id="512" w:name="_Toc1721172643"/>
      <w:bookmarkStart w:id="513" w:name="_Toc1313275379"/>
      <w:bookmarkStart w:id="514" w:name="_Toc718854547"/>
      <w:bookmarkStart w:id="515" w:name="_Toc744183275"/>
      <w:bookmarkStart w:id="516" w:name="_Toc214928563"/>
      <w:bookmarkStart w:id="517" w:name="_Toc1786151552"/>
      <w:bookmarkStart w:id="518" w:name="_Toc1347691507"/>
      <w:r>
        <w:rPr>
          <w:rFonts w:hint="eastAsia"/>
          <w:color w:val="auto"/>
          <w:lang w:val="en-US" w:eastAsia="zh-CN"/>
        </w:rPr>
        <w:t>三、</w:t>
      </w:r>
      <w:r>
        <w:rPr>
          <w:rFonts w:hint="eastAsia"/>
          <w:color w:val="auto"/>
        </w:rPr>
        <w:t>融合内容与群众真实需求的结构性脱节</w:t>
      </w:r>
      <w:bookmarkEnd w:id="510"/>
      <w:bookmarkEnd w:id="511"/>
      <w:bookmarkEnd w:id="512"/>
      <w:bookmarkEnd w:id="513"/>
      <w:bookmarkEnd w:id="514"/>
      <w:bookmarkEnd w:id="515"/>
      <w:bookmarkEnd w:id="516"/>
      <w:bookmarkEnd w:id="517"/>
      <w:bookmarkEnd w:id="518"/>
    </w:p>
    <w:p w14:paraId="5BC258B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最后是融合内容与群众需求的脱节。部分宣传材料停留在抽象概念的简单叠加，如将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bidi w:val="0"/>
        <w:rPr>
          <w:rFonts w:hint="eastAsia"/>
          <w:color w:val="auto"/>
          <w:lang w:val="en-US" w:eastAsia="zh-CN"/>
        </w:rPr>
      </w:pPr>
      <w:bookmarkStart w:id="519" w:name="_Toc45373407"/>
      <w:bookmarkStart w:id="520" w:name="_Toc382370987"/>
      <w:bookmarkStart w:id="521" w:name="_Toc236864087"/>
      <w:bookmarkStart w:id="522" w:name="_Toc175233051"/>
      <w:bookmarkStart w:id="523" w:name="_Toc1141133240"/>
      <w:r>
        <w:rPr>
          <w:rFonts w:hint="eastAsia"/>
          <w:color w:val="auto"/>
        </w:rPr>
        <w:t>四、“公正”、“平等”价值在融合实践中的边缘化问题</w:t>
      </w:r>
      <w:bookmarkEnd w:id="519"/>
      <w:bookmarkEnd w:id="520"/>
      <w:bookmarkEnd w:id="521"/>
      <w:bookmarkEnd w:id="522"/>
      <w:bookmarkEnd w:id="523"/>
    </w:p>
    <w:p w14:paraId="3F43D5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值得注意的是，当前基督教界在推进融合工作时，对社会主义核心价值观的理解往往偏重于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等个人道德层面，而对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平等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等社会制度层面的价值关注不足。这种倾向导致融合工作更多停留在慈善公益的道德实践层面，未能充分发挥基督教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行公义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重道德、轻制度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的倾向，不仅限制了融合工作的深度，也使得基督教社会伦理中最具变革潜力的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维度未能得到充分释放。</w:t>
      </w:r>
    </w:p>
    <w:p w14:paraId="51B85303">
      <w:pPr>
        <w:pStyle w:val="3"/>
        <w:bidi w:val="0"/>
        <w:rPr>
          <w:rFonts w:hint="eastAsia"/>
          <w:color w:val="auto"/>
          <w:lang w:val="en-US" w:eastAsia="zh-CN"/>
        </w:rPr>
      </w:pPr>
      <w:bookmarkStart w:id="524" w:name="_Toc543542797"/>
      <w:bookmarkStart w:id="525" w:name="_Toc1238106685"/>
      <w:bookmarkStart w:id="526" w:name="_Toc1023263610"/>
      <w:bookmarkStart w:id="527" w:name="_Toc1015217533"/>
      <w:bookmarkStart w:id="528" w:name="_Toc855055436"/>
      <w:bookmarkStart w:id="529" w:name="_Toc1687512318"/>
      <w:bookmarkStart w:id="530" w:name="_Toc234156764"/>
      <w:bookmarkStart w:id="531" w:name="_Toc941808120"/>
      <w:bookmarkStart w:id="532" w:name="_Toc1997396970"/>
      <w:r>
        <w:rPr>
          <w:rFonts w:hint="eastAsia"/>
          <w:color w:val="auto"/>
          <w:lang w:val="en-US" w:eastAsia="zh-CN"/>
        </w:rPr>
        <w:t xml:space="preserve">第三节 </w:t>
      </w:r>
      <w:r>
        <w:rPr>
          <w:rFonts w:hint="eastAsia"/>
          <w:color w:val="auto"/>
        </w:rPr>
        <w:t>制度层面的保障缺位</w:t>
      </w:r>
      <w:bookmarkEnd w:id="524"/>
      <w:bookmarkEnd w:id="525"/>
      <w:bookmarkEnd w:id="526"/>
      <w:bookmarkEnd w:id="527"/>
      <w:bookmarkEnd w:id="528"/>
      <w:bookmarkEnd w:id="529"/>
      <w:bookmarkEnd w:id="530"/>
      <w:bookmarkEnd w:id="531"/>
      <w:bookmarkEnd w:id="532"/>
    </w:p>
    <w:p w14:paraId="280B9A6B">
      <w:pPr>
        <w:pStyle w:val="4"/>
        <w:bidi w:val="0"/>
        <w:rPr>
          <w:rFonts w:hint="eastAsia"/>
          <w:color w:val="auto"/>
          <w:lang w:val="en-US" w:eastAsia="zh-CN"/>
        </w:rPr>
      </w:pPr>
      <w:bookmarkStart w:id="533" w:name="_Toc1003501716"/>
      <w:bookmarkStart w:id="534" w:name="_Toc2103630775"/>
      <w:bookmarkStart w:id="535" w:name="_Toc1889999012"/>
      <w:bookmarkStart w:id="536" w:name="_Toc2075838488"/>
      <w:bookmarkStart w:id="537" w:name="_Toc1282691244"/>
      <w:bookmarkStart w:id="538" w:name="_Toc942448094"/>
      <w:bookmarkStart w:id="539" w:name="_Toc203002697"/>
      <w:bookmarkStart w:id="540" w:name="_Toc2014594450"/>
      <w:bookmarkStart w:id="541" w:name="_Toc786504886"/>
      <w:r>
        <w:rPr>
          <w:rFonts w:hint="eastAsia"/>
          <w:color w:val="auto"/>
          <w:lang w:val="en-US" w:eastAsia="zh-CN"/>
        </w:rPr>
        <w:t>一、</w:t>
      </w:r>
      <w:r>
        <w:rPr>
          <w:rFonts w:hint="eastAsia"/>
          <w:color w:val="auto"/>
        </w:rPr>
        <w:t>引导机制的不健全与权责模糊</w:t>
      </w:r>
      <w:bookmarkEnd w:id="533"/>
      <w:bookmarkEnd w:id="534"/>
      <w:bookmarkEnd w:id="535"/>
      <w:bookmarkEnd w:id="536"/>
      <w:bookmarkEnd w:id="537"/>
      <w:bookmarkEnd w:id="538"/>
      <w:bookmarkEnd w:id="539"/>
      <w:bookmarkEnd w:id="540"/>
      <w:bookmarkEnd w:id="541"/>
    </w:p>
    <w:p w14:paraId="76805D0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bidi w:val="0"/>
        <w:rPr>
          <w:rFonts w:hint="eastAsia"/>
          <w:color w:val="auto"/>
          <w:lang w:val="en-US" w:eastAsia="zh-CN"/>
        </w:rPr>
      </w:pPr>
      <w:bookmarkStart w:id="542" w:name="_Toc598138654"/>
      <w:bookmarkStart w:id="543" w:name="_Toc1662297043"/>
      <w:bookmarkStart w:id="544" w:name="_Toc1664260921"/>
      <w:bookmarkStart w:id="545" w:name="_Toc1699154864"/>
      <w:bookmarkStart w:id="546" w:name="_Toc2033219233"/>
      <w:bookmarkStart w:id="547" w:name="_Toc1782771907"/>
      <w:bookmarkStart w:id="548" w:name="_Toc1750889322"/>
      <w:bookmarkStart w:id="549" w:name="_Toc2061742548"/>
      <w:bookmarkStart w:id="550" w:name="_Toc1025771717"/>
      <w:r>
        <w:rPr>
          <w:rFonts w:hint="eastAsia"/>
          <w:color w:val="auto"/>
          <w:lang w:val="en-US" w:eastAsia="zh-CN"/>
        </w:rPr>
        <w:t>二、</w:t>
      </w:r>
      <w:r>
        <w:rPr>
          <w:rFonts w:hint="eastAsia"/>
          <w:color w:val="auto"/>
        </w:rPr>
        <w:t>评估监督体系的缺位与指标虚化</w:t>
      </w:r>
      <w:bookmarkEnd w:id="542"/>
      <w:bookmarkEnd w:id="543"/>
      <w:bookmarkEnd w:id="544"/>
      <w:bookmarkEnd w:id="545"/>
      <w:bookmarkEnd w:id="546"/>
      <w:bookmarkEnd w:id="547"/>
      <w:bookmarkEnd w:id="548"/>
      <w:bookmarkEnd w:id="549"/>
      <w:bookmarkEnd w:id="550"/>
    </w:p>
    <w:p w14:paraId="5BD68E1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对违规开展的融合活动也缺乏有效的监管手段，部分教会打着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融合实践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bidi w:val="0"/>
        <w:rPr>
          <w:rFonts w:hint="eastAsia"/>
          <w:color w:val="auto"/>
          <w:lang w:val="en-US" w:eastAsia="zh-CN"/>
        </w:rPr>
      </w:pPr>
      <w:bookmarkStart w:id="551" w:name="_Toc1611637878"/>
      <w:bookmarkStart w:id="552" w:name="_Toc1355598005"/>
      <w:bookmarkStart w:id="553" w:name="_Toc228420013"/>
      <w:bookmarkStart w:id="554" w:name="_Toc545406171"/>
      <w:bookmarkStart w:id="555" w:name="_Toc458261442"/>
      <w:bookmarkStart w:id="556" w:name="_Toc1555857967"/>
      <w:bookmarkStart w:id="557" w:name="_Toc258797072"/>
      <w:bookmarkStart w:id="558" w:name="_Toc2058359891"/>
      <w:bookmarkStart w:id="559" w:name="_Toc146529503"/>
      <w:r>
        <w:rPr>
          <w:rFonts w:hint="eastAsia"/>
          <w:color w:val="auto"/>
          <w:lang w:val="en-US" w:eastAsia="zh-CN"/>
        </w:rPr>
        <w:t>三、</w:t>
      </w:r>
      <w:r>
        <w:rPr>
          <w:rFonts w:hint="eastAsia"/>
          <w:color w:val="auto"/>
        </w:rPr>
        <w:t>基层宗教工作队伍的能力短板与培训缺失</w:t>
      </w:r>
      <w:bookmarkEnd w:id="551"/>
      <w:bookmarkEnd w:id="552"/>
      <w:bookmarkEnd w:id="553"/>
      <w:bookmarkEnd w:id="554"/>
      <w:bookmarkEnd w:id="555"/>
      <w:bookmarkEnd w:id="556"/>
      <w:bookmarkEnd w:id="557"/>
      <w:bookmarkEnd w:id="558"/>
      <w:bookmarkEnd w:id="559"/>
    </w:p>
    <w:p w14:paraId="35168A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因此</w:t>
      </w:r>
      <w:r>
        <w:rPr>
          <w:rFonts w:hint="eastAsia" w:ascii="宋体" w:hAnsi="宋体" w:eastAsia="宋体" w:cs="宋体"/>
          <w:color w:val="auto"/>
          <w:sz w:val="24"/>
          <w:szCs w:val="24"/>
        </w:rPr>
        <w:t>基层宗教工作队伍分层培训</w:t>
      </w:r>
      <w:r>
        <w:rPr>
          <w:rFonts w:hint="eastAsia" w:ascii="宋体" w:hAnsi="宋体" w:eastAsia="宋体" w:cs="宋体"/>
          <w:color w:val="auto"/>
          <w:sz w:val="24"/>
          <w:szCs w:val="24"/>
          <w:lang w:val="en-US" w:eastAsia="zh-CN"/>
        </w:rPr>
        <w:t>就非常的重要，培训的内容可以包括：</w:t>
      </w:r>
      <w:r>
        <w:rPr>
          <w:rFonts w:hint="eastAsia" w:ascii="宋体" w:hAnsi="宋体" w:eastAsia="宋体" w:cs="宋体"/>
          <w:color w:val="auto"/>
          <w:sz w:val="24"/>
          <w:szCs w:val="24"/>
        </w:rPr>
        <w:t>政策理论：中国特色社会主义宗教理论核心要义、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的政策内涵、《宗教事务条例》解读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宗教常识：基督教基本教义概述、仁爱观念的本源与本土化演进、基督教公益慈善的历史传统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价值融合方法：两类价值契合点的梳理技巧、融合活动的策划与实施、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的引导艺术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实操演练：宗教团体公益项目审批流程模拟、讲经内容审核实操、社区融合活动组织演练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最终</w:t>
      </w:r>
      <w:r>
        <w:rPr>
          <w:rFonts w:hint="eastAsia" w:ascii="宋体" w:hAnsi="宋体" w:eastAsia="宋体" w:cs="宋体"/>
          <w:color w:val="auto"/>
          <w:sz w:val="24"/>
          <w:szCs w:val="24"/>
        </w:rPr>
        <w:t>培训评估：采用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理论学习+案例分析+情景模拟+实操考核</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的综合评估方式，确保参训</w:t>
      </w:r>
      <w:r>
        <w:rPr>
          <w:rFonts w:hint="eastAsia" w:ascii="宋体" w:hAnsi="宋体" w:eastAsia="宋体" w:cs="宋体"/>
          <w:color w:val="auto"/>
          <w:sz w:val="24"/>
          <w:szCs w:val="24"/>
          <w:lang w:val="en-US" w:eastAsia="zh-CN"/>
        </w:rPr>
        <w:t>人员</w:t>
      </w:r>
      <w:r>
        <w:rPr>
          <w:rFonts w:hint="eastAsia" w:ascii="宋体" w:hAnsi="宋体" w:eastAsia="宋体" w:cs="宋体"/>
          <w:color w:val="auto"/>
          <w:sz w:val="24"/>
          <w:szCs w:val="24"/>
        </w:rP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不敢管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不愿管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的消极回避，或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简单化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一刀切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的机械执行，使得融合工作难以在基层形成稳定、持续且富有创造性的实践生态。</w:t>
      </w:r>
    </w:p>
    <w:p w14:paraId="3AD24CED">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6BA3EE47">
      <w:pPr>
        <w:pStyle w:val="2"/>
        <w:bidi w:val="0"/>
        <w:rPr>
          <w:rFonts w:hint="eastAsia"/>
          <w:color w:val="auto"/>
          <w:lang w:val="en-US" w:eastAsia="zh-CN"/>
        </w:rPr>
      </w:pPr>
      <w:bookmarkStart w:id="560" w:name="_Toc1181310601"/>
      <w:bookmarkStart w:id="561" w:name="_Toc1501881302"/>
      <w:bookmarkStart w:id="562" w:name="_Toc1543965497"/>
      <w:bookmarkStart w:id="563" w:name="_Toc948003929"/>
      <w:bookmarkStart w:id="564" w:name="_Toc881659012"/>
      <w:bookmarkStart w:id="565" w:name="_Toc586575935"/>
      <w:bookmarkStart w:id="566" w:name="_Toc1123697552"/>
      <w:bookmarkStart w:id="567" w:name="_Toc1040618514"/>
      <w:bookmarkStart w:id="568" w:name="_Toc1705097459"/>
      <w:r>
        <w:rPr>
          <w:rFonts w:hint="eastAsia"/>
          <w:color w:val="auto"/>
          <w:lang w:val="en-US" w:eastAsia="zh-CN"/>
        </w:rPr>
        <w:t>五、</w:t>
      </w:r>
      <w:r>
        <w:rPr>
          <w:rFonts w:hint="eastAsia"/>
          <w:color w:val="auto"/>
        </w:rPr>
        <w:t>基督教仁爱观念与核心价值观的融合途径构建</w:t>
      </w:r>
      <w:bookmarkEnd w:id="560"/>
      <w:bookmarkEnd w:id="561"/>
      <w:bookmarkEnd w:id="562"/>
      <w:bookmarkEnd w:id="563"/>
      <w:bookmarkEnd w:id="564"/>
      <w:bookmarkEnd w:id="565"/>
      <w:bookmarkEnd w:id="566"/>
      <w:bookmarkEnd w:id="567"/>
      <w:bookmarkEnd w:id="568"/>
    </w:p>
    <w:p w14:paraId="746E5CE8">
      <w:pPr>
        <w:pStyle w:val="3"/>
        <w:bidi w:val="0"/>
        <w:rPr>
          <w:rFonts w:hint="eastAsia"/>
          <w:color w:val="auto"/>
          <w:lang w:val="en-US" w:eastAsia="zh-CN"/>
        </w:rPr>
      </w:pPr>
      <w:bookmarkStart w:id="569" w:name="_Toc405850384"/>
      <w:bookmarkStart w:id="570" w:name="_Toc800954492"/>
      <w:bookmarkStart w:id="571" w:name="_Toc1631799815"/>
      <w:bookmarkStart w:id="572" w:name="_Toc1013564746"/>
      <w:bookmarkStart w:id="573" w:name="_Toc1383201378"/>
      <w:bookmarkStart w:id="574" w:name="_Toc920857610"/>
      <w:bookmarkStart w:id="575" w:name="_Toc596255876"/>
      <w:bookmarkStart w:id="576" w:name="_Toc568543630"/>
      <w:bookmarkStart w:id="577" w:name="_Toc1551207845"/>
      <w:r>
        <w:rPr>
          <w:rFonts w:hint="eastAsia"/>
          <w:color w:val="auto"/>
          <w:lang w:val="en-US" w:eastAsia="zh-CN"/>
        </w:rPr>
        <w:t xml:space="preserve">第一节 </w:t>
      </w:r>
      <w:r>
        <w:rPr>
          <w:rFonts w:hint="eastAsia"/>
          <w:color w:val="auto"/>
        </w:rPr>
        <w:t>教义阐释维度：构建本土化、时代化的仁爱话语体系</w:t>
      </w:r>
      <w:bookmarkEnd w:id="569"/>
      <w:bookmarkEnd w:id="570"/>
      <w:bookmarkEnd w:id="571"/>
      <w:bookmarkEnd w:id="572"/>
      <w:bookmarkEnd w:id="573"/>
      <w:bookmarkEnd w:id="574"/>
      <w:bookmarkEnd w:id="575"/>
      <w:bookmarkEnd w:id="576"/>
      <w:bookmarkEnd w:id="577"/>
    </w:p>
    <w:p w14:paraId="7907FF9B">
      <w:pPr>
        <w:pStyle w:val="4"/>
        <w:bidi w:val="0"/>
        <w:rPr>
          <w:rFonts w:hint="eastAsia"/>
          <w:color w:val="auto"/>
          <w:lang w:val="en-US" w:eastAsia="zh-CN"/>
        </w:rPr>
      </w:pPr>
      <w:bookmarkStart w:id="578" w:name="_Toc2086690988"/>
      <w:bookmarkStart w:id="579" w:name="_Toc1214647648"/>
      <w:bookmarkStart w:id="580" w:name="_Toc719341016"/>
      <w:bookmarkStart w:id="581" w:name="_Toc1113811030"/>
      <w:bookmarkStart w:id="582" w:name="_Toc1142398018"/>
      <w:bookmarkStart w:id="583" w:name="_Toc145834868"/>
      <w:bookmarkStart w:id="584" w:name="_Toc955081271"/>
      <w:bookmarkStart w:id="585" w:name="_Toc1358043907"/>
      <w:bookmarkStart w:id="586" w:name="_Toc698776335"/>
      <w:r>
        <w:rPr>
          <w:rFonts w:hint="eastAsia"/>
          <w:color w:val="auto"/>
          <w:lang w:val="en-US" w:eastAsia="zh-CN"/>
        </w:rPr>
        <w:t>一、</w:t>
      </w:r>
      <w:r>
        <w:rPr>
          <w:rFonts w:hint="eastAsia"/>
          <w:color w:val="auto"/>
          <w:lang w:eastAsia="zh-CN"/>
        </w:rPr>
        <w:t>“</w:t>
      </w:r>
      <w:r>
        <w:rPr>
          <w:rFonts w:hint="eastAsia"/>
          <w:color w:val="auto"/>
        </w:rPr>
        <w:t>以儒释耶</w:t>
      </w:r>
      <w:r>
        <w:rPr>
          <w:rFonts w:hint="eastAsia"/>
          <w:color w:val="auto"/>
          <w:lang w:eastAsia="zh-CN"/>
        </w:rPr>
        <w:t>”</w:t>
      </w:r>
      <w:r>
        <w:rPr>
          <w:rFonts w:hint="eastAsia"/>
          <w:color w:val="auto"/>
        </w:rPr>
        <w:t>的当代创新：从利玛窦到新时代</w:t>
      </w:r>
      <w:bookmarkEnd w:id="578"/>
      <w:bookmarkEnd w:id="579"/>
      <w:bookmarkEnd w:id="580"/>
      <w:bookmarkEnd w:id="581"/>
      <w:bookmarkEnd w:id="582"/>
      <w:bookmarkEnd w:id="583"/>
      <w:bookmarkEnd w:id="584"/>
      <w:bookmarkEnd w:id="585"/>
      <w:bookmarkEnd w:id="586"/>
    </w:p>
    <w:p w14:paraId="60487D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化解认知层面的壁垒，首先需要从教义阐释入手。基督教仁爱观念在中国社会的传播，历来伴随着与本土文化的对话。明清之际，利玛窦以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上帝</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Deus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当代的教义阐释工作，需要在延续这一传统的基础上，回应当代中国社会的公共伦理语境。具体而言，宗教团体在讲经布道中，可以尝试将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与社会主义核心价值观公民层面的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进行对接。这种对接不是概念替换，而是在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的儒家伦理框架中，重新阐释基督教爱之诫命的实践意涵。</w:t>
      </w:r>
    </w:p>
    <w:p w14:paraId="620E63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人才的培养目标出发，这种教义诠释创新要求宗教界骨干人才具备深厚的中华优秀传统文化素养和扎实的神学功底，能够自觉且主动地从中华优秀传统文化中汲取精华，将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讲仁爱、尚和合、重民本、求大同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等价值理念融入宗教经典教义诠释。</w:t>
      </w:r>
      <w:r>
        <w:rPr>
          <w:rStyle w:val="29"/>
          <w:rFonts w:hint="eastAsia" w:ascii="宋体" w:hAnsi="宋体" w:eastAsia="宋体" w:cs="宋体"/>
          <w:color w:val="auto"/>
          <w:sz w:val="24"/>
          <w:szCs w:val="24"/>
        </w:rPr>
        <w:footnoteReference w:id="82"/>
      </w:r>
      <w:r>
        <w:rPr>
          <w:rFonts w:hint="eastAsia" w:ascii="宋体" w:hAnsi="宋体" w:eastAsia="宋体" w:cs="宋体"/>
          <w:color w:val="auto"/>
          <w:sz w:val="24"/>
          <w:szCs w:val="24"/>
        </w:rPr>
        <w:t xml:space="preserve"> 例如，在阐释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时，可以引入儒家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己欲立而立人，己欲达而达人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（《论语·雍也》）的忠恕之道，说明基督教之爱与儒家之仁在实践伦理层面的相通性；在阐释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爱仇敌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时，可以结合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以德报怨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的中华传统智慧，赋予其更具中国文化气质的表达方式。</w:t>
      </w:r>
    </w:p>
    <w:p w14:paraId="0A990621">
      <w:pPr>
        <w:pStyle w:val="4"/>
        <w:bidi w:val="0"/>
        <w:rPr>
          <w:rFonts w:hint="eastAsia"/>
          <w:color w:val="auto"/>
        </w:rPr>
      </w:pPr>
      <w:bookmarkStart w:id="587" w:name="_Toc1779006949"/>
      <w:bookmarkStart w:id="588" w:name="_Toc1758144019"/>
      <w:bookmarkStart w:id="589" w:name="_Toc207030311"/>
      <w:bookmarkStart w:id="590" w:name="_Toc459996159"/>
      <w:bookmarkStart w:id="591" w:name="_Toc1779684346"/>
      <w:bookmarkStart w:id="592" w:name="_Toc767785249"/>
      <w:bookmarkStart w:id="593" w:name="_Toc603471554"/>
      <w:bookmarkStart w:id="594" w:name="_Toc1187744633"/>
      <w:bookmarkStart w:id="595" w:name="_Toc1893280549"/>
      <w:r>
        <w:rPr>
          <w:rFonts w:hint="eastAsia"/>
          <w:color w:val="auto"/>
          <w:lang w:val="en-US" w:eastAsia="zh-CN"/>
        </w:rPr>
        <w:t>二、</w:t>
      </w:r>
      <w:r>
        <w:rPr>
          <w:rFonts w:hint="eastAsia"/>
          <w:color w:val="auto"/>
        </w:rPr>
        <w:t>Agape与</w:t>
      </w:r>
      <w:r>
        <w:rPr>
          <w:rFonts w:hint="eastAsia"/>
          <w:color w:val="auto"/>
          <w:lang w:eastAsia="zh-CN"/>
        </w:rPr>
        <w:t>“</w:t>
      </w:r>
      <w:r>
        <w:rPr>
          <w:rFonts w:hint="eastAsia"/>
          <w:color w:val="auto"/>
        </w:rPr>
        <w:t>仁</w:t>
      </w:r>
      <w:r>
        <w:rPr>
          <w:rFonts w:hint="eastAsia"/>
          <w:color w:val="auto"/>
          <w:lang w:eastAsia="zh-CN"/>
        </w:rPr>
        <w:t>”</w:t>
      </w:r>
      <w:r>
        <w:rPr>
          <w:rFonts w:hint="eastAsia"/>
          <w:color w:val="auto"/>
        </w:rPr>
        <w:t>的创造性对接：差序与普遍的辩证统一</w:t>
      </w:r>
      <w:bookmarkEnd w:id="587"/>
      <w:bookmarkEnd w:id="588"/>
      <w:bookmarkEnd w:id="589"/>
      <w:bookmarkEnd w:id="590"/>
      <w:bookmarkEnd w:id="591"/>
      <w:bookmarkEnd w:id="592"/>
      <w:bookmarkEnd w:id="593"/>
      <w:bookmarkEnd w:id="594"/>
      <w:bookmarkEnd w:id="595"/>
    </w:p>
    <w:p w14:paraId="377FAB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方案，核心在于将儒家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的差序推扩逻辑与基督教Agape的普遍主义进行辩证统一，形成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w:t>
      </w:r>
    </w:p>
    <w:p w14:paraId="3EEE96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第一层：家国情怀（爱家爱国）。儒家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孝悌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为根基，由亲亲而仁民，由仁民而爱物。基督教Agape虽然强调普遍性，但在《圣经》中同样重视家庭伦理（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当孝敬父母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，《出埃及记》20:12）。当代教义阐释可以将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衔接，论证基督徒爱国爱教的一致性：爱上帝要求信徒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在上有权柄的，人人当顺服他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（罗13:1），而在中国语境中，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顺服权柄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具体化为拥护中国共产党的领导、热爱社会主义祖国。</w:t>
      </w:r>
    </w:p>
    <w:p w14:paraId="0F021C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第二层：社区互助（爱人如己）。这是融合实践的核心层面。儒家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在社区层面表现为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邻里守望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敦亲睦邻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，基督教Agape则表现为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式的邻人关爱。二者可以在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社区共同体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概念中实现对接：基督徒参与社区养老、困境儿童帮扶，既是践行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，也是实现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w:t>
      </w:r>
    </w:p>
    <w:p w14:paraId="70DA617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第三层：人类关怀（博爱大同）。儒家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万人得救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的普世关怀可以在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人类命运共同体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理念中实现对接。这种诠释既保留了基督教Agape的终极关怀，又赋予其鲜明的中国气派。</w:t>
      </w:r>
    </w:p>
    <w:p w14:paraId="0BB8AA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这种三层结构不是对基督教教义的篡改，而是“处境化诠释”（contextual hermeneutics）的必然要求。正如Schreiter所言，本土神学建构需要在本土经验中“重新发现”福音的意义，而非将外来意义“强加”于本土经验。 2023年《纲要》明确提出“以社会主义核心价值观为引领，用中华优秀传统文化浸润”，这一政策要求为“Agape与‘仁’的创造性对接”提供了制度支撑。</w:t>
      </w:r>
    </w:p>
    <w:p w14:paraId="522CDC5F">
      <w:pPr>
        <w:pStyle w:val="4"/>
        <w:bidi w:val="0"/>
        <w:rPr>
          <w:rFonts w:hint="eastAsia"/>
          <w:color w:val="auto"/>
        </w:rPr>
      </w:pPr>
      <w:bookmarkStart w:id="596" w:name="_Toc1899028260"/>
      <w:bookmarkStart w:id="597" w:name="_Toc2084928767"/>
      <w:bookmarkStart w:id="598" w:name="_Toc1002567806"/>
      <w:bookmarkStart w:id="599" w:name="_Toc354974662"/>
      <w:bookmarkStart w:id="600" w:name="_Toc634928837"/>
      <w:bookmarkStart w:id="601" w:name="_Toc214315113"/>
      <w:bookmarkStart w:id="602" w:name="_Toc2128626944"/>
      <w:bookmarkStart w:id="603" w:name="_Toc1563547966"/>
      <w:bookmarkStart w:id="604" w:name="_Toc1100989444"/>
      <w:r>
        <w:rPr>
          <w:rFonts w:hint="eastAsia"/>
          <w:color w:val="auto"/>
          <w:lang w:val="en-US" w:eastAsia="zh-CN"/>
        </w:rPr>
        <w:t>三、</w:t>
      </w:r>
      <w:r>
        <w:rPr>
          <w:rFonts w:hint="eastAsia"/>
          <w:color w:val="auto"/>
        </w:rPr>
        <w:t>浙江神学院神学思想建设的实践引领</w:t>
      </w:r>
      <w:bookmarkEnd w:id="596"/>
      <w:bookmarkEnd w:id="597"/>
      <w:bookmarkEnd w:id="598"/>
      <w:bookmarkEnd w:id="599"/>
      <w:bookmarkEnd w:id="600"/>
      <w:bookmarkEnd w:id="601"/>
      <w:bookmarkEnd w:id="602"/>
      <w:bookmarkEnd w:id="603"/>
      <w:bookmarkEnd w:id="604"/>
    </w:p>
    <w:p w14:paraId="12B1D3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为谁培养人、培养什么人、怎样培养人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三个基本问题开展教育教学工作，推动特色教育多元融合，实行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爱心培养理念、提倡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五能精品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教学、开展课外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生命操守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教育、创建实习实践基地等。</w:t>
      </w:r>
    </w:p>
    <w:p w14:paraId="72297EE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爱心培养理念将知识传授、品格塑造、能力培养、社会实践融为一体，强调神学教育不仅要培养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宗教上有造诣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的人才，更要培养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政治上靠得住、品德上能服众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的复合型人才。这一理念与社会主义核心价值观的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敬业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等公民层面要求高度契合，为教义诠释创新提供了教育机制保障。</w:t>
      </w:r>
    </w:p>
    <w:p w14:paraId="6C08F0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浙江神学院还定期举办神学思想建设研讨会。2019年12月，浙江省基督教两会在浙江神学院举办</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基督教中国化神学思想建设第十九次研讨会暨浙江神学院三十五周年感恩活动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，研讨会以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基督教促进社会主义经济发展作贡献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为主题，探讨了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马太效应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的积极运用、敬业精神的神学基础、社会主要矛盾变化对基督教的考验等议题。</w:t>
      </w:r>
      <w:r>
        <w:rPr>
          <w:rStyle w:val="29"/>
          <w:rFonts w:hint="eastAsia" w:ascii="宋体" w:hAnsi="宋体" w:eastAsia="宋体" w:cs="宋体"/>
          <w:color w:val="auto"/>
          <w:sz w:val="24"/>
          <w:szCs w:val="24"/>
        </w:rPr>
        <w:footnoteReference w:id="83"/>
      </w:r>
      <w:r>
        <w:rPr>
          <w:rFonts w:hint="eastAsia" w:ascii="宋体" w:hAnsi="宋体" w:eastAsia="宋体" w:cs="宋体"/>
          <w:color w:val="auto"/>
          <w:sz w:val="24"/>
          <w:szCs w:val="24"/>
        </w:rP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Fonts w:hint="eastAsia" w:ascii="宋体" w:hAnsi="宋体" w:eastAsia="宋体" w:cs="宋体"/>
          <w:color w:val="auto"/>
          <w:sz w:val="24"/>
          <w:szCs w:val="24"/>
        </w:rPr>
        <w:footnoteReference w:id="84"/>
      </w:r>
    </w:p>
    <w:p w14:paraId="50BCD33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张忠成牧师在研讨会上以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基督教伦理与社会主义核心价值观之刍议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为题发言，直接论证了基督教伦理与核心价值观的契合性。</w:t>
      </w:r>
      <w:r>
        <w:rPr>
          <w:rStyle w:val="29"/>
          <w:rFonts w:hint="eastAsia" w:ascii="宋体" w:hAnsi="宋体" w:eastAsia="宋体" w:cs="宋体"/>
          <w:color w:val="auto"/>
          <w:sz w:val="24"/>
          <w:szCs w:val="24"/>
        </w:rPr>
        <w:footnoteReference w:id="85"/>
      </w:r>
      <w:r>
        <w:rPr>
          <w:rFonts w:hint="eastAsia" w:ascii="宋体" w:hAnsi="宋体" w:eastAsia="宋体" w:cs="宋体"/>
          <w:color w:val="auto"/>
          <w:sz w:val="24"/>
          <w:szCs w:val="24"/>
        </w:rPr>
        <w:t xml:space="preserve"> 这种由宗教界代表人士主动发起的价值对话，比外部强加的政策宣讲更具说服力，是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转化效果的典型体现。</w:t>
      </w:r>
    </w:p>
    <w:p w14:paraId="1A88C95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的概念从教内兄弟拓展到社区同胞乃至全体人民。</w:t>
      </w:r>
    </w:p>
    <w:p w14:paraId="520AF0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Fonts w:hint="eastAsia" w:ascii="宋体" w:hAnsi="宋体" w:eastAsia="宋体" w:cs="宋体"/>
          <w:color w:val="auto"/>
          <w:sz w:val="24"/>
          <w:szCs w:val="24"/>
        </w:rPr>
        <w:footnoteReference w:id="86"/>
      </w:r>
    </w:p>
    <w:p w14:paraId="218A2C2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为增强教义阐释的可操作性，本文提供以下讲经讲道示范框架。以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绵羊与山羊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寓言（太25:31-46）为例，传统讲道侧重于末日审判的神学含义，在社会主义核心价值观引领下的处境化诠释中，可将讲道重心转向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给最小的弟兄做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的实践伦理：</w:t>
      </w:r>
      <w:r>
        <w:rPr>
          <w:rFonts w:hint="eastAsia" w:ascii="宋体" w:hAnsi="宋体" w:eastAsia="宋体" w:cs="宋体"/>
          <w:color w:val="auto"/>
          <w:sz w:val="24"/>
          <w:szCs w:val="24"/>
          <w:lang w:val="en-US" w:eastAsia="zh-CN"/>
        </w:rPr>
        <w:t>如讲道</w:t>
      </w:r>
      <w:r>
        <w:rPr>
          <w:rFonts w:hint="eastAsia" w:ascii="宋体" w:hAnsi="宋体" w:eastAsia="宋体" w:cs="宋体"/>
          <w:color w:val="auto"/>
          <w:sz w:val="24"/>
          <w:szCs w:val="24"/>
        </w:rPr>
        <w:t>主题：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价值的信仰实践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采用</w:t>
      </w:r>
      <w:r>
        <w:rPr>
          <w:rFonts w:hint="eastAsia" w:ascii="宋体" w:hAnsi="宋体" w:eastAsia="宋体" w:cs="宋体"/>
          <w:color w:val="auto"/>
          <w:sz w:val="24"/>
          <w:szCs w:val="24"/>
        </w:rPr>
        <w:t>经文：《马太福音》22:37-39</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最大的诫命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第一点</w:t>
      </w:r>
      <w:r>
        <w:rPr>
          <w:rFonts w:hint="eastAsia" w:ascii="宋体" w:hAnsi="宋体" w:eastAsia="宋体" w:cs="宋体"/>
          <w:color w:val="auto"/>
          <w:sz w:val="24"/>
          <w:szCs w:val="24"/>
        </w:rPr>
        <w:t>：爱神与爱国的统一。引用《罗马书》13:1关于顺服权柄的教导，论证在当代中国语境中爱国爱教的一致性——顺服权柄具体化为拥护党的领导和热爱社会主义祖国。可结合浙江神学院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品格塑造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的要求，说明基督徒的爱国情怀是信仰的自然延伸。</w:t>
      </w:r>
      <w:r>
        <w:rPr>
          <w:rFonts w:hint="eastAsia" w:ascii="宋体" w:hAnsi="宋体" w:eastAsia="宋体" w:cs="宋体"/>
          <w:color w:val="auto"/>
          <w:sz w:val="24"/>
          <w:szCs w:val="24"/>
          <w:lang w:val="en-US" w:eastAsia="zh-CN"/>
        </w:rPr>
        <w:t>第二点：</w:t>
      </w:r>
      <w:r>
        <w:rPr>
          <w:rFonts w:hint="eastAsia" w:ascii="宋体" w:hAnsi="宋体" w:eastAsia="宋体" w:cs="宋体"/>
          <w:color w:val="auto"/>
          <w:sz w:val="24"/>
          <w:szCs w:val="24"/>
        </w:rPr>
        <w:t>爱人如己与友善价值的对接。将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与社会主义核心价值观公民层面的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进行对照。引用《论语》中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的忠恕之道，说明基督教之爱与儒家之仁在实践伦理层面的相通性。结合浙江光盐爱心基金会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光盐助学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项目的具体案例，说明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如何在当代转化为对弱势群体的实际关怀。第三</w:t>
      </w:r>
      <w:r>
        <w:rPr>
          <w:rFonts w:hint="eastAsia" w:ascii="宋体" w:hAnsi="宋体" w:eastAsia="宋体" w:cs="宋体"/>
          <w:color w:val="auto"/>
          <w:sz w:val="24"/>
          <w:szCs w:val="24"/>
          <w:lang w:val="en-US" w:eastAsia="zh-CN"/>
        </w:rPr>
        <w:t>点</w:t>
      </w:r>
      <w:r>
        <w:rPr>
          <w:rFonts w:hint="eastAsia" w:ascii="宋体" w:hAnsi="宋体" w:eastAsia="宋体" w:cs="宋体"/>
          <w:color w:val="auto"/>
          <w:sz w:val="24"/>
          <w:szCs w:val="24"/>
        </w:rPr>
        <w:t>：从社区互助到社会和谐。引用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寓言（路10:25-37），论证基督徒参与社区养老、困境儿童帮扶既是践行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，也是实现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价值。结合杭州圣爱康复医院的社区服务实践，说明信仰如何转化为具体的社会服务行动。</w:t>
      </w:r>
    </w:p>
    <w:p w14:paraId="1E9C7281">
      <w:pPr>
        <w:pStyle w:val="3"/>
        <w:bidi w:val="0"/>
        <w:rPr>
          <w:rFonts w:hint="eastAsia"/>
          <w:color w:val="auto"/>
          <w:lang w:val="en-US" w:eastAsia="zh-CN"/>
        </w:rPr>
      </w:pPr>
      <w:bookmarkStart w:id="605" w:name="_Toc402721516"/>
      <w:bookmarkStart w:id="606" w:name="_Toc1000421080"/>
      <w:bookmarkStart w:id="607" w:name="_Toc907118870"/>
      <w:bookmarkStart w:id="608" w:name="_Toc349572868"/>
      <w:bookmarkStart w:id="609" w:name="_Toc664028172"/>
      <w:bookmarkStart w:id="610" w:name="_Toc902972435"/>
      <w:bookmarkStart w:id="611" w:name="_Toc1066004106"/>
      <w:bookmarkStart w:id="612" w:name="_Toc1940759870"/>
      <w:bookmarkStart w:id="613" w:name="_Toc1610482756"/>
      <w:r>
        <w:rPr>
          <w:rFonts w:hint="eastAsia"/>
          <w:color w:val="auto"/>
          <w:lang w:val="en-US" w:eastAsia="zh-CN"/>
        </w:rPr>
        <w:t xml:space="preserve">第二节 </w:t>
      </w:r>
      <w:r>
        <w:rPr>
          <w:rFonts w:hint="eastAsia"/>
          <w:color w:val="auto"/>
        </w:rPr>
        <w:t>教育引导维度：</w:t>
      </w:r>
      <w:r>
        <w:rPr>
          <w:rFonts w:hint="eastAsia"/>
          <w:color w:val="auto"/>
          <w:lang w:eastAsia="zh-CN"/>
        </w:rPr>
        <w:t>“</w:t>
      </w:r>
      <w:r>
        <w:rPr>
          <w:rFonts w:hint="eastAsia"/>
          <w:color w:val="auto"/>
        </w:rPr>
        <w:t>润物细无声</w:t>
      </w:r>
      <w:r>
        <w:rPr>
          <w:rFonts w:hint="eastAsia"/>
          <w:color w:val="auto"/>
          <w:lang w:eastAsia="zh-CN"/>
        </w:rPr>
        <w:t>”</w:t>
      </w:r>
      <w:r>
        <w:rPr>
          <w:rFonts w:hint="eastAsia"/>
          <w:color w:val="auto"/>
        </w:rPr>
        <w:t>的价值浸润机制</w:t>
      </w:r>
      <w:bookmarkEnd w:id="605"/>
      <w:bookmarkEnd w:id="606"/>
      <w:bookmarkEnd w:id="607"/>
      <w:bookmarkEnd w:id="608"/>
      <w:bookmarkEnd w:id="609"/>
      <w:bookmarkEnd w:id="610"/>
      <w:bookmarkEnd w:id="611"/>
      <w:bookmarkEnd w:id="612"/>
      <w:bookmarkEnd w:id="613"/>
    </w:p>
    <w:p w14:paraId="17C94084">
      <w:pPr>
        <w:pStyle w:val="4"/>
        <w:bidi w:val="0"/>
        <w:rPr>
          <w:rFonts w:hint="eastAsia"/>
          <w:color w:val="auto"/>
          <w:lang w:val="en-US" w:eastAsia="zh-CN"/>
        </w:rPr>
      </w:pPr>
      <w:bookmarkStart w:id="614" w:name="_Toc2138265343"/>
      <w:bookmarkStart w:id="615" w:name="_Toc960438037"/>
      <w:bookmarkStart w:id="616" w:name="_Toc1819547715"/>
      <w:bookmarkStart w:id="617" w:name="_Toc1996456992"/>
      <w:bookmarkStart w:id="618" w:name="_Toc1427619197"/>
      <w:bookmarkStart w:id="619" w:name="_Toc2022426268"/>
      <w:bookmarkStart w:id="620" w:name="_Toc1903417931"/>
      <w:bookmarkStart w:id="621" w:name="_Toc222020807"/>
      <w:bookmarkStart w:id="622" w:name="_Toc499793304"/>
      <w:r>
        <w:rPr>
          <w:rFonts w:hint="eastAsia"/>
          <w:color w:val="auto"/>
          <w:lang w:val="en-US" w:eastAsia="zh-CN"/>
        </w:rPr>
        <w:t>一、</w:t>
      </w:r>
      <w:r>
        <w:rPr>
          <w:rFonts w:hint="eastAsia"/>
          <w:color w:val="auto"/>
        </w:rPr>
        <w:t>分层分类的</w:t>
      </w:r>
      <w:r>
        <w:rPr>
          <w:rFonts w:hint="eastAsia"/>
          <w:color w:val="auto"/>
          <w:lang w:eastAsia="zh-CN"/>
        </w:rPr>
        <w:t>“</w:t>
      </w:r>
      <w:r>
        <w:rPr>
          <w:rFonts w:hint="eastAsia"/>
          <w:color w:val="auto"/>
        </w:rPr>
        <w:t>浸润式</w:t>
      </w:r>
      <w:r>
        <w:rPr>
          <w:rFonts w:hint="eastAsia"/>
          <w:color w:val="auto"/>
          <w:lang w:eastAsia="zh-CN"/>
        </w:rPr>
        <w:t>”</w:t>
      </w:r>
      <w:r>
        <w:rPr>
          <w:rFonts w:hint="eastAsia"/>
          <w:color w:val="auto"/>
        </w:rPr>
        <w:t>教育策略</w:t>
      </w:r>
      <w:bookmarkEnd w:id="614"/>
      <w:bookmarkEnd w:id="615"/>
      <w:bookmarkEnd w:id="616"/>
      <w:bookmarkEnd w:id="617"/>
      <w:bookmarkEnd w:id="618"/>
      <w:bookmarkEnd w:id="619"/>
      <w:bookmarkEnd w:id="620"/>
      <w:bookmarkEnd w:id="621"/>
      <w:bookmarkEnd w:id="622"/>
    </w:p>
    <w:p w14:paraId="592599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教义阐释的深化，需要与教育引导相互配合。有效的价值教育，必须考虑受众的文化背景与接受习惯，避免将官方话语生硬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编码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后强加于信众，导致其采取对抗式解码。</w:t>
      </w:r>
    </w:p>
    <w:p w14:paraId="7A8FA6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互助</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的内涵与基督教仁爱观念的世俗化表达自然结合。</w:t>
      </w:r>
    </w:p>
    <w:p w14:paraId="669C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的价值引领艺术——不是强制灌输，而是根据受众特点精准施教，使核心价值观的接纳成为信众的内在自觉而非外在压力。</w:t>
      </w:r>
    </w:p>
    <w:p w14:paraId="2A5EE90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为增强教育引导的可操作性，</w:t>
      </w:r>
      <w:r>
        <w:rPr>
          <w:rFonts w:hint="eastAsia" w:ascii="宋体" w:hAnsi="宋体" w:eastAsia="宋体" w:cs="宋体"/>
          <w:color w:val="auto"/>
          <w:sz w:val="24"/>
          <w:szCs w:val="24"/>
          <w:lang w:val="en-US" w:eastAsia="zh-CN"/>
        </w:rPr>
        <w:t>可以</w:t>
      </w:r>
      <w:r>
        <w:rPr>
          <w:rFonts w:hint="eastAsia" w:ascii="宋体" w:hAnsi="宋体" w:eastAsia="宋体" w:cs="宋体"/>
          <w:color w:val="auto"/>
          <w:sz w:val="24"/>
          <w:szCs w:val="24"/>
        </w:rPr>
        <w:t>设计以下的课程方案：《基督教仁爱精神与中国文化的对话》</w:t>
      </w:r>
    </w:p>
    <w:p w14:paraId="0DE2BDA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第一讲：从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——两种仁爱传统的相遇（导论）</w:t>
      </w:r>
    </w:p>
    <w:p w14:paraId="5E5900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第二讲：《圣经》中的慈善传统与中国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扶贫济困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w:t>
      </w:r>
    </w:p>
    <w:p w14:paraId="230305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第三讲：浙江基督教本土化历史——从倪柝声到当代三自</w:t>
      </w:r>
    </w:p>
    <w:p w14:paraId="7167CB7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第四讲：儒家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己所不欲，勿施于人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金规则</w:t>
      </w:r>
      <w:r>
        <w:rPr>
          <w:rFonts w:hint="eastAsia" w:ascii="宋体" w:hAnsi="宋体" w:eastAsia="宋体" w:cs="宋体"/>
          <w:color w:val="auto"/>
          <w:sz w:val="24"/>
          <w:szCs w:val="24"/>
          <w:lang w:eastAsia="zh-CN"/>
        </w:rPr>
        <w:t>”</w:t>
      </w:r>
    </w:p>
    <w:p w14:paraId="00262B1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第五讲：公益慈善中的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去标识化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原则——以光盐爱心基金会为例</w:t>
      </w:r>
    </w:p>
    <w:p w14:paraId="3003016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第六讲：基督徒的公民责任与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p>
    <w:p w14:paraId="1728C7D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第七讲：社区服务实践——走进圣爱康复医院</w:t>
      </w:r>
    </w:p>
    <w:p w14:paraId="0D925928">
      <w:pPr>
        <w:pageBreakBefore w:val="0"/>
        <w:kinsoku/>
        <w:wordWrap/>
        <w:overflowPunct/>
        <w:topLinePunct w:val="0"/>
        <w:autoSpaceDE/>
        <w:autoSpaceDN/>
        <w:bidi w:val="0"/>
        <w:adjustRightInd w:val="0"/>
        <w:snapToGrid w:val="0"/>
        <w:spacing w:after="120" w:line="360" w:lineRule="auto"/>
        <w:ind w:left="240" w:leftChars="100" w:firstLine="240" w:firstLineChars="1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第八讲：总结与分享——我如何在日常生活中践行仁爱</w:t>
      </w:r>
    </w:p>
    <w:p w14:paraId="49F5A8E7">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教学方法：采用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经典阅读+案例讨论+实践体验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评估方式：采用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学习心得+实践报告+同伴互评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的综合评估方式，避免考试式的知识检测，注重价值内化与行为转化。</w:t>
      </w:r>
    </w:p>
    <w:p w14:paraId="032EEBCC">
      <w:pPr>
        <w:pStyle w:val="4"/>
        <w:bidi w:val="0"/>
        <w:rPr>
          <w:rFonts w:hint="eastAsia"/>
          <w:color w:val="auto"/>
          <w:lang w:val="en-US" w:eastAsia="zh-CN"/>
        </w:rPr>
      </w:pPr>
      <w:bookmarkStart w:id="623" w:name="_Toc547121560"/>
      <w:bookmarkStart w:id="624" w:name="_Toc1828760605"/>
      <w:bookmarkStart w:id="625" w:name="_Toc1594997007"/>
      <w:bookmarkStart w:id="626" w:name="_Toc971312725"/>
      <w:bookmarkStart w:id="627" w:name="_Toc20680169"/>
      <w:bookmarkStart w:id="628" w:name="_Toc161056048"/>
      <w:bookmarkStart w:id="629" w:name="_Toc1834270903"/>
      <w:bookmarkStart w:id="630" w:name="_Toc1324608410"/>
      <w:bookmarkStart w:id="631" w:name="_Toc1217516911"/>
      <w:r>
        <w:rPr>
          <w:rFonts w:hint="eastAsia"/>
          <w:color w:val="auto"/>
          <w:lang w:val="en-US" w:eastAsia="zh-CN"/>
        </w:rPr>
        <w:t>二、</w:t>
      </w:r>
      <w:r>
        <w:rPr>
          <w:rFonts w:hint="eastAsia"/>
          <w:color w:val="auto"/>
        </w:rPr>
        <w:t>面向普通群众的认知科普与话语转换</w:t>
      </w:r>
      <w:bookmarkEnd w:id="623"/>
      <w:bookmarkEnd w:id="624"/>
      <w:bookmarkEnd w:id="625"/>
      <w:bookmarkEnd w:id="626"/>
      <w:bookmarkEnd w:id="627"/>
      <w:bookmarkEnd w:id="628"/>
      <w:bookmarkEnd w:id="629"/>
      <w:bookmarkEnd w:id="630"/>
      <w:bookmarkEnd w:id="631"/>
    </w:p>
    <w:p w14:paraId="489A03B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bidi w:val="0"/>
        <w:rPr>
          <w:rFonts w:hint="eastAsia"/>
          <w:color w:val="auto"/>
          <w:lang w:val="en-US" w:eastAsia="zh-CN"/>
        </w:rPr>
      </w:pPr>
      <w:bookmarkStart w:id="632" w:name="_Toc1826733216"/>
      <w:bookmarkStart w:id="633" w:name="_Toc2094566113"/>
      <w:bookmarkStart w:id="634" w:name="_Toc1463314036"/>
      <w:bookmarkStart w:id="635" w:name="_Toc76331148"/>
      <w:bookmarkStart w:id="636" w:name="_Toc1193532371"/>
      <w:bookmarkStart w:id="637" w:name="_Toc1039603516"/>
      <w:bookmarkStart w:id="638" w:name="_Toc1829768228"/>
      <w:bookmarkStart w:id="639" w:name="_Toc1878062068"/>
      <w:bookmarkStart w:id="640" w:name="_Toc1582534561"/>
      <w:r>
        <w:rPr>
          <w:rFonts w:hint="eastAsia"/>
          <w:color w:val="auto"/>
          <w:lang w:val="en-US" w:eastAsia="zh-CN"/>
        </w:rPr>
        <w:t>三、</w:t>
      </w:r>
      <w:r>
        <w:rPr>
          <w:rFonts w:hint="eastAsia"/>
          <w:color w:val="auto"/>
        </w:rPr>
        <w:t>融合型文化载体的创新设计</w:t>
      </w:r>
      <w:bookmarkEnd w:id="632"/>
      <w:bookmarkEnd w:id="633"/>
      <w:bookmarkEnd w:id="634"/>
      <w:bookmarkEnd w:id="635"/>
      <w:bookmarkEnd w:id="636"/>
      <w:bookmarkEnd w:id="637"/>
      <w:bookmarkEnd w:id="638"/>
      <w:bookmarkEnd w:id="639"/>
      <w:bookmarkEnd w:id="640"/>
    </w:p>
    <w:p w14:paraId="46D0C2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融合型文化宣传载体的打造，是连接两个价值体系的有效桥梁。可以策划制作主题公益短片，聚焦社区互助、敬老爱幼等日常生活场景，在展现人物之间的无私关爱时，自然融合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的仁爱精神与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的价值理念，避免教条式说教。</w:t>
      </w:r>
    </w:p>
    <w:p w14:paraId="7C8AEF1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bidi w:val="0"/>
        <w:rPr>
          <w:rFonts w:hint="eastAsia"/>
          <w:color w:val="auto"/>
          <w:lang w:val="en-US" w:eastAsia="zh-CN"/>
        </w:rPr>
      </w:pPr>
      <w:bookmarkStart w:id="641" w:name="_Toc936277608"/>
      <w:bookmarkStart w:id="642" w:name="_Toc849867177"/>
      <w:bookmarkStart w:id="643" w:name="_Toc53812770"/>
      <w:bookmarkStart w:id="644" w:name="_Toc1478943800"/>
      <w:bookmarkStart w:id="645" w:name="_Toc1820719567"/>
      <w:bookmarkStart w:id="646" w:name="_Toc689341420"/>
      <w:bookmarkStart w:id="647" w:name="_Toc948782956"/>
      <w:bookmarkStart w:id="648" w:name="_Toc874533270"/>
      <w:bookmarkStart w:id="649" w:name="_Toc1073398632"/>
      <w:r>
        <w:rPr>
          <w:rFonts w:hint="eastAsia"/>
          <w:color w:val="auto"/>
          <w:lang w:val="en-US" w:eastAsia="zh-CN"/>
        </w:rPr>
        <w:t xml:space="preserve">第三节 </w:t>
      </w:r>
      <w:r>
        <w:rPr>
          <w:rFonts w:hint="eastAsia"/>
          <w:color w:val="auto"/>
        </w:rPr>
        <w:t>实践转化维度：搭建多元化的仁爱践行平台</w:t>
      </w:r>
      <w:bookmarkEnd w:id="641"/>
      <w:bookmarkEnd w:id="642"/>
      <w:bookmarkEnd w:id="643"/>
      <w:bookmarkEnd w:id="644"/>
      <w:bookmarkEnd w:id="645"/>
      <w:bookmarkEnd w:id="646"/>
      <w:bookmarkEnd w:id="647"/>
      <w:bookmarkEnd w:id="648"/>
      <w:bookmarkEnd w:id="649"/>
    </w:p>
    <w:p w14:paraId="1C546349">
      <w:pPr>
        <w:pStyle w:val="4"/>
        <w:bidi w:val="0"/>
        <w:rPr>
          <w:rFonts w:hint="eastAsia"/>
          <w:color w:val="auto"/>
          <w:lang w:val="en-US" w:eastAsia="zh-CN"/>
        </w:rPr>
      </w:pPr>
      <w:bookmarkStart w:id="650" w:name="_Toc1129062517"/>
      <w:bookmarkStart w:id="651" w:name="_Toc86970375"/>
      <w:bookmarkStart w:id="652" w:name="_Toc1632716222"/>
      <w:bookmarkStart w:id="653" w:name="_Toc1339276466"/>
      <w:bookmarkStart w:id="654" w:name="_Toc340610003"/>
      <w:bookmarkStart w:id="655" w:name="_Toc803907642"/>
      <w:bookmarkStart w:id="656" w:name="_Toc1405076087"/>
      <w:bookmarkStart w:id="657" w:name="_Toc902588822"/>
      <w:bookmarkStart w:id="658" w:name="_Toc1748173224"/>
      <w:r>
        <w:rPr>
          <w:rFonts w:hint="eastAsia"/>
          <w:color w:val="auto"/>
          <w:lang w:val="en-US" w:eastAsia="zh-CN"/>
        </w:rPr>
        <w:t>一、</w:t>
      </w:r>
      <w:r>
        <w:rPr>
          <w:rFonts w:hint="eastAsia"/>
          <w:color w:val="auto"/>
        </w:rPr>
        <w:t>浙江光盐爱心基金会的</w:t>
      </w:r>
      <w:r>
        <w:rPr>
          <w:rFonts w:hint="eastAsia"/>
          <w:color w:val="auto"/>
          <w:lang w:eastAsia="zh-CN"/>
        </w:rPr>
        <w:t>“</w:t>
      </w:r>
      <w:r>
        <w:rPr>
          <w:rFonts w:hint="eastAsia"/>
          <w:color w:val="auto"/>
        </w:rPr>
        <w:t>去标识化</w:t>
      </w:r>
      <w:r>
        <w:rPr>
          <w:rFonts w:hint="eastAsia"/>
          <w:color w:val="auto"/>
          <w:lang w:eastAsia="zh-CN"/>
        </w:rPr>
        <w:t>”</w:t>
      </w:r>
      <w:r>
        <w:rPr>
          <w:rFonts w:hint="eastAsia"/>
          <w:color w:val="auto"/>
        </w:rPr>
        <w:t>公益实践</w:t>
      </w:r>
      <w:bookmarkEnd w:id="650"/>
      <w:bookmarkEnd w:id="651"/>
      <w:bookmarkEnd w:id="652"/>
      <w:bookmarkEnd w:id="653"/>
      <w:bookmarkEnd w:id="654"/>
      <w:bookmarkEnd w:id="655"/>
      <w:bookmarkEnd w:id="656"/>
      <w:bookmarkEnd w:id="657"/>
      <w:bookmarkEnd w:id="658"/>
    </w:p>
    <w:p w14:paraId="3E0FE1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Fonts w:hint="eastAsia" w:ascii="宋体" w:hAnsi="宋体" w:eastAsia="宋体" w:cs="宋体"/>
          <w:color w:val="auto"/>
          <w:sz w:val="24"/>
          <w:szCs w:val="24"/>
        </w:rPr>
        <w:footnoteReference w:id="87"/>
      </w:r>
      <w:r>
        <w:rPr>
          <w:rFonts w:hint="eastAsia" w:ascii="宋体" w:hAnsi="宋体" w:eastAsia="宋体" w:cs="宋体"/>
          <w:color w:val="auto"/>
          <w:sz w:val="24"/>
          <w:szCs w:val="24"/>
        </w:rPr>
        <w:t xml:space="preserve"> 基金会的使命是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热爱生命、扶贫济困，同蒙福祉、共享主恩、荣神益人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，其运作方式完全遵循社会公益组织的规范，在对外宣传中不突出宗教标识，而是以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光盐爱心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这一具有中华文化意蕴的品牌名称开展活动。</w:t>
      </w:r>
    </w:p>
    <w:p w14:paraId="77685DD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bidi w:val="0"/>
        <w:rPr>
          <w:rFonts w:hint="eastAsia"/>
          <w:color w:val="auto"/>
          <w:lang w:val="en-US" w:eastAsia="zh-CN"/>
        </w:rPr>
      </w:pPr>
      <w:bookmarkStart w:id="659" w:name="_Toc1422212665"/>
      <w:bookmarkStart w:id="660" w:name="_Toc1588401166"/>
      <w:bookmarkStart w:id="661" w:name="_Toc1443459855"/>
      <w:bookmarkStart w:id="662" w:name="_Toc1456115817"/>
      <w:bookmarkStart w:id="663" w:name="_Toc515501788"/>
      <w:bookmarkStart w:id="664" w:name="_Toc1383611797"/>
      <w:bookmarkStart w:id="665" w:name="_Toc988218327"/>
      <w:bookmarkStart w:id="666" w:name="_Toc2133332593"/>
      <w:bookmarkStart w:id="667" w:name="_Toc1823601161"/>
      <w:r>
        <w:rPr>
          <w:rFonts w:hint="eastAsia"/>
          <w:color w:val="auto"/>
          <w:lang w:val="en-US" w:eastAsia="zh-CN"/>
        </w:rPr>
        <w:t>二、</w:t>
      </w:r>
      <w:r>
        <w:rPr>
          <w:rFonts w:hint="eastAsia"/>
          <w:color w:val="auto"/>
        </w:rPr>
        <w:t>杭州圣爱康复医院的社区服务融入模式</w:t>
      </w:r>
      <w:bookmarkEnd w:id="659"/>
      <w:bookmarkEnd w:id="660"/>
      <w:bookmarkEnd w:id="661"/>
      <w:bookmarkEnd w:id="662"/>
      <w:bookmarkEnd w:id="663"/>
      <w:bookmarkEnd w:id="664"/>
      <w:bookmarkEnd w:id="665"/>
      <w:bookmarkEnd w:id="666"/>
      <w:bookmarkEnd w:id="667"/>
    </w:p>
    <w:p w14:paraId="2B22601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这种模式下，信众在日常的公共服务参与中完成价值融合的落地，不需要刻意设计特殊的融合活动。运行一段时间后，信众往往能够切实感受到核心价值观中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的要求与自身信仰追求的一致性，社区非信众的认可度也会逐步提升。这种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去宗教化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呈现与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内核的实践模式，正是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转化效果的生动体现——信众在不知不觉中完成了从宗教慈善到公共服务的逻辑转换，实现了宗教信仰与公民责任的有机统一。</w:t>
      </w:r>
    </w:p>
    <w:p w14:paraId="7CB428E5">
      <w:pPr>
        <w:pStyle w:val="4"/>
        <w:bidi w:val="0"/>
        <w:rPr>
          <w:rFonts w:hint="eastAsia"/>
          <w:color w:val="auto"/>
          <w:lang w:val="en-US" w:eastAsia="zh-CN"/>
        </w:rPr>
      </w:pPr>
      <w:bookmarkStart w:id="668" w:name="_Toc1089518918"/>
      <w:bookmarkStart w:id="669" w:name="_Toc107022826"/>
      <w:bookmarkStart w:id="670" w:name="_Toc214895107"/>
      <w:bookmarkStart w:id="671" w:name="_Toc1635269545"/>
      <w:bookmarkStart w:id="672" w:name="_Toc889181105"/>
      <w:bookmarkStart w:id="673" w:name="_Toc346895991"/>
      <w:bookmarkStart w:id="674" w:name="_Toc1410542463"/>
      <w:bookmarkStart w:id="675" w:name="_Toc533920239"/>
      <w:bookmarkStart w:id="676" w:name="_Toc378102943"/>
      <w:r>
        <w:rPr>
          <w:rFonts w:hint="eastAsia"/>
          <w:color w:val="auto"/>
          <w:lang w:val="en-US" w:eastAsia="zh-CN"/>
        </w:rPr>
        <w:t>三、</w:t>
      </w:r>
      <w:r>
        <w:rPr>
          <w:rFonts w:hint="eastAsia"/>
          <w:color w:val="auto"/>
        </w:rPr>
        <w:t>融合型文化活动品牌的打造与</w:t>
      </w:r>
      <w:r>
        <w:rPr>
          <w:rFonts w:hint="eastAsia"/>
          <w:color w:val="auto"/>
          <w:lang w:eastAsia="zh-CN"/>
        </w:rPr>
        <w:t>“</w:t>
      </w:r>
      <w:r>
        <w:rPr>
          <w:rFonts w:hint="eastAsia"/>
          <w:color w:val="auto"/>
        </w:rPr>
        <w:t>价值化</w:t>
      </w:r>
      <w:r>
        <w:rPr>
          <w:rFonts w:hint="eastAsia"/>
          <w:color w:val="auto"/>
          <w:lang w:eastAsia="zh-CN"/>
        </w:rPr>
        <w:t>”</w:t>
      </w:r>
      <w:r>
        <w:rPr>
          <w:rFonts w:hint="eastAsia"/>
          <w:color w:val="auto"/>
        </w:rPr>
        <w:t>内核</w:t>
      </w:r>
      <w:bookmarkEnd w:id="668"/>
      <w:bookmarkEnd w:id="669"/>
      <w:bookmarkEnd w:id="670"/>
      <w:bookmarkEnd w:id="671"/>
      <w:bookmarkEnd w:id="672"/>
      <w:bookmarkEnd w:id="673"/>
      <w:bookmarkEnd w:id="674"/>
      <w:bookmarkEnd w:id="675"/>
      <w:bookmarkEnd w:id="676"/>
    </w:p>
    <w:p w14:paraId="41CE2F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去宗教化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呈现与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的要求看，这类文化活动特别有助于增进对中华文化的认同。习近平总书记强调，要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植根中华五千年文明，推动我国宗教同中华优秀传统文化相融合，引导宗教界人士和信教群众增强中华文化认同感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8"/>
      </w:r>
      <w:r>
        <w:rPr>
          <w:rFonts w:hint="eastAsia" w:ascii="宋体" w:hAnsi="宋体" w:eastAsia="宋体" w:cs="宋体"/>
          <w:color w:val="auto"/>
          <w:sz w:val="24"/>
          <w:szCs w:val="24"/>
        </w:rPr>
        <w:t xml:space="preserve"> 通过让信众在文化体验中感受中华文化的博大精深，能够自然生发出对中华文化的认同与热爱，进而深化对伟大祖国、中华民族的认同。</w:t>
      </w:r>
    </w:p>
    <w:p w14:paraId="58F5760C">
      <w:pPr>
        <w:pStyle w:val="3"/>
        <w:bidi w:val="0"/>
        <w:rPr>
          <w:rFonts w:hint="eastAsia"/>
          <w:color w:val="auto"/>
          <w:lang w:val="en-US" w:eastAsia="zh-CN"/>
        </w:rPr>
      </w:pPr>
      <w:bookmarkStart w:id="677" w:name="_Toc128132262"/>
      <w:bookmarkStart w:id="678" w:name="_Toc479528509"/>
      <w:bookmarkStart w:id="679" w:name="_Toc2098880504"/>
      <w:bookmarkStart w:id="680" w:name="_Toc2010302779"/>
      <w:bookmarkStart w:id="681" w:name="_Toc915196408"/>
      <w:bookmarkStart w:id="682" w:name="_Toc1288824043"/>
      <w:bookmarkStart w:id="683" w:name="_Toc1822052742"/>
      <w:bookmarkStart w:id="684" w:name="_Toc1410779707"/>
      <w:bookmarkStart w:id="685" w:name="_Toc372051528"/>
      <w:r>
        <w:rPr>
          <w:rFonts w:hint="eastAsia"/>
          <w:color w:val="auto"/>
          <w:lang w:val="en-US" w:eastAsia="zh-CN"/>
        </w:rPr>
        <w:t xml:space="preserve">第四节 </w:t>
      </w:r>
      <w:r>
        <w:rPr>
          <w:rFonts w:hint="eastAsia"/>
          <w:color w:val="auto"/>
        </w:rPr>
        <w:t>制度保障维度：完善融合的政策支持与监管机制</w:t>
      </w:r>
      <w:bookmarkEnd w:id="677"/>
      <w:bookmarkEnd w:id="678"/>
      <w:bookmarkEnd w:id="679"/>
      <w:bookmarkEnd w:id="680"/>
      <w:bookmarkEnd w:id="681"/>
      <w:bookmarkEnd w:id="682"/>
      <w:bookmarkEnd w:id="683"/>
      <w:bookmarkEnd w:id="684"/>
      <w:bookmarkEnd w:id="685"/>
    </w:p>
    <w:p w14:paraId="49D3A763">
      <w:pPr>
        <w:pStyle w:val="4"/>
        <w:bidi w:val="0"/>
        <w:rPr>
          <w:rFonts w:hint="eastAsia"/>
          <w:color w:val="auto"/>
          <w:lang w:val="en-US" w:eastAsia="zh-CN"/>
        </w:rPr>
      </w:pPr>
      <w:bookmarkStart w:id="686" w:name="_Toc1745627059"/>
      <w:bookmarkStart w:id="687" w:name="_Toc1318245106"/>
      <w:bookmarkStart w:id="688" w:name="_Toc798588402"/>
      <w:bookmarkStart w:id="689" w:name="_Toc123628574"/>
      <w:bookmarkStart w:id="690" w:name="_Toc1740313140"/>
      <w:bookmarkStart w:id="691" w:name="_Toc2077007219"/>
      <w:bookmarkStart w:id="692" w:name="_Toc1428149442"/>
      <w:bookmarkStart w:id="693" w:name="_Toc607589022"/>
      <w:bookmarkStart w:id="694" w:name="_Toc1745134679"/>
      <w:r>
        <w:rPr>
          <w:rFonts w:hint="eastAsia"/>
          <w:color w:val="auto"/>
          <w:lang w:val="en-US" w:eastAsia="zh-CN"/>
        </w:rPr>
        <w:t>一、</w:t>
      </w:r>
      <w:r>
        <w:rPr>
          <w:rFonts w:hint="eastAsia"/>
          <w:color w:val="auto"/>
        </w:rPr>
        <w:t>专项政策文件的制定与边界划定</w:t>
      </w:r>
      <w:bookmarkEnd w:id="686"/>
      <w:bookmarkEnd w:id="687"/>
      <w:bookmarkEnd w:id="688"/>
      <w:bookmarkEnd w:id="689"/>
      <w:bookmarkEnd w:id="690"/>
      <w:bookmarkEnd w:id="691"/>
      <w:bookmarkEnd w:id="692"/>
      <w:bookmarkEnd w:id="693"/>
      <w:bookmarkEnd w:id="694"/>
    </w:p>
    <w:p w14:paraId="0934C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此外，应配套相应的支持政策，对符合评估标准的基督教公益慈善项目，给予与其他社</w:t>
      </w:r>
      <w:r>
        <w:rPr>
          <w:rFonts w:hint="eastAsia" w:ascii="宋体" w:hAnsi="宋体" w:eastAsia="宋体" w:cs="宋体"/>
          <w:color w:val="auto"/>
          <w:sz w:val="24"/>
          <w:szCs w:val="24"/>
        </w:rPr>
        <w:t>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bidi w:val="0"/>
        <w:rPr>
          <w:rFonts w:hint="eastAsia"/>
          <w:color w:val="auto"/>
          <w:lang w:val="en-US" w:eastAsia="zh-CN"/>
        </w:rPr>
      </w:pPr>
      <w:bookmarkStart w:id="695" w:name="_Toc1208756569"/>
      <w:bookmarkStart w:id="696" w:name="_Toc715671840"/>
      <w:bookmarkStart w:id="697" w:name="_Toc156710443"/>
      <w:bookmarkStart w:id="698" w:name="_Toc913647748"/>
      <w:bookmarkStart w:id="699" w:name="_Toc102478664"/>
      <w:bookmarkStart w:id="700" w:name="_Toc482949175"/>
      <w:bookmarkStart w:id="701" w:name="_Toc1979878946"/>
      <w:bookmarkStart w:id="702" w:name="_Toc463951269"/>
      <w:bookmarkStart w:id="703" w:name="_Toc146899227"/>
      <w:r>
        <w:rPr>
          <w:rFonts w:hint="eastAsia"/>
          <w:color w:val="auto"/>
          <w:lang w:val="en-US" w:eastAsia="zh-CN"/>
        </w:rPr>
        <w:t>二、</w:t>
      </w:r>
      <w:r>
        <w:rPr>
          <w:rFonts w:hint="eastAsia"/>
          <w:color w:val="auto"/>
        </w:rPr>
        <w:t>全流程监督评估机制的建立</w:t>
      </w:r>
      <w:bookmarkEnd w:id="695"/>
      <w:bookmarkEnd w:id="696"/>
      <w:bookmarkEnd w:id="697"/>
      <w:bookmarkEnd w:id="698"/>
      <w:bookmarkEnd w:id="699"/>
      <w:bookmarkEnd w:id="700"/>
      <w:bookmarkEnd w:id="701"/>
      <w:bookmarkEnd w:id="702"/>
      <w:bookmarkEnd w:id="703"/>
    </w:p>
    <w:p w14:paraId="72404E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评估报告应向社会公开关键结论，接受社会监督。对于评估中发现的问题，如打着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融合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旗号进行违规传教、刻意强化宗教边界、追求商业噱头的功利化活动，应建立明确的纠正与处置程序，与现有宗教事务管理法规有效衔接，通过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评估—反馈—纠正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的闭环管理，防止融合工作跑偏变质。</w:t>
      </w:r>
    </w:p>
    <w:p w14:paraId="46105E8E">
      <w:pPr>
        <w:rPr>
          <w:color w:val="auto"/>
        </w:rPr>
      </w:pPr>
      <w:r>
        <w:rPr>
          <w:color w:val="auto"/>
        </w:rPr>
        <w:t>为增强融合实践效果的可测量性，本文建议构建以下量化评估指标体系：</w:t>
      </w:r>
    </w:p>
    <w:p w14:paraId="0610778B">
      <w:pPr>
        <w:pStyle w:val="5"/>
        <w:keepNext/>
        <w:keepLines/>
        <w:pageBreakBefore w:val="0"/>
        <w:widowControl w:val="0"/>
        <w:numPr>
          <w:ilvl w:val="0"/>
          <w:numId w:val="1"/>
        </w:numPr>
        <w:kinsoku/>
        <w:wordWrap/>
        <w:overflowPunct/>
        <w:topLinePunct w:val="0"/>
        <w:autoSpaceDE/>
        <w:autoSpaceDN/>
        <w:bidi w:val="0"/>
        <w:adjustRightInd w:val="0"/>
        <w:snapToGrid w:val="0"/>
        <w:textAlignment w:val="auto"/>
        <w:rPr>
          <w:b/>
          <w:bCs w:val="0"/>
          <w:color w:val="auto"/>
        </w:rPr>
      </w:pPr>
      <w:bookmarkStart w:id="704" w:name="_Toc1476597786"/>
      <w:r>
        <w:rPr>
          <w:b/>
          <w:bCs w:val="0"/>
          <w:color w:val="auto"/>
        </w:rPr>
        <w:t>信众价值认同度评估。</w:t>
      </w:r>
      <w:bookmarkEnd w:id="704"/>
    </w:p>
    <w:p w14:paraId="0EA58985">
      <w:pPr>
        <w:numPr>
          <w:numId w:val="0"/>
        </w:numPr>
        <w:ind w:firstLine="480" w:firstLineChars="200"/>
        <w:rPr>
          <w:color w:val="auto"/>
        </w:rPr>
      </w:pPr>
      <w:r>
        <w:rPr>
          <w:color w:val="auto"/>
        </w:rPr>
        <w:t>采用问卷调查法，围绕</w:t>
      </w:r>
      <w:r>
        <w:rPr>
          <w:rFonts w:hint="eastAsia"/>
          <w:color w:val="auto"/>
          <w:lang w:eastAsia="zh-CN"/>
        </w:rPr>
        <w:t>“</w:t>
      </w:r>
      <w:r>
        <w:rPr>
          <w:color w:val="auto"/>
        </w:rPr>
        <w:t>五个认同</w:t>
      </w:r>
      <w:r>
        <w:rPr>
          <w:rFonts w:hint="eastAsia"/>
          <w:color w:val="auto"/>
          <w:lang w:eastAsia="zh-CN"/>
        </w:rPr>
        <w:t>”</w:t>
      </w:r>
      <w:r>
        <w:rPr>
          <w:color w:val="auto"/>
        </w:rPr>
        <w:t>设计20个题项（Likert五级量表），每年度对参与融合活动的信众进行前后测对比。核心指标包括：对社会主义核心价值观公民层面内容的知晓率（目标≥85%）、对</w:t>
      </w:r>
      <w:r>
        <w:rPr>
          <w:rFonts w:hint="eastAsia"/>
          <w:color w:val="auto"/>
          <w:lang w:eastAsia="zh-CN"/>
        </w:rPr>
        <w:t>“</w:t>
      </w:r>
      <w:r>
        <w:rPr>
          <w:color w:val="auto"/>
        </w:rPr>
        <w:t>五个认同</w:t>
      </w:r>
      <w:r>
        <w:rPr>
          <w:rFonts w:hint="eastAsia"/>
          <w:color w:val="auto"/>
          <w:lang w:eastAsia="zh-CN"/>
        </w:rPr>
        <w:t>”</w:t>
      </w:r>
      <w:r>
        <w:rPr>
          <w:color w:val="auto"/>
        </w:rPr>
        <w:t>内涵的理解度评分（目标均值≥4.0/5.0）、参与社区志愿服务的意愿提升幅度（目标提升≥15%）。</w:t>
      </w:r>
    </w:p>
    <w:p w14:paraId="072815B8">
      <w:pPr>
        <w:pStyle w:val="5"/>
        <w:numPr>
          <w:ilvl w:val="0"/>
          <w:numId w:val="1"/>
        </w:numPr>
        <w:bidi w:val="0"/>
        <w:rPr>
          <w:b/>
          <w:bCs w:val="0"/>
          <w:color w:val="auto"/>
        </w:rPr>
      </w:pPr>
      <w:bookmarkStart w:id="705" w:name="_Toc857964570"/>
      <w:r>
        <w:rPr>
          <w:b/>
          <w:bCs w:val="0"/>
          <w:color w:val="auto"/>
        </w:rPr>
        <w:t>公益活动社会影响评估。</w:t>
      </w:r>
      <w:bookmarkEnd w:id="705"/>
    </w:p>
    <w:p w14:paraId="7AF96804">
      <w:pPr>
        <w:numPr>
          <w:numId w:val="0"/>
        </w:numPr>
        <w:ind w:firstLine="480" w:firstLineChars="200"/>
        <w:rPr>
          <w:color w:val="auto"/>
        </w:rPr>
      </w:pPr>
      <w:r>
        <w:rPr>
          <w:color w:val="auto"/>
        </w:rPr>
        <w:t>采用第三方评估方式，从三个维度进行量化考核：覆盖群众数量（年度目标≥500人次）、受助者满意度评分（目标均值≥4.2/5.0）、社区非信众接受度调查（目标正面评价占比≥70%）。</w:t>
      </w:r>
    </w:p>
    <w:p w14:paraId="59F94603">
      <w:pPr>
        <w:pStyle w:val="5"/>
        <w:numPr>
          <w:ilvl w:val="0"/>
          <w:numId w:val="1"/>
        </w:numPr>
        <w:bidi w:val="0"/>
        <w:rPr>
          <w:b/>
          <w:bCs w:val="0"/>
          <w:color w:val="auto"/>
        </w:rPr>
      </w:pPr>
      <w:bookmarkStart w:id="706" w:name="_Toc1605322032"/>
      <w:r>
        <w:rPr>
          <w:b/>
          <w:bCs w:val="0"/>
          <w:color w:val="auto"/>
        </w:rPr>
        <w:t>教义阐释质量评估。</w:t>
      </w:r>
      <w:bookmarkEnd w:id="706"/>
    </w:p>
    <w:p w14:paraId="1C16535C">
      <w:pPr>
        <w:numPr>
          <w:numId w:val="0"/>
        </w:numPr>
        <w:ind w:firstLine="480" w:firstLineChars="200"/>
        <w:rPr>
          <w:color w:val="auto"/>
        </w:rPr>
      </w:pPr>
      <w:r>
        <w:rPr>
          <w:color w:val="auto"/>
        </w:rPr>
        <w:t>由宗教事务管理部门牵头，联合宗教学者组成专家评审组，对讲经讲道内容进行年度抽检评估。评估标准包括：社会主义核心价值观融入的自然度（是否避免生硬说教）、中华优秀传统文化引用准确度、信众反馈积极性。抽检合格率目标≥90%。</w:t>
      </w:r>
    </w:p>
    <w:p w14:paraId="15F594B1">
      <w:pPr>
        <w:pStyle w:val="4"/>
        <w:bidi w:val="0"/>
        <w:rPr>
          <w:rFonts w:hint="eastAsia"/>
          <w:color w:val="auto"/>
          <w:lang w:val="en-US" w:eastAsia="zh-CN"/>
        </w:rPr>
      </w:pPr>
      <w:bookmarkStart w:id="707" w:name="_Toc77020954"/>
      <w:bookmarkStart w:id="708" w:name="_Toc240708033"/>
      <w:bookmarkStart w:id="709" w:name="_Toc1017464279"/>
      <w:bookmarkStart w:id="710" w:name="_Toc376354563"/>
      <w:bookmarkStart w:id="711" w:name="_Toc1586082212"/>
      <w:bookmarkStart w:id="712" w:name="_Toc1169624586"/>
      <w:bookmarkStart w:id="713" w:name="_Toc566335157"/>
      <w:bookmarkStart w:id="714" w:name="_Toc115855826"/>
      <w:bookmarkStart w:id="715" w:name="_Toc1810334563"/>
      <w:r>
        <w:rPr>
          <w:rFonts w:hint="eastAsia"/>
          <w:color w:val="auto"/>
          <w:lang w:val="en-US" w:eastAsia="zh-CN"/>
        </w:rPr>
        <w:t>三、</w:t>
      </w:r>
      <w:r>
        <w:rPr>
          <w:rFonts w:hint="eastAsia"/>
          <w:color w:val="auto"/>
        </w:rPr>
        <w:t>基层宗教工作队伍的分层培训体系</w:t>
      </w:r>
      <w:bookmarkEnd w:id="707"/>
      <w:bookmarkEnd w:id="708"/>
      <w:bookmarkEnd w:id="709"/>
      <w:bookmarkEnd w:id="710"/>
      <w:bookmarkEnd w:id="711"/>
      <w:bookmarkEnd w:id="712"/>
      <w:bookmarkEnd w:id="713"/>
      <w:bookmarkEnd w:id="714"/>
      <w:bookmarkEnd w:id="715"/>
    </w:p>
    <w:p w14:paraId="0DEBA52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习近平总书记强调，要培养一支政治上靠得住、宗教上有造诣、品德上能服众、关键时起作用的宗教界代表人士队伍，把新时代信教群众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联系好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9"/>
      </w:r>
      <w:r>
        <w:rPr>
          <w:rFonts w:hint="eastAsia" w:ascii="宋体" w:hAnsi="宋体" w:eastAsia="宋体" w:cs="宋体"/>
          <w:color w:val="auto"/>
          <w:sz w:val="24"/>
          <w:szCs w:val="24"/>
        </w:rPr>
        <w:t xml:space="preserve"> 同时，也要培养一支精通马克思主义宗教观、熟悉宗教工作、善于做信教群众工作的党政干部队伍。</w:t>
      </w:r>
      <w:r>
        <w:rPr>
          <w:rStyle w:val="29"/>
          <w:rFonts w:hint="eastAsia" w:ascii="宋体" w:hAnsi="宋体" w:eastAsia="宋体" w:cs="宋体"/>
          <w:color w:val="auto"/>
          <w:sz w:val="24"/>
          <w:szCs w:val="24"/>
        </w:rPr>
        <w:footnoteReference w:id="90"/>
      </w:r>
      <w:r>
        <w:rPr>
          <w:rFonts w:hint="eastAsia" w:ascii="宋体" w:hAnsi="宋体" w:eastAsia="宋体" w:cs="宋体"/>
          <w:color w:val="auto"/>
          <w:sz w:val="24"/>
          <w:szCs w:val="24"/>
        </w:rPr>
        <w:t xml:space="preserve"> 这两支队伍的协同建设，是融合工作取得实效的组织保障。</w:t>
      </w:r>
    </w:p>
    <w:p w14:paraId="3AF20540">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144A0FBF">
      <w:pPr>
        <w:pStyle w:val="4"/>
        <w:bidi w:val="0"/>
        <w:rPr>
          <w:color w:val="auto"/>
        </w:rPr>
      </w:pPr>
      <w:bookmarkStart w:id="716" w:name="_Toc1568683400"/>
      <w:bookmarkStart w:id="717" w:name="_Toc744689645"/>
      <w:r>
        <w:rPr>
          <w:color w:val="auto"/>
        </w:rPr>
        <w:t>四、</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价值的制度性融入路径</w:t>
      </w:r>
      <w:bookmarkEnd w:id="716"/>
      <w:bookmarkEnd w:id="717"/>
    </w:p>
    <w:p w14:paraId="3AE34192">
      <w:pPr>
        <w:rPr>
          <w:color w:val="auto"/>
        </w:rPr>
      </w:pPr>
      <w:r>
        <w:rPr>
          <w:color w:val="auto"/>
        </w:rPr>
        <w:t>针对前文梳理的</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价值在融合实践中被边缘化的问题，本文提出以下制度性融入路径：</w:t>
      </w:r>
    </w:p>
    <w:p w14:paraId="756B1FEA">
      <w:pPr>
        <w:pStyle w:val="5"/>
        <w:numPr>
          <w:ilvl w:val="0"/>
          <w:numId w:val="2"/>
        </w:numPr>
        <w:bidi w:val="0"/>
        <w:rPr>
          <w:color w:val="auto"/>
        </w:rPr>
      </w:pPr>
      <w:bookmarkStart w:id="718" w:name="_Toc464168799"/>
      <w:r>
        <w:rPr>
          <w:color w:val="auto"/>
        </w:rPr>
        <w:t>推动基督教团体参与社会公平正义建设。</w:t>
      </w:r>
      <w:bookmarkEnd w:id="718"/>
    </w:p>
    <w:p w14:paraId="4BF9EDBA">
      <w:pPr>
        <w:numPr>
          <w:numId w:val="0"/>
        </w:numPr>
        <w:ind w:firstLine="480" w:firstLineChars="200"/>
        <w:rPr>
          <w:color w:val="auto"/>
        </w:rPr>
      </w:pPr>
      <w:r>
        <w:rPr>
          <w:color w:val="auto"/>
        </w:rPr>
        <w:t>引导基督教界从单纯的</w:t>
      </w:r>
      <w:r>
        <w:rPr>
          <w:rFonts w:hint="eastAsia"/>
          <w:color w:val="auto"/>
          <w:lang w:eastAsia="zh-CN"/>
        </w:rPr>
        <w:t>“</w:t>
      </w:r>
      <w:r>
        <w:rPr>
          <w:color w:val="auto"/>
        </w:rPr>
        <w:t>慈善救济</w:t>
      </w:r>
      <w:r>
        <w:rPr>
          <w:rFonts w:hint="eastAsia"/>
          <w:color w:val="auto"/>
          <w:lang w:eastAsia="zh-CN"/>
        </w:rPr>
        <w:t>”</w:t>
      </w:r>
      <w:r>
        <w:rPr>
          <w:color w:val="auto"/>
        </w:rPr>
        <w:t>模式转向</w:t>
      </w:r>
      <w:r>
        <w:rPr>
          <w:rFonts w:hint="eastAsia"/>
          <w:color w:val="auto"/>
          <w:lang w:eastAsia="zh-CN"/>
        </w:rPr>
        <w:t>“</w:t>
      </w:r>
      <w:r>
        <w:rPr>
          <w:color w:val="auto"/>
        </w:rPr>
        <w:t>制度关怀</w:t>
      </w:r>
      <w:r>
        <w:rPr>
          <w:rFonts w:hint="eastAsia"/>
          <w:color w:val="auto"/>
          <w:lang w:eastAsia="zh-CN"/>
        </w:rPr>
        <w:t>”</w:t>
      </w:r>
      <w:r>
        <w:rPr>
          <w:color w:val="auto"/>
        </w:rPr>
        <w:t>模式，鼓励教会组织信众参与法律援助、权益维护、反歧视倡导等结构性公益行动。例如，可联合司法行政机关设立</w:t>
      </w:r>
      <w:r>
        <w:rPr>
          <w:rFonts w:hint="eastAsia"/>
          <w:color w:val="auto"/>
          <w:lang w:eastAsia="zh-CN"/>
        </w:rPr>
        <w:t>“</w:t>
      </w:r>
      <w:r>
        <w:rPr>
          <w:color w:val="auto"/>
        </w:rPr>
        <w:t>基督教法律援助志愿服务站</w:t>
      </w:r>
      <w:r>
        <w:rPr>
          <w:rFonts w:hint="eastAsia"/>
          <w:color w:val="auto"/>
          <w:lang w:eastAsia="zh-CN"/>
        </w:rPr>
        <w:t>”</w:t>
      </w:r>
      <w:r>
        <w:rPr>
          <w:color w:val="auto"/>
        </w:rPr>
        <w:t>，为弱势群体提供免费法律咨询和权益保障服务，体现基督教</w:t>
      </w:r>
      <w:r>
        <w:rPr>
          <w:rFonts w:hint="eastAsia"/>
          <w:color w:val="auto"/>
          <w:lang w:eastAsia="zh-CN"/>
        </w:rPr>
        <w:t>“</w:t>
      </w:r>
      <w:r>
        <w:rPr>
          <w:color w:val="auto"/>
        </w:rPr>
        <w:t>行公义</w:t>
      </w:r>
      <w:r>
        <w:rPr>
          <w:rFonts w:hint="eastAsia"/>
          <w:color w:val="auto"/>
          <w:lang w:eastAsia="zh-CN"/>
        </w:rPr>
        <w:t>”</w:t>
      </w:r>
      <w:r>
        <w:rPr>
          <w:color w:val="auto"/>
        </w:rPr>
        <w:t>传统与社会主义核心价值观</w:t>
      </w:r>
      <w:r>
        <w:rPr>
          <w:rFonts w:hint="eastAsia"/>
          <w:color w:val="auto"/>
          <w:lang w:eastAsia="zh-CN"/>
        </w:rPr>
        <w:t>“</w:t>
      </w:r>
      <w:r>
        <w:rPr>
          <w:color w:val="auto"/>
        </w:rPr>
        <w:t>公正</w:t>
      </w:r>
      <w:r>
        <w:rPr>
          <w:rFonts w:hint="eastAsia"/>
          <w:color w:val="auto"/>
          <w:lang w:eastAsia="zh-CN"/>
        </w:rPr>
        <w:t>”</w:t>
      </w:r>
      <w:r>
        <w:rPr>
          <w:color w:val="auto"/>
        </w:rPr>
        <w:t>理念的制度性对接。</w:t>
      </w:r>
    </w:p>
    <w:p w14:paraId="08315985">
      <w:pPr>
        <w:pStyle w:val="5"/>
        <w:numPr>
          <w:ilvl w:val="0"/>
          <w:numId w:val="2"/>
        </w:numPr>
        <w:bidi w:val="0"/>
        <w:rPr>
          <w:color w:val="auto"/>
        </w:rPr>
      </w:pPr>
      <w:bookmarkStart w:id="719" w:name="_Toc1624398889"/>
      <w:r>
        <w:rPr>
          <w:color w:val="auto"/>
        </w:rPr>
        <w:t>建立公益项目的机会平等评估机制。</w:t>
      </w:r>
      <w:bookmarkEnd w:id="719"/>
    </w:p>
    <w:p w14:paraId="0FDD201E">
      <w:pPr>
        <w:numPr>
          <w:numId w:val="0"/>
        </w:numPr>
        <w:ind w:firstLine="480" w:firstLineChars="200"/>
        <w:rPr>
          <w:color w:val="auto"/>
        </w:rPr>
      </w:pPr>
      <w:r>
        <w:rPr>
          <w:color w:val="auto"/>
        </w:rPr>
        <w:t>在公益项目时，增加</w:t>
      </w:r>
      <w:r>
        <w:rPr>
          <w:rFonts w:hint="eastAsia"/>
          <w:color w:val="auto"/>
          <w:lang w:eastAsia="zh-CN"/>
        </w:rPr>
        <w:t>“</w:t>
      </w:r>
      <w:r>
        <w:rPr>
          <w:color w:val="auto"/>
        </w:rPr>
        <w:t>机会平等</w:t>
      </w:r>
      <w:r>
        <w:rPr>
          <w:rFonts w:hint="eastAsia"/>
          <w:color w:val="auto"/>
          <w:lang w:eastAsia="zh-CN"/>
        </w:rPr>
        <w:t>”</w:t>
      </w:r>
      <w:r>
        <w:rPr>
          <w:color w:val="auto"/>
        </w:rPr>
        <w:t>维度的评估指标：受助对象的选择是否排除了身份、地域、信仰等歧视性条件；项目执行是否保障了受助者的知情权和参与权；项目成果是否促进了受助者的能力建设而非单纯的物质救济。通过这一机制，将基督教</w:t>
      </w:r>
      <w:r>
        <w:rPr>
          <w:rFonts w:hint="eastAsia"/>
          <w:color w:val="auto"/>
          <w:lang w:eastAsia="zh-CN"/>
        </w:rPr>
        <w:t>“</w:t>
      </w:r>
      <w:r>
        <w:rPr>
          <w:color w:val="auto"/>
        </w:rPr>
        <w:t>人人平等</w:t>
      </w:r>
      <w:r>
        <w:rPr>
          <w:rFonts w:hint="eastAsia"/>
          <w:color w:val="auto"/>
          <w:lang w:eastAsia="zh-CN"/>
        </w:rPr>
        <w:t>”</w:t>
      </w:r>
      <w:r>
        <w:rPr>
          <w:color w:val="auto"/>
        </w:rPr>
        <w:t>的神学人类学转化为可操作的制度安排。</w:t>
      </w:r>
    </w:p>
    <w:p w14:paraId="1393B5AE">
      <w:pPr>
        <w:pStyle w:val="5"/>
        <w:numPr>
          <w:ilvl w:val="0"/>
          <w:numId w:val="2"/>
        </w:numPr>
        <w:bidi w:val="0"/>
        <w:rPr>
          <w:color w:val="auto"/>
        </w:rPr>
      </w:pPr>
      <w:bookmarkStart w:id="720" w:name="_Toc312523112"/>
      <w:r>
        <w:rPr>
          <w:color w:val="auto"/>
        </w:rPr>
        <w:t>强化基层宗教工作队伍的</w:t>
      </w:r>
      <w:r>
        <w:rPr>
          <w:rFonts w:hint="eastAsia"/>
          <w:color w:val="auto"/>
          <w:lang w:eastAsia="zh-CN"/>
        </w:rPr>
        <w:t>“</w:t>
      </w:r>
      <w:r>
        <w:rPr>
          <w:color w:val="auto"/>
        </w:rPr>
        <w:t>公正</w:t>
      </w:r>
      <w:r>
        <w:rPr>
          <w:rFonts w:hint="eastAsia"/>
          <w:color w:val="auto"/>
          <w:lang w:eastAsia="zh-CN"/>
        </w:rPr>
        <w:t>”</w:t>
      </w:r>
      <w:r>
        <w:rPr>
          <w:color w:val="auto"/>
        </w:rPr>
        <w:t>意识培训。</w:t>
      </w:r>
      <w:bookmarkEnd w:id="720"/>
    </w:p>
    <w:p w14:paraId="1F88176F">
      <w:pPr>
        <w:numPr>
          <w:numId w:val="0"/>
        </w:numPr>
        <w:ind w:firstLine="480" w:firstLineChars="200"/>
        <w:rPr>
          <w:color w:val="auto"/>
        </w:rPr>
      </w:pPr>
      <w:r>
        <w:rPr>
          <w:color w:val="auto"/>
        </w:rPr>
        <w:t>在前文所述分层培训体系中，增加</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价值专题模块，帮助基层宗教工作干部理解：基督教仁爱实践不仅限于个人道德层面的</w:t>
      </w:r>
      <w:r>
        <w:rPr>
          <w:rFonts w:hint="eastAsia"/>
          <w:color w:val="auto"/>
          <w:lang w:eastAsia="zh-CN"/>
        </w:rPr>
        <w:t>“</w:t>
      </w:r>
      <w:r>
        <w:rPr>
          <w:color w:val="auto"/>
        </w:rPr>
        <w:t>友善</w:t>
      </w:r>
      <w:r>
        <w:rPr>
          <w:rFonts w:hint="eastAsia"/>
          <w:color w:val="auto"/>
          <w:lang w:eastAsia="zh-CN"/>
        </w:rPr>
        <w:t>”</w:t>
      </w:r>
      <w:r>
        <w:rPr>
          <w:color w:val="auto"/>
        </w:rPr>
        <w:t>，更应上升到社会制度层面的</w:t>
      </w:r>
      <w:r>
        <w:rPr>
          <w:rFonts w:hint="eastAsia"/>
          <w:color w:val="auto"/>
          <w:lang w:eastAsia="zh-CN"/>
        </w:rPr>
        <w:t>“</w:t>
      </w:r>
      <w:r>
        <w:rPr>
          <w:color w:val="auto"/>
        </w:rPr>
        <w:t>公正</w:t>
      </w:r>
      <w:r>
        <w:rPr>
          <w:rFonts w:hint="eastAsia"/>
          <w:color w:val="auto"/>
          <w:lang w:eastAsia="zh-CN"/>
        </w:rPr>
        <w:t>”</w:t>
      </w:r>
      <w:r>
        <w:rPr>
          <w:color w:val="auto"/>
        </w:rPr>
        <w:t>；宗教中国化不仅是文化适应，更是基督教在社会主义制度框架内发挥促进社会公平正义的积极作用。</w:t>
      </w:r>
    </w:p>
    <w:p w14:paraId="30A8E5F8">
      <w:pPr>
        <w:pStyle w:val="2"/>
        <w:bidi w:val="0"/>
        <w:rPr>
          <w:rFonts w:hint="eastAsia"/>
          <w:color w:val="auto"/>
          <w:lang w:val="en-US" w:eastAsia="zh-CN"/>
        </w:rPr>
      </w:pPr>
      <w:bookmarkStart w:id="721" w:name="_Toc1868203330"/>
      <w:bookmarkStart w:id="722" w:name="_Toc1051799926"/>
      <w:bookmarkStart w:id="723" w:name="_Toc1962595911"/>
      <w:bookmarkStart w:id="724" w:name="_Toc109856092"/>
      <w:bookmarkStart w:id="725" w:name="_Toc1706018384"/>
      <w:bookmarkStart w:id="726" w:name="_Toc569226873"/>
      <w:bookmarkStart w:id="727" w:name="_Toc747460195"/>
      <w:bookmarkStart w:id="728" w:name="_Toc205169581"/>
      <w:bookmarkStart w:id="729" w:name="_Toc1978426469"/>
      <w:r>
        <w:rPr>
          <w:rFonts w:hint="eastAsia"/>
          <w:color w:val="auto"/>
          <w:lang w:val="en-US" w:eastAsia="zh-CN"/>
        </w:rPr>
        <w:t>六、</w:t>
      </w:r>
      <w:r>
        <w:rPr>
          <w:rFonts w:hint="eastAsia"/>
          <w:color w:val="auto"/>
        </w:rPr>
        <w:t>结论与展望</w:t>
      </w:r>
      <w:bookmarkEnd w:id="721"/>
      <w:bookmarkEnd w:id="722"/>
      <w:bookmarkEnd w:id="723"/>
      <w:bookmarkEnd w:id="724"/>
      <w:bookmarkEnd w:id="725"/>
      <w:bookmarkEnd w:id="726"/>
      <w:bookmarkEnd w:id="727"/>
      <w:bookmarkEnd w:id="728"/>
      <w:bookmarkEnd w:id="729"/>
    </w:p>
    <w:p w14:paraId="4167AA10">
      <w:pPr>
        <w:pStyle w:val="3"/>
        <w:bidi w:val="0"/>
        <w:rPr>
          <w:rFonts w:hint="eastAsia"/>
          <w:color w:val="auto"/>
          <w:lang w:val="en-US" w:eastAsia="zh-CN"/>
        </w:rPr>
      </w:pPr>
      <w:bookmarkStart w:id="730" w:name="_Toc1662885471"/>
      <w:bookmarkStart w:id="731" w:name="_Toc1931646062"/>
      <w:bookmarkStart w:id="732" w:name="_Toc1996808791"/>
      <w:bookmarkStart w:id="733" w:name="_Toc2103890773"/>
      <w:bookmarkStart w:id="734" w:name="_Toc1663457825"/>
      <w:bookmarkStart w:id="735" w:name="_Toc658257"/>
      <w:bookmarkStart w:id="736" w:name="_Toc534964523"/>
      <w:bookmarkStart w:id="737" w:name="_Toc1573894432"/>
      <w:bookmarkStart w:id="738" w:name="_Toc1924357982"/>
      <w:r>
        <w:rPr>
          <w:rFonts w:hint="eastAsia"/>
          <w:color w:val="auto"/>
          <w:lang w:val="en-US" w:eastAsia="zh-CN"/>
        </w:rPr>
        <w:t xml:space="preserve">第一节 </w:t>
      </w:r>
      <w:r>
        <w:rPr>
          <w:rFonts w:hint="eastAsia"/>
          <w:color w:val="auto"/>
        </w:rPr>
        <w:t>研究结论</w:t>
      </w:r>
      <w:bookmarkEnd w:id="730"/>
      <w:bookmarkEnd w:id="731"/>
      <w:bookmarkEnd w:id="732"/>
      <w:bookmarkEnd w:id="733"/>
      <w:bookmarkEnd w:id="734"/>
      <w:bookmarkEnd w:id="735"/>
      <w:bookmarkEnd w:id="736"/>
      <w:bookmarkEnd w:id="737"/>
      <w:bookmarkEnd w:id="738"/>
    </w:p>
    <w:p w14:paraId="2A703418">
      <w:pPr>
        <w:pStyle w:val="4"/>
        <w:bidi w:val="0"/>
        <w:rPr>
          <w:rFonts w:hint="eastAsia"/>
          <w:color w:val="auto"/>
          <w:lang w:val="en-US" w:eastAsia="zh-CN"/>
        </w:rPr>
      </w:pPr>
      <w:bookmarkStart w:id="739" w:name="_Toc763929039"/>
      <w:bookmarkStart w:id="740" w:name="_Toc1638398668"/>
      <w:bookmarkStart w:id="741" w:name="_Toc325907164"/>
      <w:bookmarkStart w:id="742" w:name="_Toc1773973956"/>
      <w:bookmarkStart w:id="743" w:name="_Toc1782191719"/>
      <w:bookmarkStart w:id="744" w:name="_Toc1793548129"/>
      <w:bookmarkStart w:id="745" w:name="_Toc1665072335"/>
      <w:bookmarkStart w:id="746" w:name="_Toc1887638525"/>
      <w:bookmarkStart w:id="747" w:name="_Toc1580879654"/>
      <w:r>
        <w:rPr>
          <w:rFonts w:hint="eastAsia"/>
          <w:color w:val="auto"/>
          <w:lang w:val="en-US" w:eastAsia="zh-CN"/>
        </w:rPr>
        <w:t>一、</w:t>
      </w:r>
      <w:r>
        <w:rPr>
          <w:rFonts w:hint="eastAsia"/>
          <w:color w:val="auto"/>
        </w:rPr>
        <w:t>融合的核心论断梳理</w:t>
      </w:r>
      <w:bookmarkEnd w:id="739"/>
      <w:bookmarkEnd w:id="740"/>
      <w:bookmarkEnd w:id="741"/>
      <w:bookmarkEnd w:id="742"/>
      <w:bookmarkEnd w:id="743"/>
      <w:bookmarkEnd w:id="744"/>
      <w:bookmarkEnd w:id="745"/>
      <w:bookmarkEnd w:id="746"/>
      <w:bookmarkEnd w:id="747"/>
    </w:p>
    <w:p w14:paraId="3BB0235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本文通过系统的文献梳理、历史比较与案例分析，以中国特色社会主义宗教理论中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坚持宗教中国化方向、引导宗教与社会主义社会相适应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的核心论断为理论基础，以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为政治框架，以文化翻译理论、交叠共识理论与处境化神学理论为分析工具，梳理得出三个层面的核心判断。</w:t>
      </w:r>
    </w:p>
    <w:p w14:paraId="105C5F6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的核心逻辑、公民层面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的价值准则不存在本质冲突。多地基督教信众自发参与的助学、养老帮扶等实践，就是这一共通性的直观体现。</w:t>
      </w:r>
    </w:p>
    <w:p w14:paraId="144709C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最后在文化内核层面，基督教中国化进程中已经主动吸纳了儒家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bidi w:val="0"/>
        <w:rPr>
          <w:rFonts w:hint="eastAsia"/>
          <w:color w:val="auto"/>
          <w:lang w:val="en-US" w:eastAsia="zh-CN"/>
        </w:rPr>
      </w:pPr>
      <w:bookmarkStart w:id="748" w:name="_Toc194312877"/>
      <w:bookmarkStart w:id="749" w:name="_Toc1531091242"/>
      <w:bookmarkStart w:id="750" w:name="_Toc1664807191"/>
      <w:bookmarkStart w:id="751" w:name="_Toc1011330288"/>
      <w:bookmarkStart w:id="752" w:name="_Toc1438405498"/>
      <w:bookmarkStart w:id="753" w:name="_Toc2082934811"/>
      <w:bookmarkStart w:id="754" w:name="_Toc1698116707"/>
      <w:bookmarkStart w:id="755" w:name="_Toc764772544"/>
      <w:bookmarkStart w:id="756" w:name="_Toc1176664094"/>
      <w:r>
        <w:rPr>
          <w:rFonts w:hint="eastAsia"/>
          <w:color w:val="auto"/>
          <w:lang w:val="en-US" w:eastAsia="zh-CN"/>
        </w:rPr>
        <w:t>二、</w:t>
      </w:r>
      <w:r>
        <w:rPr>
          <w:rFonts w:hint="eastAsia"/>
          <w:color w:val="auto"/>
        </w:rPr>
        <w:t>融合路径的核心创新点</w:t>
      </w:r>
      <w:bookmarkEnd w:id="748"/>
      <w:bookmarkEnd w:id="749"/>
      <w:bookmarkEnd w:id="750"/>
      <w:bookmarkEnd w:id="751"/>
      <w:bookmarkEnd w:id="752"/>
      <w:bookmarkEnd w:id="753"/>
      <w:bookmarkEnd w:id="754"/>
      <w:bookmarkEnd w:id="755"/>
      <w:bookmarkEnd w:id="756"/>
    </w:p>
    <w:p w14:paraId="643CE3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本文提出的融合路径，核心在于从教义阐释、教育引导、实践转化与制度保障四个层面协同推进，而非依赖单一维度的突破。</w:t>
      </w:r>
    </w:p>
    <w:p w14:paraId="1C1F3E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在教义阐释维度，本文创新性地提出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方案，构建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的差序推扩逻辑与基督教Agape的普遍主义进行辩证统一。基于浙江神学院神学思想建设的实践，本文论证了宗教界代表人士主动发起价值对话的重要性，这种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的阐释方式比外部强加的政策宣讲更具说服力。</w:t>
      </w:r>
    </w:p>
    <w:p w14:paraId="76B519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在教育引导方面，本文注重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的分层分类方法，针对不同年龄、文化程度的信众设计差异化的教育内容。对中老年信众，通过身边的道德模范案例讲解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实践转化维度的关键在于搭建多元化的践行平台，将基督教的仁爱实践与社区服务、公益慈善等具体活动结合起来。本文基于浙江光盐爱心基金会、杭州圣爱康复医院等真实案例，论证了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去标识化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公益实践与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社区融入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模式的可行性与有效性。支持教会以普通社会组织身份参与社会服务，在践行仁爱精神的同时直观感受核心价值观的现实意义。</w:t>
      </w:r>
    </w:p>
    <w:p w14:paraId="0057C3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制度保障方面，本文强调构建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评估—反馈—纠正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bidi w:val="0"/>
        <w:rPr>
          <w:rFonts w:hint="eastAsia"/>
          <w:color w:val="auto"/>
          <w:lang w:val="en-US" w:eastAsia="zh-CN"/>
        </w:rPr>
      </w:pPr>
      <w:bookmarkStart w:id="757" w:name="_Toc1057790607"/>
      <w:bookmarkStart w:id="758" w:name="_Toc1641380299"/>
      <w:bookmarkStart w:id="759" w:name="_Toc1901445940"/>
      <w:bookmarkStart w:id="760" w:name="_Toc189825919"/>
      <w:bookmarkStart w:id="761" w:name="_Toc95084411"/>
      <w:bookmarkStart w:id="762" w:name="_Toc1754438730"/>
      <w:bookmarkStart w:id="763" w:name="_Toc850022374"/>
      <w:bookmarkStart w:id="764" w:name="_Toc842519713"/>
      <w:bookmarkStart w:id="765" w:name="_Toc16522635"/>
      <w:r>
        <w:rPr>
          <w:rFonts w:hint="eastAsia"/>
          <w:color w:val="auto"/>
          <w:lang w:val="en-US" w:eastAsia="zh-CN"/>
        </w:rPr>
        <w:t xml:space="preserve">第二节 </w:t>
      </w:r>
      <w:r>
        <w:rPr>
          <w:rFonts w:hint="eastAsia"/>
          <w:color w:val="auto"/>
        </w:rPr>
        <w:t>研究不足与展望</w:t>
      </w:r>
      <w:bookmarkEnd w:id="757"/>
      <w:bookmarkEnd w:id="758"/>
      <w:bookmarkEnd w:id="759"/>
      <w:bookmarkEnd w:id="760"/>
      <w:bookmarkEnd w:id="761"/>
      <w:bookmarkEnd w:id="762"/>
      <w:bookmarkEnd w:id="763"/>
      <w:bookmarkEnd w:id="764"/>
      <w:bookmarkEnd w:id="765"/>
    </w:p>
    <w:p w14:paraId="0DDB00A0">
      <w:pPr>
        <w:pStyle w:val="4"/>
        <w:bidi w:val="0"/>
        <w:rPr>
          <w:rFonts w:hint="eastAsia"/>
          <w:color w:val="auto"/>
          <w:lang w:val="en-US" w:eastAsia="zh-CN"/>
        </w:rPr>
      </w:pPr>
      <w:bookmarkStart w:id="766" w:name="_Toc897762573"/>
      <w:bookmarkStart w:id="767" w:name="_Toc1417101983"/>
      <w:bookmarkStart w:id="768" w:name="_Toc1901261800"/>
      <w:bookmarkStart w:id="769" w:name="_Toc103755931"/>
      <w:bookmarkStart w:id="770" w:name="_Toc1264819974"/>
      <w:bookmarkStart w:id="771" w:name="_Toc355862309"/>
      <w:bookmarkStart w:id="772" w:name="_Toc1391004838"/>
      <w:bookmarkStart w:id="773" w:name="_Toc1869131720"/>
      <w:bookmarkStart w:id="774" w:name="_Toc670535982"/>
      <w:r>
        <w:rPr>
          <w:rFonts w:hint="eastAsia"/>
          <w:color w:val="auto"/>
          <w:lang w:val="en-US" w:eastAsia="zh-CN"/>
        </w:rPr>
        <w:t>一、</w:t>
      </w:r>
      <w:r>
        <w:rPr>
          <w:rFonts w:hint="eastAsia"/>
          <w:color w:val="auto"/>
        </w:rPr>
        <w:t>当前研究的局限性分析</w:t>
      </w:r>
      <w:bookmarkEnd w:id="766"/>
      <w:bookmarkEnd w:id="767"/>
      <w:bookmarkEnd w:id="768"/>
      <w:bookmarkEnd w:id="769"/>
      <w:bookmarkEnd w:id="770"/>
      <w:bookmarkEnd w:id="771"/>
      <w:bookmarkEnd w:id="772"/>
      <w:bookmarkEnd w:id="773"/>
      <w:bookmarkEnd w:id="774"/>
    </w:p>
    <w:p w14:paraId="5DED91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本文在探讨基督教仁爱观念与社会主义核心价值观的融合途径时，虽然力求系统与深入，但不可避免地存在一些局限性。</w:t>
      </w:r>
    </w:p>
    <w:p w14:paraId="72187BF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bidi w:val="0"/>
        <w:rPr>
          <w:rFonts w:hint="eastAsia"/>
          <w:color w:val="auto"/>
          <w:lang w:val="en-US" w:eastAsia="zh-CN"/>
        </w:rPr>
      </w:pPr>
      <w:bookmarkStart w:id="775" w:name="_Toc1639383051"/>
      <w:bookmarkStart w:id="776" w:name="_Toc69210953"/>
      <w:bookmarkStart w:id="777" w:name="_Toc2036165012"/>
      <w:bookmarkStart w:id="778" w:name="_Toc1111331024"/>
      <w:bookmarkStart w:id="779" w:name="_Toc2097888887"/>
      <w:bookmarkStart w:id="780" w:name="_Toc235870468"/>
      <w:bookmarkStart w:id="781" w:name="_Toc475460589"/>
      <w:bookmarkStart w:id="782" w:name="_Toc1106029724"/>
      <w:bookmarkStart w:id="783" w:name="_Toc1851553665"/>
      <w:r>
        <w:rPr>
          <w:rFonts w:hint="eastAsia"/>
          <w:color w:val="auto"/>
          <w:lang w:val="en-US" w:eastAsia="zh-CN"/>
        </w:rPr>
        <w:t>二、</w:t>
      </w:r>
      <w:r>
        <w:rPr>
          <w:rFonts w:hint="eastAsia"/>
          <w:color w:val="auto"/>
        </w:rPr>
        <w:t>未来研究与实践的发展方向</w:t>
      </w:r>
      <w:bookmarkEnd w:id="775"/>
      <w:bookmarkEnd w:id="776"/>
      <w:bookmarkEnd w:id="777"/>
      <w:bookmarkEnd w:id="778"/>
      <w:bookmarkEnd w:id="779"/>
      <w:bookmarkEnd w:id="780"/>
      <w:bookmarkEnd w:id="781"/>
      <w:bookmarkEnd w:id="782"/>
      <w:bookmarkEnd w:id="783"/>
    </w:p>
    <w:p w14:paraId="75F0C1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val="0"/>
          <w:bCs w:val="0"/>
          <w:color w:val="auto"/>
          <w:sz w:val="24"/>
          <w:szCs w:val="24"/>
          <w:highlight w:val="none"/>
          <w:lang w:val="en-US"/>
        </w:rPr>
      </w:pPr>
      <w:r>
        <w:rPr>
          <w:rFonts w:hint="eastAsia" w:ascii="宋体" w:hAnsi="宋体" w:eastAsia="宋体" w:cs="宋体"/>
          <w:color w:val="auto"/>
          <w:sz w:val="24"/>
          <w:szCs w:val="24"/>
          <w:lang w:val="en-US" w:eastAsia="zh-CN"/>
        </w:rPr>
        <w:br w:type="page"/>
      </w:r>
    </w:p>
    <w:p w14:paraId="41A22F36">
      <w:pPr>
        <w:pStyle w:val="2"/>
        <w:bidi w:val="0"/>
        <w:rPr>
          <w:rFonts w:hint="eastAsia"/>
          <w:color w:val="auto"/>
        </w:rPr>
      </w:pPr>
      <w:bookmarkStart w:id="784" w:name="_Toc21053"/>
      <w:bookmarkStart w:id="785" w:name="_Toc17158"/>
      <w:bookmarkStart w:id="786" w:name="_Toc25043"/>
      <w:bookmarkStart w:id="787" w:name="_Toc1673441739"/>
      <w:bookmarkStart w:id="788" w:name="_Toc20143314"/>
      <w:bookmarkStart w:id="789" w:name="_Toc32489"/>
      <w:bookmarkStart w:id="790" w:name="_Toc279468836"/>
      <w:bookmarkStart w:id="791" w:name="_Toc895747147"/>
      <w:bookmarkStart w:id="792" w:name="_Toc11062"/>
      <w:bookmarkStart w:id="793" w:name="_Toc1832007363"/>
      <w:bookmarkStart w:id="794" w:name="_Toc30555"/>
      <w:bookmarkStart w:id="795" w:name="_Toc1439834044"/>
      <w:bookmarkStart w:id="796" w:name="_Toc10448"/>
      <w:bookmarkStart w:id="797" w:name="_Toc1475242409"/>
      <w:bookmarkStart w:id="798" w:name="_Toc423122836"/>
      <w:bookmarkStart w:id="799" w:name="_Toc2024402625"/>
      <w:r>
        <w:rPr>
          <w:rFonts w:hint="eastAsia"/>
          <w:color w:val="auto"/>
          <w:lang w:val="en-US" w:eastAsia="zh-CN"/>
        </w:rPr>
        <w:t>参考文献</w:t>
      </w:r>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p w14:paraId="7E36AD28">
      <w:pPr>
        <w:pStyle w:val="4"/>
        <w:bidi w:val="0"/>
        <w:rPr>
          <w:rFonts w:hint="eastAsia"/>
          <w:color w:val="auto"/>
        </w:rPr>
      </w:pPr>
      <w:bookmarkStart w:id="800" w:name="_Toc485990663"/>
      <w:bookmarkStart w:id="801" w:name="_Toc1445043112"/>
      <w:bookmarkStart w:id="802" w:name="_Toc2074702902"/>
      <w:bookmarkStart w:id="803" w:name="_Toc1107149435"/>
      <w:bookmarkStart w:id="804" w:name="_Toc1551498954"/>
      <w:r>
        <w:rPr>
          <w:rFonts w:hint="eastAsia"/>
          <w:color w:val="auto"/>
          <w:lang w:val="en-US" w:eastAsia="zh-CN"/>
        </w:rPr>
        <w:t>一、经典著作与外文文献</w:t>
      </w:r>
      <w:bookmarkEnd w:id="800"/>
      <w:bookmarkEnd w:id="801"/>
      <w:bookmarkEnd w:id="802"/>
      <w:bookmarkEnd w:id="803"/>
      <w:bookmarkEnd w:id="804"/>
    </w:p>
    <w:p w14:paraId="37A5868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 xml:space="preserve">[1] </w:t>
      </w:r>
      <w:r>
        <w:rPr>
          <w:rFonts w:hint="eastAsia" w:ascii="宋体" w:hAnsi="宋体" w:eastAsia="宋体" w:cs="宋体"/>
          <w:color w:val="auto"/>
          <w:sz w:val="21"/>
          <w:szCs w:val="21"/>
          <w:lang w:val="en-US" w:eastAsia="zh-CN"/>
        </w:rPr>
        <w:t>杜维明. 儒家思想：以创造转化为自我认同[M]. 北京：生活·读书·新知三联书店，2013.</w:t>
      </w:r>
    </w:p>
    <w:p w14:paraId="7614693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[3] </w:t>
      </w:r>
      <w:r>
        <w:rPr>
          <w:rFonts w:hint="default" w:ascii="Times New Roman" w:hAnsi="Times New Roman" w:eastAsia="宋体" w:cs="Times New Roman"/>
          <w:color w:val="auto"/>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[4] </w:t>
      </w:r>
      <w:r>
        <w:rPr>
          <w:rFonts w:hint="default" w:ascii="Times New Roman" w:hAnsi="Times New Roman" w:eastAsia="宋体" w:cs="Times New Roman"/>
          <w:color w:val="auto"/>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[5] </w:t>
      </w:r>
      <w:r>
        <w:rPr>
          <w:rFonts w:hint="default" w:ascii="Times New Roman" w:hAnsi="Times New Roman" w:eastAsia="宋体" w:cs="Times New Roman"/>
          <w:color w:val="auto"/>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[6] </w:t>
      </w:r>
      <w:r>
        <w:rPr>
          <w:rFonts w:hint="default" w:ascii="Times New Roman" w:hAnsi="Times New Roman" w:eastAsia="宋体" w:cs="Times New Roman"/>
          <w:color w:val="auto"/>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color w:val="auto"/>
          <w:sz w:val="21"/>
          <w:szCs w:val="21"/>
        </w:rPr>
        <w:t>Bevans, Stephen B. Models of Contextual Theology. Maryknoll: Orbis Books, 2002.</w:t>
      </w:r>
      <w:r>
        <w:rPr>
          <w:color w:val="FF0000"/>
        </w:rPr>
        <w:t xml:space="preserve">, pp. 28-45.</w:t>
      </w:r>
    </w:p>
    <w:p w14:paraId="7E6982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color w:val="auto"/>
          <w:sz w:val="21"/>
          <w:szCs w:val="21"/>
        </w:rPr>
        <w:t>Bhabha, Homi K. The Location of Culture. London: Routledge, 1994.</w:t>
      </w:r>
      <w:r>
        <w:rPr>
          <w:color w:val="FF0000"/>
        </w:rPr>
        <w:t xml:space="preserve">, pp. 102-122.</w:t>
      </w:r>
    </w:p>
    <w:p w14:paraId="22A80B5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[9] </w:t>
      </w:r>
      <w:r>
        <w:rPr>
          <w:rFonts w:hint="default" w:ascii="Times New Roman" w:hAnsi="Times New Roman" w:eastAsia="宋体" w:cs="Times New Roman"/>
          <w:color w:val="auto"/>
          <w:sz w:val="21"/>
          <w:szCs w:val="21"/>
        </w:rPr>
        <w:t>Casanova, José. Public Religions in the Modern World. Chicago: University of Chicago Press, 1994.</w:t>
      </w:r>
    </w:p>
    <w:p w14:paraId="2C37925A">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[10] </w:t>
      </w:r>
      <w:r>
        <w:rPr>
          <w:rFonts w:hint="default" w:ascii="Times New Roman" w:hAnsi="Times New Roman" w:eastAsia="宋体" w:cs="Times New Roman"/>
          <w:color w:val="auto"/>
          <w:sz w:val="21"/>
          <w:szCs w:val="21"/>
        </w:rPr>
        <w:t>Hauerwas, Stanley. A Community of Character: Toward a Constructive Christian Social Ethic. Notre Dame: University of Notre Dame Press, 1981.</w:t>
      </w:r>
    </w:p>
    <w:p w14:paraId="14B819F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[11] </w:t>
      </w:r>
      <w:r>
        <w:rPr>
          <w:rFonts w:hint="default" w:ascii="Times New Roman" w:hAnsi="Times New Roman" w:eastAsia="宋体" w:cs="Times New Roman"/>
          <w:color w:val="auto"/>
          <w:sz w:val="21"/>
          <w:szCs w:val="21"/>
        </w:rPr>
        <w:t>Küng, Hans, and Julia Ching. Christianity and Chinese Religions. New York: Doubleday, 1989.</w:t>
      </w:r>
    </w:p>
    <w:p w14:paraId="7826D2CF">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[12] </w:t>
      </w:r>
      <w:r>
        <w:rPr>
          <w:rFonts w:hint="default" w:ascii="Times New Roman" w:hAnsi="Times New Roman" w:eastAsia="宋体" w:cs="Times New Roman"/>
          <w:color w:val="auto"/>
          <w:sz w:val="21"/>
          <w:szCs w:val="21"/>
        </w:rPr>
        <w:t>Lian Xi. The Conversion of Missionaries: Liberalism in American Protestant Missions in China, 1907-1932. University Park: Pennsylvania State University Press, 1997.</w:t>
      </w:r>
    </w:p>
    <w:p w14:paraId="644BA8F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[13] </w:t>
      </w:r>
      <w:r>
        <w:rPr>
          <w:rFonts w:hint="default" w:ascii="Times New Roman" w:hAnsi="Times New Roman" w:eastAsia="宋体" w:cs="Times New Roman"/>
          <w:color w:val="auto"/>
          <w:sz w:val="21"/>
          <w:szCs w:val="21"/>
        </w:rPr>
        <w:t>Madsen, Richard. China's Catholics: Tragedy and Hope in an Emerging Civil Society. Berkeley: University of California Press, 1998.</w:t>
      </w:r>
    </w:p>
    <w:p w14:paraId="50068F8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[14] </w:t>
      </w:r>
      <w:r>
        <w:rPr>
          <w:rFonts w:hint="default" w:ascii="Times New Roman" w:hAnsi="Times New Roman" w:eastAsia="宋体" w:cs="Times New Roman"/>
          <w:color w:val="auto"/>
          <w:sz w:val="21"/>
          <w:szCs w:val="21"/>
        </w:rPr>
        <w:t>Niebuhr, H. Richard. Christ and Culture. New York: Harper &amp; Row, 1951.</w:t>
      </w:r>
    </w:p>
    <w:p w14:paraId="0551E4A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 xml:space="preserve">] </w:t>
      </w:r>
      <w:r>
        <w:rPr>
          <w:color w:val="auto"/>
          <w:sz w:val="21"/>
          <w:szCs w:val="21"/>
        </w:rPr>
        <w:t>Nygren, Anders. Agape and Eros: The Christian Idea of Love. Chicago: University of Chicago Press</w:t>
      </w:r>
      <w:r>
        <w:rPr>
          <w:color w:val="auto"/>
          <w:sz w:val="21"/>
          <w:szCs w:val="21"/>
        </w:rPr>
        <w:t>, 1982., pp. 45-67.</w:t>
      </w:r>
    </w:p>
    <w:p w14:paraId="546EAA7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[16] </w:t>
      </w:r>
      <w:r>
        <w:rPr>
          <w:rFonts w:hint="default" w:ascii="Times New Roman" w:hAnsi="Times New Roman" w:eastAsia="宋体" w:cs="Times New Roman"/>
          <w:color w:val="auto"/>
          <w:sz w:val="21"/>
          <w:szCs w:val="21"/>
        </w:rPr>
        <w:t>Pope Benedict XVI. Deus Caritas Est (Encyclical Letter). Vatican: Libreria Editrice Vaticana, 2005.</w:t>
      </w:r>
    </w:p>
    <w:p w14:paraId="69FE14F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7</w:t>
      </w:r>
      <w:r>
        <w:rPr>
          <w:rFonts w:hint="eastAsia" w:ascii="宋体" w:hAnsi="宋体" w:eastAsia="宋体" w:cs="宋体"/>
          <w:color w:val="auto"/>
          <w:sz w:val="21"/>
          <w:szCs w:val="21"/>
        </w:rPr>
        <w:t xml:space="preserve">] </w:t>
      </w:r>
      <w:r>
        <w:rPr>
          <w:color w:val="auto"/>
          <w:sz w:val="21"/>
          <w:szCs w:val="21"/>
        </w:rPr>
        <w:t>Rawls, John. Political Liberalism. New York: Columbia University Press, 1993., pp. 133-172.</w:t>
      </w:r>
    </w:p>
    <w:p w14:paraId="7EBA3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[18] </w:t>
      </w:r>
      <w:r>
        <w:rPr>
          <w:rFonts w:hint="default" w:ascii="Times New Roman" w:hAnsi="Times New Roman" w:eastAsia="宋体" w:cs="Times New Roman"/>
          <w:color w:val="auto"/>
          <w:sz w:val="21"/>
          <w:szCs w:val="21"/>
        </w:rPr>
        <w:t>Stark, Rodney, and Roger Finke. Acts of Faith: Explaining the Human Side of Religion. Berkeley: University of California Press, 2000.</w:t>
      </w:r>
    </w:p>
    <w:p w14:paraId="5F3EC2D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[19] </w:t>
      </w:r>
      <w:r>
        <w:rPr>
          <w:rFonts w:hint="default" w:ascii="Times New Roman" w:hAnsi="Times New Roman" w:eastAsia="宋体" w:cs="Times New Roman"/>
          <w:color w:val="auto"/>
          <w:sz w:val="21"/>
          <w:szCs w:val="21"/>
        </w:rPr>
        <w:t>Tillich, Paul. Systematic Theology, Vol. 1. Translated by Gong Shusen et al. Taipei: Taiwan Southeast Asia Seminary, 1993.</w:t>
      </w:r>
    </w:p>
    <w:p w14:paraId="26F53E6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[20] </w:t>
      </w:r>
      <w:r>
        <w:rPr>
          <w:rFonts w:hint="default" w:ascii="Times New Roman" w:hAnsi="Times New Roman" w:eastAsia="宋体" w:cs="Times New Roman"/>
          <w:color w:val="auto"/>
          <w:sz w:val="21"/>
          <w:szCs w:val="21"/>
        </w:rPr>
        <w:t>Tracy, David. The Analogical Imagination: Christian Theology and the Culture of Pluralism. New York: Crossroad, 1981.</w:t>
      </w:r>
    </w:p>
    <w:p w14:paraId="2531589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[21] </w:t>
      </w:r>
      <w:r>
        <w:rPr>
          <w:rFonts w:hint="default" w:ascii="Times New Roman" w:hAnsi="Times New Roman" w:eastAsia="宋体" w:cs="Times New Roman"/>
          <w:color w:val="auto"/>
          <w:sz w:val="21"/>
          <w:szCs w:val="21"/>
        </w:rPr>
        <w:t>Troeltsch, Ernst. The Social Teaching of the Christian Churches. Translated by Olive Wyon. New York: Macmillan, 1931.</w:t>
      </w:r>
    </w:p>
    <w:p w14:paraId="6F19E20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[22] </w:t>
      </w:r>
      <w:r>
        <w:rPr>
          <w:rFonts w:hint="default" w:ascii="Times New Roman" w:hAnsi="Times New Roman" w:eastAsia="宋体" w:cs="Times New Roman"/>
          <w:color w:val="auto"/>
          <w:sz w:val="21"/>
          <w:szCs w:val="21"/>
        </w:rPr>
        <w:t>Tu Weiming. Confucian Thought: Selfhood as Creative Transformation. Albany: State University of New York Press, 1985.</w:t>
      </w:r>
    </w:p>
    <w:p w14:paraId="5B3298DE">
      <w:pPr>
        <w:keepNext w:val="0"/>
        <w:keepLines w:val="0"/>
        <w:widowControl/>
        <w:suppressLineNumbers w:val="0"/>
        <w:jc w:val="left"/>
        <w:rPr>
          <w:rFonts w:hint="default" w:ascii="Times New Roman" w:hAnsi="Times New Roman" w:eastAsia="宋体" w:cs="Times New Roman"/>
          <w:color w:val="auto"/>
          <w:sz w:val="21"/>
          <w:szCs w:val="21"/>
          <w:lang w:val="en-US" w:eastAsia="zh-CN"/>
        </w:rPr>
      </w:pPr>
      <w:r>
        <w:rPr>
          <w:rFonts w:hint="eastAsia" w:ascii="宋体" w:hAnsi="宋体" w:eastAsia="宋体" w:cs="宋体"/>
          <w:snapToGrid/>
          <w:color w:val="auto"/>
          <w:kern w:val="2"/>
          <w:sz w:val="21"/>
          <w:szCs w:val="21"/>
          <w:lang w:val="en-US" w:eastAsia="zh-CN" w:bidi="ar"/>
        </w:rPr>
        <w:t xml:space="preserve">[23] </w:t>
      </w:r>
      <w:r>
        <w:rPr>
          <w:color w:val="auto"/>
          <w:sz w:val="21"/>
          <w:szCs w:val="21"/>
        </w:rPr>
        <w:t xml:space="preserve">Weber, Max. The Protestant Ethic and </w:t>
      </w:r>
      <w:r>
        <w:rPr>
          <w:color w:val="auto"/>
          <w:sz w:val="21"/>
          <w:szCs w:val="21"/>
        </w:rPr>
        <w:t>the Spirit of Capitalism. Translated by Talcott Parsons. New York: Charles Scribner's Sons, 1958., pp. 90-110.</w:t>
      </w:r>
    </w:p>
    <w:p w14:paraId="39B35033">
      <w:pPr>
        <w:pStyle w:val="4"/>
        <w:bidi w:val="0"/>
        <w:rPr>
          <w:rFonts w:hint="eastAsia"/>
          <w:color w:val="auto"/>
        </w:rPr>
      </w:pPr>
      <w:bookmarkStart w:id="805" w:name="_Toc1164763500"/>
      <w:bookmarkStart w:id="806" w:name="_Toc839697575"/>
      <w:bookmarkStart w:id="807" w:name="_Toc947019461"/>
      <w:bookmarkStart w:id="808" w:name="_Toc2062236437"/>
      <w:bookmarkStart w:id="809" w:name="_Toc1296478004"/>
      <w:r>
        <w:rPr>
          <w:rFonts w:hint="eastAsia"/>
          <w:color w:val="auto"/>
          <w:lang w:val="en-US" w:eastAsia="zh-CN"/>
        </w:rPr>
        <w:t>二、中文专著</w:t>
      </w:r>
      <w:bookmarkEnd w:id="805"/>
      <w:bookmarkEnd w:id="806"/>
      <w:bookmarkEnd w:id="807"/>
      <w:bookmarkEnd w:id="808"/>
      <w:bookmarkEnd w:id="809"/>
    </w:p>
    <w:p w14:paraId="0B3D203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[24] 安乐哲. 儒家角色伦理学：一套特色伦理学词汇[M]. 杭州：浙江人民出版社，2020.</w:t>
      </w:r>
    </w:p>
    <w:p w14:paraId="73FB8B7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[25] 陈来. 中华文明的核心价值：国学流变与传统价值观[M]. 北京：生活·读书·新知三联书店，2015.</w:t>
      </w:r>
    </w:p>
    <w:p w14:paraId="341C117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[26] 陈先达. 马克思主义宗教观研究[M]. 北京：中国人民大学出版社，2018.</w:t>
      </w:r>
    </w:p>
    <w:p w14:paraId="71BF49C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[27] 陈宗皋. 宗教工作概论[M]. 北京：宗教文化出版社，2015.</w:t>
      </w:r>
    </w:p>
    <w:p w14:paraId="2B1672E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[28] 段琦. 奋进的历程：中国基督教的本色化[M]. 北京：商务印书馆，2004.</w:t>
      </w:r>
    </w:p>
    <w:p w14:paraId="74BDDB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[29] 冯今源. 中国伊斯兰教史[M]. 银川：宁夏人民出版社，2012.</w:t>
      </w:r>
    </w:p>
    <w:p w14:paraId="65AEC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[30] 龚学增. 社会主义与宗教[M]. 北京：宗教文化出版社，2003.</w:t>
      </w:r>
    </w:p>
    <w:p w14:paraId="57A1D38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[31] 李平晔. 基督教中国化研究[M]. 北京：宗教文化出版社，2016.</w:t>
      </w:r>
    </w:p>
    <w:p w14:paraId="094322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[32] 马桦. 宗教与社会主义社会相适应研究[M]. 北京：民族出版社，2017.</w:t>
      </w:r>
    </w:p>
    <w:p w14:paraId="104F84A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[33] 莫幸福. 浙江宗教史[M]. 杭州：浙江人民出版社，2011.</w:t>
      </w:r>
    </w:p>
    <w:p w14:paraId="1B1E114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[34] 牟钟鉴. 宗教中国化研究[M]. 北京：宗教文化出版社，2018.</w:t>
      </w:r>
    </w:p>
    <w:p w14:paraId="137193CD">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[35] 唐晓峰. 中国基督教本土化研究[M]. 北京：宗教文化出版社，2017.</w:t>
      </w:r>
    </w:p>
    <w:p w14:paraId="68D8F2D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[36] 万俊人. 寻求普世伦理[M]. 北京：商务印书馆，2001.</w:t>
      </w:r>
    </w:p>
    <w:p w14:paraId="29D0E90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[37] 王晓朝. 基督教与帝国文化[M]. 北京：东方出版社，1997.</w:t>
      </w:r>
    </w:p>
    <w:p w14:paraId="265B1BB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[38] 王作安. 宗教中国化研究[M]. 北京：宗教文化出版社，2019.</w:t>
      </w:r>
    </w:p>
    <w:p w14:paraId="448FA2C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[39] 徐以骅. 宗教与美国社会[M]. 北京：时事出版社，2004.</w:t>
      </w:r>
    </w:p>
    <w:p w14:paraId="362BB2E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[40] 游斌. 基督教与中国文化[M]. 北京：宗教文化出版社，2018.</w:t>
      </w:r>
    </w:p>
    <w:p w14:paraId="59F9DC4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[41] 余纪元. 德性之镜：孔子与亚里士多德的伦理学[M]. 北京：中国人民大学出版社，2009.</w:t>
      </w:r>
    </w:p>
    <w:p w14:paraId="25B5DD7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[42] 张志刚. 宗教研究指要[M]. 北京：北京大学出版社，2020.</w:t>
      </w:r>
    </w:p>
    <w:p w14:paraId="1BBC4AB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[43] 赵敦华. 基督教哲学1500年[M]. 北京：人民出版社，1994.</w:t>
      </w:r>
    </w:p>
    <w:p w14:paraId="2EAB7BA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[44] 中央统战部. 新时代统一战线知识简明读本[M]. 北京：华文出版社，2020.</w:t>
      </w:r>
    </w:p>
    <w:p w14:paraId="37378B6A">
      <w:pPr>
        <w:pStyle w:val="4"/>
        <w:bidi w:val="0"/>
        <w:rPr>
          <w:rFonts w:hint="eastAsia"/>
          <w:color w:val="auto"/>
        </w:rPr>
      </w:pPr>
      <w:bookmarkStart w:id="810" w:name="_Toc1554773110"/>
      <w:bookmarkStart w:id="811" w:name="_Toc1866702095"/>
      <w:bookmarkStart w:id="812" w:name="_Toc1682098588"/>
      <w:bookmarkStart w:id="813" w:name="_Toc1769217726"/>
      <w:bookmarkStart w:id="814" w:name="_Toc1536730766"/>
      <w:r>
        <w:rPr>
          <w:rFonts w:hint="eastAsia"/>
          <w:color w:val="auto"/>
          <w:lang w:val="en-US" w:eastAsia="zh-CN"/>
        </w:rPr>
        <w:t>三、中文期刊论文与学位论文（2022-2025年最新成果）</w:t>
      </w:r>
      <w:bookmarkEnd w:id="810"/>
      <w:bookmarkEnd w:id="811"/>
      <w:bookmarkEnd w:id="812"/>
      <w:bookmarkEnd w:id="813"/>
      <w:bookmarkEnd w:id="814"/>
    </w:p>
    <w:p w14:paraId="38038323">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[46] 陈金羽. Q教会服务队与社会工作融合研究[D]. 福州：福建师范大学，2020.</w:t>
      </w:r>
    </w:p>
    <w:p w14:paraId="430B1E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[47] 陈琳. 儒家“仁爱”与基督教“圣爱”思想的比较研究[J]. 咸阳师范学院学报，2012，27（10）：167-168.</w:t>
      </w:r>
    </w:p>
    <w:p w14:paraId="21F52693">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48</w:t>
      </w:r>
      <w:r>
        <w:rPr>
          <w:rFonts w:hint="eastAsia" w:ascii="宋体" w:hAnsi="宋体" w:eastAsia="宋体" w:cs="宋体"/>
          <w:color w:val="auto"/>
          <w:sz w:val="21"/>
          <w:szCs w:val="21"/>
        </w:rPr>
        <w:t>] 陈宗皋. 基督教公益慈善"去标识化"路径探析[J]. 中国宗教, 2025(1): 18-24.</w:t>
      </w:r>
    </w:p>
    <w:p w14:paraId="112892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50</w:t>
      </w:r>
      <w:r>
        <w:rPr>
          <w:rFonts w:hint="eastAsia" w:ascii="宋体" w:hAnsi="宋体" w:eastAsia="宋体" w:cs="宋体"/>
          <w:color w:val="auto"/>
          <w:sz w:val="21"/>
          <w:szCs w:val="21"/>
        </w:rPr>
        <w:t>] 何虎生，胡竞方. 新中国·新时期·新时代坚持我国宗教中国化的发展历程研究[J]. 世界宗教研究，2020（1）：1-12.</w:t>
      </w:r>
    </w:p>
    <w:p w14:paraId="312C546B">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51</w:t>
      </w:r>
      <w:r>
        <w:rPr>
          <w:rFonts w:hint="eastAsia" w:ascii="宋体" w:hAnsi="宋体" w:eastAsia="宋体" w:cs="宋体"/>
          <w:color w:val="auto"/>
          <w:sz w:val="21"/>
          <w:szCs w:val="21"/>
        </w:rPr>
        <w:t>] 何明. 社会主义核心价值观融入宗教教育的实践研究[J]. 宗教学研究, 2024(3): 56-63.</w:t>
      </w:r>
    </w:p>
    <w:p w14:paraId="5C8D9B3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2</w:t>
      </w:r>
      <w:r>
        <w:rPr>
          <w:rFonts w:hint="eastAsia" w:ascii="宋体" w:hAnsi="宋体" w:eastAsia="宋体" w:cs="宋体"/>
          <w:color w:val="auto"/>
          <w:sz w:val="21"/>
          <w:szCs w:val="21"/>
        </w:rPr>
        <w:t>]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3</w:t>
      </w:r>
      <w:r>
        <w:rPr>
          <w:rFonts w:hint="eastAsia" w:ascii="宋体" w:hAnsi="宋体" w:eastAsia="宋体" w:cs="宋体"/>
          <w:color w:val="auto"/>
          <w:sz w:val="21"/>
          <w:szCs w:val="21"/>
        </w:rPr>
        <w:t>] 吕臻雨. 泸州教会社会服务实践研究[D]. 成都：四川大学，2019.</w:t>
      </w:r>
    </w:p>
    <w:p w14:paraId="652DF8A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4</w:t>
      </w:r>
      <w:r>
        <w:rPr>
          <w:rFonts w:hint="eastAsia" w:ascii="宋体" w:hAnsi="宋体" w:eastAsia="宋体" w:cs="宋体"/>
          <w:color w:val="auto"/>
          <w:sz w:val="21"/>
          <w:szCs w:val="21"/>
        </w:rPr>
        <w:t>] 牟钟鉴. 如何深入理解“坚持中国化方向”——学习习总书记讲话的体会[J]. 世界宗教研究，2016（3）：13-18.</w:t>
      </w:r>
    </w:p>
    <w:p w14:paraId="34C4EFF3">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55</w:t>
      </w:r>
      <w:r>
        <w:rPr>
          <w:rFonts w:hint="eastAsia" w:ascii="宋体" w:hAnsi="宋体" w:eastAsia="宋体" w:cs="宋体"/>
          <w:color w:val="auto"/>
          <w:sz w:val="21"/>
          <w:szCs w:val="21"/>
        </w:rPr>
        <w:t>] 唐晓峰. 新时代基督教中国化的实践探索与理论反思[J]. 世界宗教文化, 2024(2): 34-41.</w:t>
      </w:r>
    </w:p>
    <w:p w14:paraId="70ED18A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6</w:t>
      </w:r>
      <w:r>
        <w:rPr>
          <w:rFonts w:hint="eastAsia" w:ascii="宋体" w:hAnsi="宋体" w:eastAsia="宋体" w:cs="宋体"/>
          <w:color w:val="auto"/>
          <w:sz w:val="21"/>
          <w:szCs w:val="21"/>
        </w:rPr>
        <w:t>]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7</w:t>
      </w:r>
      <w:r>
        <w:rPr>
          <w:rFonts w:hint="eastAsia" w:ascii="宋体" w:hAnsi="宋体" w:eastAsia="宋体" w:cs="宋体"/>
          <w:color w:val="auto"/>
          <w:sz w:val="21"/>
          <w:szCs w:val="21"/>
        </w:rPr>
        <w:t>] 王作安. 宗教与社会主义社会相适应的理论与实践[J]. 中国宗教，2018（5）：4-7.</w:t>
      </w:r>
    </w:p>
    <w:p w14:paraId="48B0C4E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习近平. 在全国宗教工作会议上的讲话[N]. 人民日报，2016-04-24（002）.</w:t>
      </w:r>
    </w:p>
    <w:p w14:paraId="50E3B9A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习近平. 在全国宗教工作会议上的讲话[N]. 人民日报，2021-12-05（002）.</w:t>
      </w:r>
    </w:p>
    <w:p w14:paraId="154FE3A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60</w:t>
      </w:r>
      <w:r>
        <w:rPr>
          <w:rFonts w:hint="eastAsia" w:ascii="宋体" w:hAnsi="宋体" w:eastAsia="宋体" w:cs="宋体"/>
          <w:color w:val="auto"/>
          <w:sz w:val="21"/>
          <w:szCs w:val="21"/>
        </w:rPr>
        <w:t>] 杨宝安. 儒家仁爱与基督教博爱思想比较研究[D]. 兰州：西北师范大学，2011.</w:t>
      </w:r>
    </w:p>
    <w:p w14:paraId="645EDA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61</w:t>
      </w:r>
      <w:r>
        <w:rPr>
          <w:rFonts w:hint="eastAsia" w:ascii="宋体" w:hAnsi="宋体" w:eastAsia="宋体" w:cs="宋体"/>
          <w:color w:val="auto"/>
          <w:sz w:val="21"/>
          <w:szCs w:val="21"/>
        </w:rPr>
        <w:t>] 杨凤岗. 中国基督徒的社会认同与“叠合身份”困境[J]. 社会，2012，32（4）：1-22.</w:t>
      </w:r>
    </w:p>
    <w:p w14:paraId="1F56E62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61</w:t>
      </w:r>
      <w:r>
        <w:rPr>
          <w:rFonts w:hint="eastAsia" w:ascii="宋体" w:hAnsi="宋体" w:eastAsia="宋体" w:cs="宋体"/>
          <w:color w:val="auto"/>
          <w:sz w:val="21"/>
          <w:szCs w:val="21"/>
        </w:rPr>
        <w:t>] 游斌. 深入推进我国宗教中国化，增进“五个认同”[N]. 中国民族报，2022-04-08（005）.</w:t>
      </w:r>
    </w:p>
    <w:p w14:paraId="552B8C3C">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63</w:t>
      </w:r>
      <w:r>
        <w:rPr>
          <w:rFonts w:hint="eastAsia" w:ascii="宋体" w:hAnsi="宋体" w:eastAsia="宋体" w:cs="宋体"/>
          <w:color w:val="auto"/>
          <w:sz w:val="21"/>
          <w:szCs w:val="21"/>
        </w:rPr>
        <w:t>] 游斌. 基督教中国化的神学建构与话语创新[J]. 中国宗教, 2024(5): 22-28.</w:t>
      </w:r>
    </w:p>
    <w:p w14:paraId="479201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4</w:t>
      </w:r>
      <w:r>
        <w:rPr>
          <w:rFonts w:hint="eastAsia" w:ascii="宋体" w:hAnsi="宋体" w:eastAsia="宋体" w:cs="宋体"/>
          <w:color w:val="auto"/>
          <w:sz w:val="21"/>
          <w:szCs w:val="21"/>
        </w:rPr>
        <w:t>] 张志刚. “宗教中国化”义理沉思[J]. 世界宗教研究，2016（3）：1-12.</w:t>
      </w:r>
    </w:p>
    <w:p w14:paraId="52CF5AF6">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5</w:t>
      </w:r>
      <w:r>
        <w:rPr>
          <w:rFonts w:hint="eastAsia" w:ascii="宋体" w:hAnsi="宋体" w:eastAsia="宋体" w:cs="宋体"/>
          <w:color w:val="auto"/>
          <w:sz w:val="21"/>
          <w:szCs w:val="21"/>
        </w:rPr>
        <w:t>] 张忠成. 基督教伦理与社会主义核心价值观之刍议[C]//基督教中国化神学思想建设第十九次研讨会论文集. 杭州：浙江省基督教两会，2019.</w:t>
      </w:r>
    </w:p>
    <w:p w14:paraId="246E89FA">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66</w:t>
      </w:r>
      <w:r>
        <w:rPr>
          <w:rFonts w:hint="eastAsia" w:ascii="宋体" w:hAnsi="宋体" w:eastAsia="宋体" w:cs="宋体"/>
          <w:color w:val="auto"/>
          <w:sz w:val="21"/>
          <w:szCs w:val="21"/>
        </w:rPr>
        <w:t>] 张志刚. 深入推进我国宗教中国化的学理基础与实践路径[J]. 世界宗教研究, 2024(1): 1-15.</w:t>
      </w:r>
    </w:p>
    <w:p w14:paraId="6C826D0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67</w:t>
      </w:r>
      <w:r>
        <w:rPr>
          <w:rFonts w:hint="eastAsia" w:ascii="宋体" w:hAnsi="宋体" w:eastAsia="宋体" w:cs="宋体"/>
          <w:color w:val="auto"/>
          <w:sz w:val="21"/>
          <w:szCs w:val="21"/>
        </w:rPr>
        <w:t>] 赵天恩. 中国教会史研究[M]//基督教学术（第1辑）. 上海：上海古籍出版社，2002.</w:t>
      </w:r>
    </w:p>
    <w:p w14:paraId="7E9284A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70</w:t>
      </w:r>
      <w:r>
        <w:rPr>
          <w:rFonts w:hint="eastAsia" w:ascii="宋体" w:hAnsi="宋体" w:eastAsia="宋体" w:cs="宋体"/>
          <w:color w:val="auto"/>
          <w:sz w:val="21"/>
          <w:szCs w:val="21"/>
        </w:rPr>
        <w:t>] 中国基督教全国两会. 2024年工作要点[Z]. 2024.</w:t>
      </w:r>
    </w:p>
    <w:p w14:paraId="2016DF9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71</w:t>
      </w:r>
      <w:r>
        <w:rPr>
          <w:rFonts w:hint="eastAsia" w:ascii="宋体" w:hAnsi="宋体" w:eastAsia="宋体" w:cs="宋体"/>
          <w:color w:val="auto"/>
          <w:sz w:val="21"/>
          <w:szCs w:val="21"/>
        </w:rPr>
        <w:t>]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72</w:t>
      </w:r>
      <w:r>
        <w:rPr>
          <w:rFonts w:hint="eastAsia" w:ascii="宋体" w:hAnsi="宋体" w:eastAsia="宋体" w:cs="宋体"/>
          <w:color w:val="auto"/>
          <w:sz w:val="21"/>
          <w:szCs w:val="21"/>
        </w:rPr>
        <w:t>] 朱全红，张苹英. 儒家“仁爱”伦理与基督教“博爱”伦理思想比较研究[J]. 吉首大学学报（社会科学版），2002，23（4）：53-58.</w:t>
      </w:r>
    </w:p>
    <w:p w14:paraId="5CCAA138">
      <w:pPr>
        <w:pStyle w:val="4"/>
        <w:bidi w:val="0"/>
        <w:rPr>
          <w:rFonts w:hint="eastAsia"/>
          <w:color w:val="auto"/>
          <w:lang w:val="en-US" w:eastAsia="zh-CN"/>
        </w:rPr>
      </w:pPr>
      <w:bookmarkStart w:id="815" w:name="_Toc1556239408"/>
      <w:bookmarkStart w:id="816" w:name="_Toc1073511642"/>
      <w:bookmarkStart w:id="817" w:name="_Toc490643074"/>
      <w:bookmarkStart w:id="818" w:name="_Toc1183744520"/>
      <w:bookmarkStart w:id="819" w:name="_Toc48161693"/>
      <w:r>
        <w:rPr>
          <w:rFonts w:hint="eastAsia"/>
          <w:color w:val="auto"/>
          <w:lang w:val="en-US" w:eastAsia="zh-CN"/>
        </w:rPr>
        <w:t>四、政策文件与法规</w:t>
      </w:r>
      <w:bookmarkEnd w:id="815"/>
      <w:bookmarkEnd w:id="816"/>
      <w:bookmarkEnd w:id="817"/>
      <w:bookmarkEnd w:id="818"/>
      <w:bookmarkEnd w:id="819"/>
    </w:p>
    <w:p w14:paraId="6153320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73</w:t>
      </w:r>
      <w:r>
        <w:rPr>
          <w:rFonts w:hint="eastAsia" w:ascii="宋体" w:hAnsi="宋体" w:eastAsia="宋体" w:cs="宋体"/>
          <w:color w:val="auto"/>
          <w:sz w:val="21"/>
          <w:szCs w:val="21"/>
        </w:rPr>
        <w:t>] 国家宗教事务局. 关于支持宗教界开展公益慈善活动的意见[Z]. 2012.</w:t>
      </w:r>
    </w:p>
    <w:p w14:paraId="12D593B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74</w:t>
      </w:r>
      <w:r>
        <w:rPr>
          <w:rFonts w:hint="eastAsia" w:ascii="宋体" w:hAnsi="宋体" w:eastAsia="宋体" w:cs="宋体"/>
          <w:color w:val="auto"/>
          <w:sz w:val="21"/>
          <w:szCs w:val="21"/>
        </w:rPr>
        <w:t>] 国家宗教事务局. 宗教团体管理办法[Z]. 2020-01-01.</w:t>
      </w:r>
    </w:p>
    <w:p w14:paraId="3879B1F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5</w:t>
      </w:r>
      <w:r>
        <w:rPr>
          <w:rFonts w:hint="eastAsia" w:ascii="宋体" w:hAnsi="宋体" w:eastAsia="宋体" w:cs="宋体"/>
          <w:color w:val="auto"/>
          <w:sz w:val="21"/>
          <w:szCs w:val="21"/>
        </w:rPr>
        <w:t>] 国务院. 宗教事务条例[Z]. 2017-08-26.</w:t>
      </w:r>
    </w:p>
    <w:p w14:paraId="6AF7C5C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6</w:t>
      </w:r>
      <w:r>
        <w:rPr>
          <w:rFonts w:hint="eastAsia" w:ascii="宋体" w:hAnsi="宋体" w:eastAsia="宋体" w:cs="宋体"/>
          <w:color w:val="auto"/>
          <w:sz w:val="21"/>
          <w:szCs w:val="21"/>
        </w:rPr>
        <w:t>]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7</w:t>
      </w:r>
      <w:r>
        <w:rPr>
          <w:rFonts w:hint="eastAsia" w:ascii="宋体" w:hAnsi="宋体" w:eastAsia="宋体" w:cs="宋体"/>
          <w:color w:val="auto"/>
          <w:sz w:val="21"/>
          <w:szCs w:val="21"/>
        </w:rPr>
        <w:t>] 中共中央、国务院. 关于坚持我国宗教中国化方向的意见[Z]. 2021.</w:t>
      </w:r>
    </w:p>
    <w:p w14:paraId="2F25BFC0">
      <w:pPr>
        <w:pStyle w:val="4"/>
        <w:bidi w:val="0"/>
        <w:rPr>
          <w:rFonts w:hint="eastAsia"/>
          <w:color w:val="auto"/>
          <w:lang w:val="en-US" w:eastAsia="zh-CN"/>
        </w:rPr>
      </w:pPr>
      <w:bookmarkStart w:id="820" w:name="_Toc1500048647"/>
      <w:bookmarkStart w:id="821" w:name="_Toc1512393443"/>
      <w:bookmarkStart w:id="822" w:name="_Toc2048423885"/>
      <w:bookmarkStart w:id="823" w:name="_Toc905641832"/>
      <w:bookmarkStart w:id="824" w:name="_Toc1999722979"/>
      <w:r>
        <w:rPr>
          <w:rFonts w:hint="eastAsia"/>
          <w:color w:val="auto"/>
          <w:lang w:val="en-US" w:eastAsia="zh-CN"/>
        </w:rPr>
        <w:t>五、网络资源与新闻报道</w:t>
      </w:r>
      <w:bookmarkEnd w:id="820"/>
      <w:bookmarkEnd w:id="821"/>
      <w:bookmarkEnd w:id="822"/>
      <w:bookmarkEnd w:id="823"/>
      <w:bookmarkEnd w:id="824"/>
    </w:p>
    <w:p w14:paraId="0C5F734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杭州圣爱康复医院官网. 医院介绍与服务项目[EB/OL]. https://www.hzsa.org.</w:t>
      </w:r>
    </w:p>
    <w:p w14:paraId="7CD1176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80</w:t>
      </w:r>
      <w:r>
        <w:rPr>
          <w:rFonts w:hint="eastAsia" w:ascii="宋体" w:hAnsi="宋体" w:eastAsia="宋体" w:cs="宋体"/>
          <w:color w:val="auto"/>
          <w:sz w:val="21"/>
          <w:szCs w:val="21"/>
        </w:rPr>
        <w:t>] 浙江光盐爱心基金会官网. 基金会章程与项目介绍[EB/OL]. https://www.zjgy.org.</w:t>
      </w:r>
    </w:p>
    <w:p w14:paraId="17F8CA4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81</w:t>
      </w:r>
      <w:r>
        <w:rPr>
          <w:rFonts w:hint="eastAsia" w:ascii="宋体" w:hAnsi="宋体" w:eastAsia="宋体" w:cs="宋体"/>
          <w:color w:val="auto"/>
          <w:sz w:val="21"/>
          <w:szCs w:val="21"/>
        </w:rPr>
        <w:t xml:space="preserve">] 浙江神学院官网. 学院简介与办学理念[EB/OL]. </w:t>
      </w:r>
      <w:r>
        <w:rPr>
          <w:rFonts w:hint="eastAsia" w:ascii="宋体" w:hAnsi="宋体" w:eastAsia="宋体" w:cs="宋体"/>
          <w:color w:val="auto"/>
          <w:sz w:val="21"/>
          <w:szCs w:val="21"/>
        </w:rPr>
        <w:fldChar w:fldCharType="begin"/>
      </w:r>
      <w:r>
        <w:rPr>
          <w:rFonts w:hint="eastAsia" w:ascii="宋体" w:hAnsi="宋体" w:eastAsia="宋体" w:cs="宋体"/>
          <w:color w:val="auto"/>
          <w:sz w:val="21"/>
          <w:szCs w:val="21"/>
        </w:rPr>
        <w:instrText xml:space="preserve"> HYPERLINK "https://www.zjtsxy.org." </w:instrText>
      </w:r>
      <w:r>
        <w:rPr>
          <w:rFonts w:hint="eastAsia" w:ascii="宋体" w:hAnsi="宋体" w:eastAsia="宋体" w:cs="宋体"/>
          <w:color w:val="auto"/>
          <w:sz w:val="21"/>
          <w:szCs w:val="21"/>
        </w:rPr>
        <w:fldChar w:fldCharType="separate"/>
      </w:r>
      <w:r>
        <w:rPr>
          <w:rStyle w:val="27"/>
          <w:rFonts w:hint="eastAsia" w:ascii="宋体" w:hAnsi="宋体" w:eastAsia="宋体" w:cs="宋体"/>
          <w:color w:val="auto"/>
          <w:sz w:val="21"/>
          <w:szCs w:val="21"/>
        </w:rPr>
        <w:t>https://www.zjtsxy.org.</w:t>
      </w:r>
      <w:r>
        <w:rPr>
          <w:rStyle w:val="27"/>
          <w:rFonts w:hint="eastAsia" w:ascii="宋体" w:hAnsi="宋体" w:eastAsia="宋体" w:cs="宋体"/>
          <w:color w:val="auto"/>
          <w:sz w:val="21"/>
          <w:szCs w:val="21"/>
        </w:rPr>
        <w:br w:type="page"/>
      </w:r>
      <w:r>
        <w:rPr>
          <w:rFonts w:hint="eastAsia" w:ascii="宋体" w:hAnsi="宋体" w:eastAsia="宋体" w:cs="宋体"/>
          <w:color w:val="auto"/>
          <w:sz w:val="21"/>
          <w:szCs w:val="21"/>
        </w:rPr>
        <w:fldChar w:fldCharType="end"/>
      </w:r>
    </w:p>
    <w:p w14:paraId="679E75FB">
      <w:pPr>
        <w:pStyle w:val="2"/>
        <w:bidi w:val="0"/>
        <w:rPr>
          <w:rFonts w:hint="eastAsia"/>
          <w:color w:val="auto"/>
          <w:lang w:val="en-US" w:eastAsia="zh-CN"/>
        </w:rPr>
      </w:pPr>
      <w:bookmarkStart w:id="825" w:name="_Toc2007077996"/>
      <w:bookmarkStart w:id="826" w:name="_Toc1700463448"/>
      <w:bookmarkStart w:id="827" w:name="_Toc1180150609"/>
      <w:bookmarkStart w:id="828" w:name="_Toc5632"/>
      <w:bookmarkStart w:id="829" w:name="_Toc1393745819"/>
      <w:bookmarkStart w:id="830" w:name="_Toc1549890138"/>
      <w:bookmarkStart w:id="831" w:name="_Toc2089466261"/>
      <w:bookmarkStart w:id="832" w:name="_Toc961934159"/>
      <w:bookmarkStart w:id="833" w:name="_Toc760"/>
      <w:bookmarkStart w:id="834" w:name="_Toc5919"/>
      <w:bookmarkStart w:id="835" w:name="_Toc14918"/>
      <w:bookmarkStart w:id="836" w:name="_Toc22685"/>
      <w:bookmarkStart w:id="837" w:name="_Toc1905664135"/>
      <w:bookmarkStart w:id="838" w:name="_Toc1225032503"/>
      <w:bookmarkStart w:id="839" w:name="_Toc16346"/>
      <w:bookmarkStart w:id="840" w:name="_Toc30436"/>
      <w:r>
        <w:rPr>
          <w:rFonts w:hint="eastAsia"/>
          <w:color w:val="auto"/>
        </w:rPr>
        <w:t>附 录</w:t>
      </w:r>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p>
    <w:p w14:paraId="29BD481E">
      <w:pPr>
        <w:pStyle w:val="4"/>
        <w:bidi w:val="0"/>
        <w:rPr>
          <w:rFonts w:hint="eastAsia"/>
          <w:color w:val="auto"/>
          <w:lang w:val="en-US" w:eastAsia="zh-CN"/>
        </w:rPr>
      </w:pPr>
      <w:bookmarkStart w:id="841" w:name="_Toc286751696"/>
      <w:bookmarkStart w:id="842" w:name="_Toc17303"/>
      <w:bookmarkStart w:id="843" w:name="_Toc20637"/>
      <w:bookmarkStart w:id="844" w:name="_Toc13564"/>
      <w:bookmarkStart w:id="845" w:name="_Toc18174"/>
      <w:bookmarkStart w:id="846" w:name="_Toc13764"/>
      <w:bookmarkStart w:id="847" w:name="_Toc26911256"/>
      <w:bookmarkStart w:id="848" w:name="_Toc632321771"/>
      <w:bookmarkStart w:id="849" w:name="_Toc32470"/>
      <w:bookmarkStart w:id="850" w:name="_Toc926005587"/>
      <w:bookmarkStart w:id="851" w:name="_Toc1195554132"/>
      <w:r>
        <w:rPr>
          <w:rFonts w:hint="eastAsia"/>
          <w:lang w:val="en-US" w:eastAsia="zh-CN"/>
          <w:color w:val="FF0000"/>
        </w:rPr>
        <w:t>一、致 谢</w:t>
      </w:r>
      <w:bookmarkEnd w:id="839"/>
      <w:bookmarkEnd w:id="840"/>
      <w:bookmarkEnd w:id="841"/>
      <w:bookmarkEnd w:id="842"/>
      <w:bookmarkEnd w:id="843"/>
      <w:bookmarkEnd w:id="844"/>
      <w:bookmarkEnd w:id="845"/>
      <w:bookmarkEnd w:id="846"/>
      <w:bookmarkEnd w:id="847"/>
      <w:bookmarkEnd w:id="848"/>
      <w:bookmarkEnd w:id="849"/>
      <w:bookmarkEnd w:id="850"/>
      <w:bookmarkEnd w:id="851"/>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人才，学术研究必须始终坚持正确的政治方向，将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内化于心、外化于行，在教义诠释中自觉融入中华优秀传统文化，以社会主义核心价值观引领信众，做到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政治上靠得住、宗教上有造诣、品德上能服众、关键时起作用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bCs/>
          <w:color w:val="auto"/>
          <w:sz w:val="24"/>
          <w:szCs w:val="24"/>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bidi w:val="0"/>
        <w:rPr>
          <w:rFonts w:hint="eastAsia"/>
          <w:color w:val="auto"/>
          <w:lang w:val="en-US" w:eastAsia="zh-CN"/>
        </w:rPr>
      </w:pPr>
      <w:bookmarkStart w:id="852" w:name="_Toc12901"/>
      <w:bookmarkStart w:id="853" w:name="_Toc1325913722"/>
      <w:bookmarkStart w:id="854" w:name="_Toc25604"/>
      <w:bookmarkStart w:id="855" w:name="_Toc482450804"/>
      <w:bookmarkStart w:id="856" w:name="_Toc21851"/>
      <w:bookmarkStart w:id="857" w:name="_Toc1682919841"/>
      <w:bookmarkStart w:id="858" w:name="_Toc5261"/>
      <w:bookmarkStart w:id="859" w:name="_Toc9970"/>
      <w:bookmarkStart w:id="860" w:name="_Toc25672"/>
      <w:bookmarkStart w:id="861" w:name="_Toc561910900"/>
      <w:bookmarkStart w:id="862" w:name="_Toc1821295192"/>
      <w:r>
        <w:rPr>
          <w:rFonts w:hint="eastAsia"/>
          <w:color w:val="auto"/>
          <w:lang w:val="en-US" w:eastAsia="zh-CN"/>
        </w:rPr>
        <w:t>二、论文原创性声明内容</w:t>
      </w:r>
      <w:bookmarkEnd w:id="852"/>
      <w:bookmarkEnd w:id="853"/>
      <w:bookmarkEnd w:id="854"/>
      <w:bookmarkEnd w:id="855"/>
      <w:bookmarkEnd w:id="856"/>
      <w:bookmarkEnd w:id="857"/>
      <w:bookmarkEnd w:id="858"/>
      <w:bookmarkEnd w:id="859"/>
      <w:bookmarkEnd w:id="860"/>
      <w:bookmarkEnd w:id="861"/>
      <w:bookmarkEnd w:id="862"/>
    </w:p>
    <w:p w14:paraId="065073FA">
      <w:pPr>
        <w:pageBreakBefore w:val="0"/>
        <w:kinsoku/>
        <w:wordWrap/>
        <w:overflowPunct/>
        <w:topLinePunct w:val="0"/>
        <w:bidi w:val="0"/>
        <w:adjustRightInd w:val="0"/>
        <w:snapToGrid w:val="0"/>
        <w:ind w:firstLine="480" w:firstLineChars="200"/>
        <w:textAlignment w:val="auto"/>
        <w:rPr>
          <w:color w:val="auto"/>
        </w:rPr>
      </w:pPr>
      <w:r>
        <w:rPr>
          <w:rFonts w:hint="eastAsia"/>
          <w:color w:val="auto"/>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r>
        <w:rPr>
          <w:rFonts w:hint="eastAsia" w:ascii="宋体" w:cs="宋体"/>
          <w:color w:val="auto"/>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r>
        <w:rPr>
          <w:rFonts w:hint="eastAsia" w:ascii="宋体" w:cs="宋体"/>
          <w:color w:val="auto"/>
          <w:kern w:val="0"/>
          <w:sz w:val="24"/>
        </w:rPr>
        <w:t>日期</w:t>
      </w:r>
      <w:r>
        <w:rPr>
          <w:rFonts w:ascii="宋体" w:cs="宋体"/>
          <w:color w:val="auto"/>
          <w:kern w:val="0"/>
          <w:sz w:val="24"/>
        </w:rPr>
        <w:t xml:space="preserve"> </w:t>
      </w:r>
      <w:r>
        <w:rPr>
          <w:rFonts w:hint="eastAsia" w:ascii="宋体" w:cs="宋体"/>
          <w:color w:val="auto"/>
          <w:kern w:val="0"/>
          <w:sz w:val="24"/>
        </w:rPr>
        <w:t>：</w:t>
      </w:r>
      <w:r>
        <w:rPr>
          <w:rFonts w:ascii="宋体" w:cs="宋体"/>
          <w:color w:val="auto"/>
          <w:kern w:val="0"/>
          <w:sz w:val="24"/>
        </w:rPr>
        <w:t xml:space="preserve">     </w:t>
      </w:r>
      <w:r>
        <w:rPr>
          <w:rFonts w:hint="eastAsia" w:ascii="宋体" w:cs="宋体"/>
          <w:color w:val="auto"/>
          <w:kern w:val="0"/>
          <w:sz w:val="24"/>
        </w:rPr>
        <w:t>年</w:t>
      </w:r>
      <w:r>
        <w:rPr>
          <w:rFonts w:ascii="宋体" w:cs="宋体"/>
          <w:color w:val="auto"/>
          <w:kern w:val="0"/>
          <w:sz w:val="24"/>
        </w:rPr>
        <w:t xml:space="preserve">   </w:t>
      </w:r>
      <w:r>
        <w:rPr>
          <w:rFonts w:hint="eastAsia" w:ascii="宋体" w:cs="宋体"/>
          <w:color w:val="auto"/>
          <w:kern w:val="0"/>
          <w:sz w:val="24"/>
        </w:rPr>
        <w:t>月</w:t>
      </w:r>
      <w:r>
        <w:rPr>
          <w:rFonts w:ascii="宋体" w:cs="宋体"/>
          <w:color w:val="auto"/>
          <w:kern w:val="0"/>
          <w:sz w:val="24"/>
        </w:rPr>
        <w:t xml:space="preserve">   </w:t>
      </w:r>
      <w:r>
        <w:rPr>
          <w:rFonts w:hint="eastAsia" w:ascii="宋体" w:cs="宋体"/>
          <w:color w:val="auto"/>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color w:val="auto"/>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bidi w:val="0"/>
        <w:rPr>
          <w:rFonts w:hint="eastAsia"/>
          <w:color w:val="auto"/>
          <w:lang w:val="en-US" w:eastAsia="zh-CN"/>
        </w:rPr>
      </w:pPr>
      <w:bookmarkStart w:id="863" w:name="_Toc29684"/>
      <w:bookmarkStart w:id="864" w:name="_Toc1799895403"/>
      <w:bookmarkStart w:id="865" w:name="_Toc28213"/>
      <w:bookmarkStart w:id="866" w:name="_Toc194120735"/>
      <w:bookmarkStart w:id="867" w:name="_Toc11939"/>
      <w:bookmarkStart w:id="868" w:name="_Toc326653050"/>
      <w:bookmarkStart w:id="869" w:name="_Toc9206"/>
      <w:bookmarkStart w:id="870" w:name="_Toc27173"/>
      <w:bookmarkStart w:id="871" w:name="_Toc81"/>
      <w:bookmarkStart w:id="872" w:name="_Toc1550900441"/>
      <w:bookmarkStart w:id="873" w:name="_Toc276387606"/>
      <w:r>
        <w:rPr>
          <w:rFonts w:hint="eastAsia"/>
          <w:color w:val="auto"/>
          <w:lang w:val="en-US" w:eastAsia="zh-CN"/>
        </w:rPr>
        <w:t>三、附 件</w:t>
      </w:r>
      <w:bookmarkEnd w:id="863"/>
      <w:bookmarkEnd w:id="864"/>
      <w:bookmarkEnd w:id="865"/>
      <w:bookmarkEnd w:id="866"/>
      <w:bookmarkEnd w:id="867"/>
      <w:bookmarkEnd w:id="868"/>
      <w:bookmarkEnd w:id="869"/>
      <w:bookmarkEnd w:id="870"/>
      <w:bookmarkEnd w:id="871"/>
      <w:bookmarkEnd w:id="872"/>
      <w:bookmarkEnd w:id="873"/>
    </w:p>
    <w:p w14:paraId="34D31A10">
      <w:pPr>
        <w:pageBreakBefore w:val="0"/>
        <w:kinsoku/>
        <w:wordWrap/>
        <w:overflowPunct/>
        <w:topLinePunct w:val="0"/>
        <w:bidi w:val="0"/>
        <w:adjustRightInd w:val="0"/>
        <w:snapToGrid w:val="0"/>
        <w:ind w:left="480" w:leftChars="200" w:firstLine="0" w:firstLineChars="0"/>
        <w:textAlignment w:val="auto"/>
        <w:rPr>
          <w:rFonts w:hint="eastAsia"/>
          <w:color w:val="auto"/>
          <w:lang w:val="en-US" w:eastAsia="zh-CN"/>
        </w:rPr>
      </w:pPr>
      <w:r>
        <w:rPr>
          <w:color w:val="auto"/>
        </w:rPr>
        <w:t>附件一：</w:t>
      </w:r>
      <w:r>
        <w:rPr>
          <w:color w:val="auto"/>
        </w:rPr>
        <w:br w:type="textWrapping"/>
      </w:r>
      <w:r>
        <w:rPr>
          <w:color w:val="auto"/>
        </w:rPr>
        <w:t>附件二：</w:t>
      </w:r>
      <w:r>
        <w:rPr>
          <w:color w:val="auto"/>
        </w:rPr>
        <w:br w:type="textWrapping"/>
      </w:r>
      <w:r>
        <w:rPr>
          <w:color w:val="auto"/>
        </w:rPr>
        <w:t>附件三：</w:t>
      </w:r>
    </w:p>
    <w:p w14:paraId="495DCB43">
      <w:pPr>
        <w:pageBreakBefore w:val="0"/>
        <w:kinsoku/>
        <w:wordWrap/>
        <w:overflowPunct/>
        <w:topLinePunct w:val="0"/>
        <w:bidi w:val="0"/>
        <w:adjustRightInd w:val="0"/>
        <w:snapToGrid w:val="0"/>
        <w:ind w:firstLine="480" w:firstLineChars="200"/>
        <w:textAlignment w:val="auto"/>
        <w:rPr>
          <w:rFonts w:hint="eastAsia"/>
          <w:color w:val="auto"/>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360" w:lineRule="auto"/>
        <w:ind w:firstLine="480"/>
      </w:pPr>
      <w:r>
        <w:separator/>
      </w:r>
    </w:p>
  </w:footnote>
  <w:footnote w:type="continuationSeparator" w:id="183">
    <w:p>
      <w:pPr>
        <w:spacing w:line="360" w:lineRule="auto"/>
        <w:ind w:firstLine="480"/>
      </w:pPr>
      <w:r>
        <w:continuationSeparator/>
      </w:r>
    </w:p>
  </w:footnote>
  <w:footnote w:id="0">
    <w:p w14:paraId="470090FD">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王伟光：《不断增进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深入推进我国宗教中国化》，《人民政协报》2022年4月14日，第10版。</w:t>
      </w:r>
    </w:p>
  </w:footnote>
  <w:footnote w:id="1">
    <w:p w14:paraId="17A28E58">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游斌. 基督教与中国文化[M]. 北京：宗教文化出版社，2018.</w:t>
      </w:r>
    </w:p>
  </w:footnote>
  <w:footnote w:id="2">
    <w:p w14:paraId="1F35BEF4">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Theme="majorEastAsia" w:hAnsiTheme="majorEastAsia" w:eastAsiaTheme="majorEastAsia" w:cstheme="majorEastAsia"/>
          <w:sz w:val="18"/>
          <w:szCs w:val="18"/>
        </w:rPr>
        <w:t>王伟光. 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深入推进我国宗教中国化[N]. 人民政协报，2022-04-14（010）.</w:t>
      </w:r>
    </w:p>
  </w:footnote>
  <w:footnote w:id="3">
    <w:p w14:paraId="2A5E1C2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张志刚. 宗教研究指要[M]. 北京：北京大学出版社，2020.</w:t>
      </w:r>
    </w:p>
  </w:footnote>
  <w:footnote w:id="4">
    <w:p w14:paraId="1D85FF2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Pope Benedict XVI, Deus Caritas Est (Encyclical Letter), Vatican: Libreria Editrice Vaticana, 2005, nos. 1-3, pp. 5-9.</w:t>
      </w:r>
    </w:p>
  </w:footnote>
  <w:footnote w:id="12">
    <w:p w14:paraId="4FBE573F">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杨宝安：《儒家仁爱与基督教博爱思想比较研究》，西北师范大学硕士学位论文，2011年，第45页。</w:t>
      </w:r>
    </w:p>
  </w:footnote>
  <w:footnote w:id="17">
    <w:p w14:paraId="3B8C619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黄勇：《儒家仁爱观与全球伦理：兼论基督教对儒家的批评》，《中国哲学史》2019年第2期，第5-14页。</w:t>
      </w:r>
    </w:p>
  </w:footnote>
  <w:footnote w:id="18">
    <w:p w14:paraId="7B033E0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240" w:lineRule="auto"/>
        <w:ind w:left="0" w:leftChars="0" w:firstLine="420" w:firstLineChars="200"/>
        <w:textAlignment w:val="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Weber, Max, The Protestant Ethic and the Spirit of Capitalism, translated by Talcott Parsons, New York: Charles Scribner's Sons, 1958, pp. 90-110.</w:t>
      </w:r>
    </w:p>
  </w:footnote>
  <w:footnote w:id="24">
    <w:p w14:paraId="6316CBA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Niebuhr, H. Richard, Christ and Culture, New York: Harper &amp; Row, 1951, pp. 39-44.</w:t>
      </w:r>
    </w:p>
  </w:footnote>
  <w:footnote w:id="25">
    <w:p w14:paraId="32213332">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26">
    <w:p w14:paraId="6EB39FEF">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w:t>
      </w:r>
      <w:r>
        <w:rPr>
          <w:rFonts w:hint="eastAsia" w:ascii="宋体" w:hAnsi="宋体" w:eastAsia="宋体" w:cs="宋体"/>
          <w:sz w:val="18"/>
          <w:szCs w:val="18"/>
          <w:lang w:eastAsia="zh-CN"/>
        </w:rPr>
        <w:t>“</w:t>
      </w:r>
      <w:r>
        <w:rPr>
          <w:rFonts w:hint="eastAsia" w:ascii="宋体" w:hAnsi="宋体" w:eastAsia="宋体" w:cs="宋体"/>
          <w:sz w:val="18"/>
          <w:szCs w:val="18"/>
        </w:rPr>
        <w:t>坚持中国化方向</w:t>
      </w:r>
      <w:r>
        <w:rPr>
          <w:rFonts w:hint="eastAsia" w:ascii="宋体" w:hAnsi="宋体" w:eastAsia="宋体" w:cs="宋体"/>
          <w:sz w:val="18"/>
          <w:szCs w:val="18"/>
          <w:lang w:eastAsia="zh-CN"/>
        </w:rPr>
        <w:t>”</w:t>
      </w:r>
      <w:r>
        <w:rPr>
          <w:rFonts w:hint="eastAsia" w:ascii="宋体" w:hAnsi="宋体" w:eastAsia="宋体" w:cs="宋体"/>
          <w:sz w:val="18"/>
          <w:szCs w:val="18"/>
        </w:rPr>
        <w:t>——学习习总书记讲话的体会》，《世界宗教研究》2016年第3期，第13-18页。</w:t>
      </w:r>
    </w:p>
  </w:footnote>
  <w:footnote w:id="29">
    <w:p w14:paraId="56855D3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宋体" w:hAnsi="宋体" w:eastAsia="宋体" w:cs="宋体"/>
          <w:sz w:val="18"/>
          <w:szCs w:val="18"/>
        </w:rPr>
        <w:t>王作安：《宗教与社会主义社会相适应的理论与实践》，《中国宗教》2018年第5期，第4-7页。</w:t>
      </w:r>
    </w:p>
  </w:footnote>
  <w:footnote w:id="30">
    <w:p w14:paraId="276184C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段琦：《奋进的历程：中国基督教的本色化》，北京：商务印书馆，2004年，第278-290页。</w:t>
      </w:r>
    </w:p>
  </w:footnote>
  <w:footnote w:id="31">
    <w:p w14:paraId="556DA0B1">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唐晓峰：《中国基督教本土化研究》，北京：宗教文化出版社，2017年，第156-167页。</w:t>
      </w:r>
    </w:p>
  </w:footnote>
  <w:footnote w:id="32">
    <w:p w14:paraId="67D0BBB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徐以骅：《宗教与国际关系》，载徐以骅主编：《宗教与美国社会》，北京：时事出版社，2004年，第1-20页。</w:t>
      </w:r>
    </w:p>
  </w:footnote>
  <w:footnote w:id="33">
    <w:p w14:paraId="65A02CB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游斌：《基督教与中国文化》，北京：宗教文化出版社，2018年，第89-102页。</w:t>
      </w:r>
    </w:p>
  </w:footnote>
  <w:footnote w:id="34">
    <w:p w14:paraId="416712E8">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陈宗皋、马桦：《以社会主义核心价值观引领宗教工作的理论与实践》，《中国宗教》2019年第3期，第22-25页。</w:t>
      </w:r>
    </w:p>
  </w:footnote>
  <w:footnote w:id="35">
    <w:p w14:paraId="771CED8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李平晔：《基督教中国化研究》，北京：宗教文化出版社，2016年，第201-215页。</w:t>
      </w:r>
    </w:p>
  </w:footnote>
  <w:footnote w:id="36">
    <w:p w14:paraId="44602177">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赵敦华：《基督教哲学1500年》，北京：人民出版社，1994年，第456-467页。</w:t>
      </w:r>
    </w:p>
  </w:footnote>
  <w:footnote w:id="37">
    <w:p w14:paraId="5BCF3A3B">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中国基督教全国两会：《深入推进我国基督教中国化五年工作规划纲要（2023-2027年）》，2023年，第5页。</w:t>
      </w:r>
    </w:p>
  </w:footnote>
  <w:footnote w:id="38">
    <w:p w14:paraId="2A5D2A9D">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中国基督教全国两会：《2024年工作要点》，2024年，第3页。</w:t>
      </w:r>
    </w:p>
  </w:footnote>
  <w:footnote w:id="39">
    <w:p w14:paraId="499347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曹正勇：《从谢颂羔汉译〈天路历程〉看基督教经典的中国化实践》，《世界宗教研究》2024年。</w:t>
      </w:r>
    </w:p>
  </w:footnote>
  <w:footnote w:id="40">
    <w:p w14:paraId="26B1E16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赵卫红：《将</w:t>
      </w:r>
      <w:r>
        <w:rPr>
          <w:rFonts w:hint="eastAsia" w:ascii="宋体" w:hAnsi="宋体" w:eastAsia="宋体" w:cs="宋体"/>
          <w:sz w:val="18"/>
          <w:szCs w:val="18"/>
          <w:lang w:eastAsia="zh-CN"/>
        </w:rPr>
        <w:t>“</w:t>
      </w:r>
      <w:r>
        <w:rPr>
          <w:rFonts w:hint="eastAsia" w:ascii="宋体" w:hAnsi="宋体" w:eastAsia="宋体" w:cs="宋体"/>
          <w:sz w:val="18"/>
          <w:szCs w:val="18"/>
        </w:rPr>
        <w:t>四史</w:t>
      </w:r>
      <w:r>
        <w:rPr>
          <w:rFonts w:hint="eastAsia" w:ascii="宋体" w:hAnsi="宋体" w:eastAsia="宋体" w:cs="宋体"/>
          <w:sz w:val="18"/>
          <w:szCs w:val="18"/>
          <w:lang w:eastAsia="zh-CN"/>
        </w:rPr>
        <w:t>”</w:t>
      </w:r>
      <w:r>
        <w:rPr>
          <w:rFonts w:hint="eastAsia" w:ascii="宋体" w:hAnsi="宋体" w:eastAsia="宋体" w:cs="宋体"/>
          <w:sz w:val="18"/>
          <w:szCs w:val="18"/>
        </w:rPr>
        <w:t>教育融入基督教神学教育 推动基督教中国化走深走实》，《中国宗教》2023年第5期，第42-44页。</w:t>
      </w:r>
    </w:p>
  </w:footnote>
  <w:footnote w:id="41">
    <w:p w14:paraId="4504DC8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《中国基督教研究》近年相关论文，JRCC, 2023-2024.</w:t>
      </w:r>
    </w:p>
  </w:footnote>
  <w:footnote w:id="43">
    <w:p w14:paraId="5E14B56B">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王思琪：《山东圣公会乡村本色化运动研究（1912-1937）》，山东大学硕士学位论文，2017年，第67页。</w:t>
      </w:r>
    </w:p>
  </w:footnote>
  <w:footnote w:id="44">
    <w:p w14:paraId="260EE3B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吕臻雨：《泸州教会社会服务实践研究》，四川大学硕士学位论文，2019年，第89页。</w:t>
      </w:r>
    </w:p>
  </w:footnote>
  <w:footnote w:id="45">
    <w:p w14:paraId="624B493F">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陈金羽：《Q教会服务队与社会工作融合研究》，福建师范大学硕士学位论文，2020年，第56页。</w:t>
      </w:r>
    </w:p>
  </w:footnote>
  <w:footnote w:id="46">
    <w:p w14:paraId="0F3331B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47">
    <w:p w14:paraId="3C6FA592">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Bhabha, Homi K. The Location of Culture. London: Routledge, 1994.</w:t>
      </w:r>
    </w:p>
  </w:footnote>
  <w:footnote w:id="48">
    <w:p w14:paraId="3C9C58D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w:t>
      </w:r>
    </w:p>
  </w:footnote>
  <w:footnote w:id="49">
    <w:p w14:paraId="3905DFB6">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赵天恩：《中国教会史研究》，载《基督教学术》第1辑，上海：上海古籍出版社，2002年，第23页。</w:t>
      </w:r>
    </w:p>
  </w:footnote>
  <w:footnote w:id="55">
    <w:p w14:paraId="6041E91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段琦. 奋进的历程：中国基督教的本色化[M]. 北京：商务印书馆，2004.</w:t>
      </w:r>
    </w:p>
  </w:footnote>
  <w:footnote w:id="56">
    <w:p w14:paraId="5F4B8BE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57">
    <w:p w14:paraId="6B4F7EB5">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杨宝安. 儒家仁爱与基督教博爱思想比较研究[D]. 兰州：西北师范大学，2011.</w:t>
      </w:r>
    </w:p>
  </w:footnote>
  <w:footnote w:id="58">
    <w:p w14:paraId="5532681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陈先达：《马克思主义宗教观研究》，北京：中国人民大学出版社，2018年，第134页。</w:t>
      </w:r>
    </w:p>
  </w:footnote>
  <w:footnote w:id="59">
    <w:p w14:paraId="0F6057B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龚学增：《社会主义与宗教》，北京：宗教文化出版社，2003年，第89页。</w:t>
      </w:r>
    </w:p>
  </w:footnote>
  <w:footnote w:id="60">
    <w:p w14:paraId="03ACECF9">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pp. 102-122.</w:t>
      </w:r>
    </w:p>
  </w:footnote>
  <w:footnote w:id="62">
    <w:p w14:paraId="4E75111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刘耘华：《诠释的圆环》，第67页。</w:t>
      </w:r>
    </w:p>
  </w:footnote>
  <w:footnote w:id="63">
    <w:p w14:paraId="13A6163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万俊人. 寻求普世伦理[M]. 北京：商务印书馆，2001.</w:t>
      </w:r>
    </w:p>
  </w:footnote>
  <w:footnote w:id="64">
    <w:p w14:paraId="77647D38">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Rawls, John. Political Liberalism. New York: Columbia University Press, 1993.</w:t>
      </w:r>
    </w:p>
  </w:footnote>
  <w:footnote w:id="65">
    <w:p w14:paraId="3753D2E4">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66">
    <w:p w14:paraId="3DCD475F">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67">
    <w:p w14:paraId="57171030">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pp. 15-28.</w:t>
      </w:r>
    </w:p>
  </w:footnote>
  <w:footnote w:id="68">
    <w:p w14:paraId="1CC05E9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黄勇：《儒家仁爱观与全球伦理：兼论基督教对儒家的批评》，《中国哲学史》2019年第2期，第9页。</w:t>
      </w:r>
    </w:p>
  </w:footnote>
  <w:footnote w:id="69">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0">
    <w:p w14:paraId="75F10ABE">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1">
    <w:p w14:paraId="61371972">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Hauerwas, Stanley. A Community of Character: Toward a Constructive Christian Social Ethic. Notre Dame: University of Notre Dame Press, 1981.</w:t>
      </w:r>
    </w:p>
  </w:footnote>
  <w:footnote w:id="72">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3">
    <w:p w14:paraId="013EFB77">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74">
    <w:p w14:paraId="35970C0D">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London: Routledge, 1994.</w:t>
      </w:r>
    </w:p>
  </w:footnote>
  <w:footnote w:id="75">
    <w:p w14:paraId="53EE9754">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Ames, Roger T., and Henry Rosemont Jr., trans. The Analects of Confucius: A Philosophical Translation. New York: Ballantine Books, 1998.</w:t>
      </w:r>
    </w:p>
  </w:footnote>
  <w:footnote w:id="76">
    <w:p w14:paraId="3D20F1BB">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王思琪. 山东圣公会乡村本色化运动研究（1912-1937）[D]. 济南：山东大学，2017.</w:t>
      </w:r>
    </w:p>
  </w:footnote>
  <w:footnote w:id="77">
    <w:p w14:paraId="713FF990">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8">
    <w:p w14:paraId="7C49CDF3">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陈来. 中华文明的核心价值：国学流变与传统价值观[M]. 北京：生活·读书·新知三联书店，2015.</w:t>
      </w:r>
    </w:p>
  </w:footnote>
  <w:footnote w:id="79">
    <w:p w14:paraId="46EB3191">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黄勇. 儒家仁爱观与全球伦理：兼论基督教对儒家的批评[J]. 中国哲学史，2019（2）：5-14.</w:t>
      </w:r>
    </w:p>
  </w:footnote>
  <w:footnote w:id="80">
    <w:p w14:paraId="343C28FB">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杨凤岗. 中国基督徒的社会认同与"叠合身份"困境[J]. 社会，2012，32（4）：1-22.</w:t>
      </w:r>
    </w:p>
  </w:footnote>
  <w:footnote w:id="81">
    <w:p w14:paraId="75D2775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陈金羽. Q教会服务队与社会工作融合研究[D]. 福州：福建师范大学，2020.</w:t>
      </w:r>
    </w:p>
  </w:footnote>
  <w:footnote w:id="82">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3">
    <w:p w14:paraId="7D97415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浙江省基督教两会：《基督教中国化神学思想建设第十九次研讨会综述》，2019年12月。</w:t>
      </w:r>
    </w:p>
  </w:footnote>
  <w:footnote w:id="84">
    <w:p w14:paraId="6A608DF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 基督教中国化神学思想建设第十九次研讨会综述[Z]. 2019.</w:t>
      </w:r>
    </w:p>
  </w:footnote>
  <w:footnote w:id="85">
    <w:p w14:paraId="766ADB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张忠成：《基督教伦理与社会主义核心价值观之刍议》，载《基督教中国化神学思想建设第十九次研讨会论文集》，杭州：浙江省基督教两会，2019年，第23-28页。</w:t>
      </w:r>
    </w:p>
  </w:footnote>
  <w:footnote w:id="86">
    <w:p w14:paraId="3450D45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莫幸福. 浙江宗教史[M]. 杭州：浙江人民出版社，2011.</w:t>
      </w:r>
    </w:p>
  </w:footnote>
  <w:footnote w:id="87">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88">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89">
    <w:p w14:paraId="77F9C690">
      <w:pPr>
        <w:keepNext w:val="0"/>
        <w:keepLines w:val="0"/>
        <w:widowControl/>
        <w:suppressLineNumbers w:val="0"/>
        <w:spacing w:line="240" w:lineRule="auto"/>
        <w:jc w:val="left"/>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0">
    <w:p w14:paraId="2758665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FED14"/>
    <w:multiLevelType w:val="singleLevel"/>
    <w:tmpl w:val="EBBFED14"/>
    <w:lvl w:ilvl="0" w:tentative="0">
      <w:start w:val="1"/>
      <w:numFmt w:val="chineseCounting"/>
      <w:suff w:val="nothing"/>
      <w:lvlText w:val="（%1）"/>
      <w:lvlJc w:val="left"/>
      <w:rPr>
        <w:rFonts w:hint="eastAsia"/>
      </w:rPr>
    </w:lvl>
  </w:abstractNum>
  <w:abstractNum w:abstractNumId="1">
    <w:nsid w:val="FEDF65E6"/>
    <w:multiLevelType w:val="singleLevel"/>
    <w:tmpl w:val="FEDF65E6"/>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D69AA2F"/>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6FBEB55"/>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DFF5EC0F"/>
    <w:rsid w:val="E1E8B167"/>
    <w:rsid w:val="EA5FA46B"/>
    <w:rsid w:val="EAAF8A68"/>
    <w:rsid w:val="EB9C9453"/>
    <w:rsid w:val="EBFF1325"/>
    <w:rsid w:val="ED7666DF"/>
    <w:rsid w:val="EEDD2370"/>
    <w:rsid w:val="EFBE85BB"/>
    <w:rsid w:val="EFE99A5D"/>
    <w:rsid w:val="F2FDC5E2"/>
    <w:rsid w:val="F75D49A3"/>
    <w:rsid w:val="F77C7050"/>
    <w:rsid w:val="F7ED9DA4"/>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611</Words>
  <Characters>845</Characters>
  <Lines>1</Lines>
  <Paragraphs>1</Paragraphs>
  <TotalTime>2</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2024-02-09T08:52:00Z</dcterms:created>
  <dc:creator>勤策</dc:creator>
  <cp:lastModifiedBy>子夜LOVES7</cp:lastModifiedBy>
  <dcterms:modified xsi:type="dcterms:W3CDTF">2026-06-16T21:29:25Z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866334B95D48065A3B4F316A8F22A5D9_43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