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b/>
          <w:sz w:val="52"/>
        </w:rPr>
        <w:t>AI与数字人文交互实验报告</w:t>
      </w:r>
    </w:p>
    <w:p/>
    <w:p>
      <w:pPr>
        <w:jc w:val="center"/>
      </w:pPr>
      <w:r>
        <w:rPr>
          <w:rFonts w:ascii="宋体" w:hAnsi="宋体"/>
          <w:sz w:val="32"/>
        </w:rPr>
        <w:t>——基于小龙虾与钉钉AI助手的人文思考对话实践</w:t>
      </w:r>
    </w:p>
    <w:p/>
    <w:p/>
    <w:p/>
    <w:p>
      <w:pPr>
        <w:jc w:val="center"/>
      </w:pPr>
      <w:r>
        <w:rPr>
          <w:rFonts w:ascii="宋体" w:hAnsi="宋体"/>
          <w:sz w:val="26"/>
        </w:rPr>
        <w:t>课程名称：数字人文</w:t>
      </w:r>
    </w:p>
    <w:p>
      <w:pPr>
        <w:jc w:val="center"/>
      </w:pPr>
      <w:r>
        <w:rPr>
          <w:rFonts w:ascii="宋体" w:hAnsi="宋体"/>
          <w:sz w:val="26"/>
        </w:rPr>
        <w:t>学院：人工智能学院</w:t>
      </w:r>
    </w:p>
    <w:p>
      <w:pPr>
        <w:jc w:val="center"/>
      </w:pPr>
      <w:r>
        <w:rPr>
          <w:rFonts w:ascii="宋体" w:hAnsi="宋体"/>
          <w:sz w:val="26"/>
        </w:rPr>
        <w:t>学校：浙江工商大学</w:t>
      </w:r>
    </w:p>
    <w:p>
      <w:pPr>
        <w:jc w:val="center"/>
      </w:pPr>
      <w:r>
        <w:rPr>
          <w:rFonts w:ascii="宋体" w:hAnsi="宋体"/>
          <w:sz w:val="26"/>
        </w:rPr>
        <w:t>姓名：陆梓仡</w:t>
      </w:r>
    </w:p>
    <w:p>
      <w:pPr>
        <w:jc w:val="center"/>
      </w:pPr>
      <w:r>
        <w:rPr>
          <w:rFonts w:ascii="宋体" w:hAnsi="宋体"/>
          <w:sz w:val="26"/>
        </w:rPr>
        <w:t>学号：</w:t>
      </w:r>
    </w:p>
    <w:p>
      <w:pPr>
        <w:jc w:val="center"/>
      </w:pPr>
      <w:r>
        <w:rPr>
          <w:rFonts w:ascii="宋体" w:hAnsi="宋体"/>
          <w:sz w:val="26"/>
        </w:rPr>
        <w:t>实验日期：2026年5月7日</w:t>
      </w:r>
    </w:p>
    <w:p>
      <w:pPr>
        <w:jc w:val="center"/>
      </w:pPr>
      <w:r>
        <w:rPr>
          <w:rFonts w:ascii="宋体" w:hAnsi="宋体"/>
          <w:sz w:val="26"/>
        </w:rPr>
        <w:t>交互AI：小龙虾（OpenClaw AI助手）</w:t>
      </w:r>
    </w:p>
    <w:p>
      <w:r>
        <w:br w:type="page"/>
      </w:r>
    </w:p>
    <w:p>
      <w:pPr>
        <w:spacing w:before="240" w:after="120"/>
      </w:pPr>
      <w:r>
        <w:rPr>
          <w:rFonts w:ascii="宋体" w:hAnsi="宋体"/>
          <w:b/>
          <w:sz w:val="32"/>
        </w:rPr>
        <w:t>一、实验目的</w:t>
      </w:r>
    </w:p>
    <w:p>
      <w:pPr>
        <w:spacing w:line="360" w:lineRule="auto"/>
      </w:pPr>
      <w:r>
        <w:rPr>
          <w:rFonts w:ascii="宋体" w:hAnsi="宋体"/>
          <w:sz w:val="24"/>
        </w:rPr>
        <w:t>本次实验旨在通过与智能体工具（小龙虾——诸葛虾，基于OpenClaw平台的AI助手）的持续交流互动，结合本学期《数字人文》课程中的相关内容，对AI与人文的关系展开深入讨论，并围绕其中一个感兴趣的方向进行进一步探索。相比传统意义上的问答式AI体验，本实验更加关注人与AI之间的思想交互，即观察AI在面对人文问题时的表达逻辑、价值倾向与推理方式，以及这种交互过程如何影响人类自身的思考。</w:t>
      </w:r>
    </w:p>
    <w:p>
      <w:pPr>
        <w:spacing w:line="360" w:lineRule="auto"/>
      </w:pPr>
      <w:r>
        <w:rPr>
          <w:rFonts w:ascii="宋体" w:hAnsi="宋体"/>
          <w:sz w:val="24"/>
        </w:rPr>
        <w:t>在数字人文课程中，我们学习到技术不仅改变工具，也在改变知识生产方式、文化传播路径与人的认知结构。因此，本实验希望通过与AI持续对话，讨论例如AI是否会改变人类创造力、技术与人文是否存在冲突、AI生成内容是否具备真正意义上的思想等问题，并在此基础上进一步思考：未来人类与AI之间究竟是工具关系，还是逐渐演变为一种新的协同关系。通过这一实验，不仅可以加深对数字人文课程内容的理解，也能够更直观地感受到AI时代中人与技术关系的变化。</w:t>
      </w:r>
    </w:p>
    <w:p/>
    <w:p>
      <w:pPr>
        <w:spacing w:before="240" w:after="120"/>
      </w:pPr>
      <w:r>
        <w:rPr>
          <w:rFonts w:ascii="宋体" w:hAnsi="宋体"/>
          <w:b/>
          <w:sz w:val="32"/>
        </w:rPr>
        <w:t>二、实验过程与对话主题设计</w:t>
      </w:r>
    </w:p>
    <w:p>
      <w:pPr>
        <w:spacing w:line="360" w:lineRule="auto"/>
      </w:pPr>
      <w:r>
        <w:rPr>
          <w:rFonts w:ascii="宋体" w:hAnsi="宋体"/>
          <w:sz w:val="24"/>
        </w:rPr>
        <w:t>本次实验主要通过小龙虾AI助手完成，整体过程采用论文选题协作、方法融合、视角聚焦、人文思考讨论的方式展开。实验的背景是：本学期需要完成一篇学术论文，我尝试将AI作为学术协作者，全程参与从选题聚焦、框架设计到研究方法确定的全过程，并在此过程中观察AI的思考方式、知识边界和人文理解能力。</w:t>
      </w:r>
    </w:p>
    <w:p>
      <w:pPr>
        <w:spacing w:line="360" w:lineRule="auto"/>
      </w:pPr>
      <w:r>
        <w:rPr>
          <w:rFonts w:ascii="宋体" w:hAnsi="宋体"/>
          <w:sz w:val="24"/>
        </w:rPr>
        <w:t>首先，在对话初期，我上传了一份初步的论文框架文档，题为城市有机更新中的园林元素应用研究——以杭州市为例。AI助手在接收文档后，迅速进行了分析并给出了结构化的反馈，包括肯定框架逻辑的完整性、指出摘要和关键词需要补充、建议补充理论基础（有机更新理论、景观生态学理论、场所精神理论）等。通过这一阶段，我观察到小龙虾偏向结构化与逻辑化回答的特点。</w:t>
      </w:r>
    </w:p>
    <w:p>
      <w:pPr>
        <w:spacing w:line="360" w:lineRule="auto"/>
      </w:pPr>
      <w:r>
        <w:rPr>
          <w:rFonts w:ascii="宋体" w:hAnsi="宋体"/>
          <w:sz w:val="24"/>
        </w:rPr>
        <w:t>在完成基础讨论后，本实验将重点聚焦于统计学方法与历史街区更新的结合这一方向，并进行了多轮深入交流。我提出了一个问题：要把统计学与历史街区更新中园林应用研究的结合，希望发挥统计学专业背景的优势。AI对此做出了大幅度的框架重构：新增研究设计与数据采集章节、引入植物多样性指数（Shannon-Wiener、Simpson）、绿化覆盖率ANOVA差异分析、核密度分析、PCA综合评价、多元回归分析等统计方法。</w:t>
      </w:r>
    </w:p>
    <w:p>
      <w:pPr>
        <w:spacing w:line="360" w:lineRule="auto"/>
      </w:pPr>
      <w:r>
        <w:rPr>
          <w:rFonts w:ascii="宋体" w:hAnsi="宋体"/>
          <w:sz w:val="24"/>
        </w:rPr>
        <w:t>随后，讨论进一步延伸到研究视角的聚焦。我将题目修改为园林要素在历史街区更新中的应用偏好与影响因子统计研究——以杭州小河直街为例，核心变化是从应用现状分析转向偏好与影响因子研究。AI的响应是重构整个框架：第2章新增研究假设提出（H1-H7），第3章详细设计变量体系（因变量、自变量、控制变量），第4章聚焦偏好特征（描述统计+差异检验），第5章聚焦影响因子识别（EFA因子分析+多元回归），第7章新增小河直街案例实证分析。</w:t>
      </w:r>
    </w:p>
    <w:p>
      <w:pPr>
        <w:spacing w:line="360" w:lineRule="auto"/>
      </w:pPr>
      <w:r>
        <w:rPr>
          <w:rFonts w:ascii="宋体" w:hAnsi="宋体"/>
          <w:sz w:val="24"/>
        </w:rPr>
        <w:t>最后，讨论进一步延伸到AI人文思考这一核心主题。我要求AI根据前面所有对话的记录，生成一份完整的AI与人文思考交互体验报告。在这个阶段，智能体给出的回答逐渐呈现出较强的人文色彩。例如，AI提出：AI能处理人文问题，但不能体验人文问题。人文思考的核心不是逻辑推理，而是对人类处境的理解和关怀。AI没有处境——它不经历生老病死，不感受孤独与连接，不面对意义的追问。这一观点引发了我对创造力本质的进一步思考，即人类的创造并不仅仅来自知识组合，更来源于真实经历、情感体验与社会关系，而这些恰恰是当前AI最难真正拥有的部分。</w:t>
      </w:r>
    </w:p>
    <w:p>
      <w:r>
        <w:br w:type="page"/>
      </w:r>
    </w:p>
    <w:p>
      <w:pPr>
        <w:spacing w:before="240" w:after="120"/>
      </w:pPr>
      <w:r>
        <w:rPr>
          <w:rFonts w:ascii="宋体" w:hAnsi="宋体"/>
          <w:b/>
          <w:sz w:val="32"/>
        </w:rPr>
        <w:t>三、实验结果与交互分析</w:t>
      </w:r>
    </w:p>
    <w:p>
      <w:pPr>
        <w:spacing w:line="360" w:lineRule="auto"/>
      </w:pPr>
      <w:r>
        <w:rPr>
          <w:rFonts w:ascii="宋体" w:hAnsi="宋体"/>
          <w:sz w:val="24"/>
        </w:rPr>
        <w:t>从整体实验结果来看，AI在讨论学术问题时已经表现出较强的逻辑组织能力与表达能力，尤其是在概念解释、观点归纳和多角度分析方面，能够快速形成较完整的论述结构。这种能力使AI在学习辅助、知识传播和思维启发等方面具有较高价值。例如，在讨论统计学方法与历史街区更新结合时，AI能够迅速将统计方法与具体研究场景一一对应——用ANOVA比较不同区段绿化配置的差异，用Pearson相关分析绿化覆盖率与使用人数的关系，用多元回归识别哪些园林元素对空间活力影响最大。这在传统搜索工具中很难实现。</w:t>
      </w:r>
    </w:p>
    <w:p>
      <w:pPr>
        <w:spacing w:line="360" w:lineRule="auto"/>
      </w:pPr>
      <w:r>
        <w:rPr>
          <w:rFonts w:ascii="宋体" w:hAnsi="宋体"/>
          <w:sz w:val="24"/>
        </w:rPr>
        <w:t>但在深入交谈过程中，也可以明显感受到AI在人文思考上的局限性。虽然它能够生成看似深刻的语言，但这些表达更多建立在已有文本模式的统计学习之上，而非真正的生命体验与情感认知。因此，AI更像是思想表达的模拟器，能够重构人类已有观点，却很难真正形成原创性的价值立场。这一点在涉及伦理、情感与意义的问题时尤为明显。例如，当讨论孤独感或存在意义时，AI虽然可以给出哲学化表达，但始终缺少真正来自个体生命经验的情感重量。</w:t>
      </w:r>
    </w:p>
    <w:p>
      <w:pPr>
        <w:spacing w:line="360" w:lineRule="auto"/>
      </w:pPr>
      <w:r>
        <w:rPr>
          <w:rFonts w:ascii="宋体" w:hAnsi="宋体"/>
          <w:sz w:val="24"/>
        </w:rPr>
        <w:t>此外，本实验也发现，AI在全面性与合适性之间存在矛盾。AI给出的方案总是全面的——它会把所有可能的方向、方法、策略都列出来。但学术研究不是做加法，而是做减法。一篇好的论文不是什么都做，而是把一件事做深。AI不擅长做减法，因为它没有价值判断。选择研究什么、不研究什么，聚焦什么、放弃什么——这些取舍的判断，只能由人类研究者来完成。</w:t>
      </w:r>
    </w:p>
    <w:p>
      <w:pPr>
        <w:spacing w:line="360" w:lineRule="auto"/>
      </w:pPr>
      <w:r>
        <w:rPr>
          <w:rFonts w:ascii="宋体" w:hAnsi="宋体"/>
          <w:sz w:val="24"/>
        </w:rPr>
        <w:t>在6轮框架迭代的过程中，我持续观察AI助手的能力表现，总结出以下特点：</w:t>
      </w:r>
    </w:p>
    <w:p>
      <w:pPr>
        <w:spacing w:line="360" w:lineRule="auto"/>
      </w:pPr>
      <w:r>
        <w:rPr>
          <w:rFonts w:ascii="宋体" w:hAnsi="宋体"/>
          <w:sz w:val="24"/>
        </w:rPr>
        <w:t>（1）知识广度：AI能迅速调用有机更新理论、场所精神理论、Shannon-Wiener多样性指数、EFA因子分析等跨学科概念，从景观规划到统计学，从人文地理到环境行为学，显示出广泛的知识储备。</w:t>
      </w:r>
    </w:p>
    <w:p>
      <w:pPr>
        <w:spacing w:line="360" w:lineRule="auto"/>
      </w:pPr>
      <w:r>
        <w:rPr>
          <w:rFonts w:ascii="宋体" w:hAnsi="宋体"/>
          <w:sz w:val="24"/>
        </w:rPr>
        <w:t>（2）结构化思维：AI的反馈始终以结构化方式呈现——先肯定再建议、分点列出、逻辑清晰。每次框架调整都能保持章节之间的逻辑一致性。</w:t>
      </w:r>
    </w:p>
    <w:p>
      <w:pPr>
        <w:spacing w:line="360" w:lineRule="auto"/>
      </w:pPr>
      <w:r>
        <w:rPr>
          <w:rFonts w:ascii="宋体" w:hAnsi="宋体"/>
          <w:sz w:val="24"/>
        </w:rPr>
        <w:t>（3）迭代能力：AI能在多轮对话中不断调整、优化方案。从宽泛题目到聚焦题目，从定性分析到定量分析，从一般规律到案例实证，AI始终能理解我的意图并做出相应调整。</w:t>
      </w:r>
    </w:p>
    <w:p>
      <w:pPr>
        <w:spacing w:line="360" w:lineRule="auto"/>
      </w:pPr>
      <w:r>
        <w:rPr>
          <w:rFonts w:ascii="宋体" w:hAnsi="宋体"/>
          <w:sz w:val="24"/>
        </w:rPr>
        <w:t>（4）方法迁移能力：当我说要把统计学与历史街区更新结合时，AI不是简单堆砌统计方法，而是将方法与具体研究场景一一对应。</w:t>
      </w:r>
    </w:p>
    <w:p>
      <w:pPr>
        <w:spacing w:line="360" w:lineRule="auto"/>
      </w:pPr>
      <w:r>
        <w:rPr>
          <w:rFonts w:ascii="宋体" w:hAnsi="宋体"/>
          <w:sz w:val="24"/>
        </w:rPr>
        <w:t>（5）学术规范性理解：AI能提出研究假设（H1-H7）、给出样本量计算依据（G*Power）、统计结果的呈现规范（三线表、显著性标注），都体现了对学术研究规范的理解。</w:t>
      </w:r>
    </w:p>
    <w:p>
      <w:r>
        <w:br w:type="page"/>
      </w:r>
    </w:p>
    <w:p>
      <w:pPr>
        <w:spacing w:before="240" w:after="120"/>
      </w:pPr>
      <w:r>
        <w:rPr>
          <w:rFonts w:ascii="宋体" w:hAnsi="宋体"/>
          <w:b/>
          <w:sz w:val="32"/>
        </w:rPr>
        <w:t>四、心得体会与课程反思</w:t>
      </w:r>
    </w:p>
    <w:p>
      <w:pPr>
        <w:spacing w:line="360" w:lineRule="auto"/>
      </w:pPr>
      <w:r>
        <w:rPr>
          <w:rFonts w:ascii="宋体" w:hAnsi="宋体"/>
          <w:sz w:val="24"/>
        </w:rPr>
        <w:t>通过本次实验，我最大的感受是：AI真正改变的并不仅仅是效率，而是人类与知识之间的关系。在过去，人们获取知识更多依赖搜索与阅读，而现在，AI开始直接参与表达与思考过程。这意味着，人类未来面对的挑战不只是会不会使用工具，而是如何在AI大量参与内容生产的情况下，仍然保持独立判断与真正的思考能力。</w:t>
      </w:r>
    </w:p>
    <w:p>
      <w:pPr>
        <w:spacing w:line="360" w:lineRule="auto"/>
      </w:pPr>
      <w:r>
        <w:rPr>
          <w:rFonts w:ascii="宋体" w:hAnsi="宋体"/>
          <w:sz w:val="24"/>
        </w:rPr>
        <w:t>同时，本实验也让我意识到，AI并不是简单意义上的替代者，更像是一种思维放大器。如果使用者本身没有问题意识和逻辑框架，那么AI生成的内容很容易流于空洞；但如果使用者具备清晰的思考方向，AI则能够显著提升表达效率，并帮助拓展思维边界。因此，在数字人文视角下，人与AI的关系并不应被理解为对立关系，而更像是一种新的协同关系，即由人类负责提出问题、进行价值判断，由AI负责信息整合与表达辅助。</w:t>
      </w:r>
    </w:p>
    <w:p>
      <w:pPr>
        <w:spacing w:line="360" w:lineRule="auto"/>
      </w:pPr>
      <w:r>
        <w:rPr>
          <w:rFonts w:ascii="宋体" w:hAnsi="宋体"/>
          <w:sz w:val="24"/>
        </w:rPr>
        <w:t>进一步来看，本次实验还让我对数字人文的本质有了更深理解。数字人文并不仅仅是技术进入人文学科，而是技术正在改变人类理解世界的方式。当AI开始参与写作、交流与知识组织时，人文研究本身也在发生变化。未来真正重要的能力，也许不再只是记忆知识，而是提出问题、判断价值并在AI生成的信息洪流中保持清醒。</w:t>
      </w:r>
    </w:p>
    <w:p>
      <w:pPr>
        <w:spacing w:line="360" w:lineRule="auto"/>
      </w:pPr>
      <w:r>
        <w:rPr>
          <w:rFonts w:ascii="宋体" w:hAnsi="宋体"/>
          <w:sz w:val="24"/>
        </w:rPr>
        <w:t>（一）AI是一面镜子，照出的是人类知识的模样</w:t>
      </w:r>
    </w:p>
    <w:p>
      <w:pPr>
        <w:spacing w:line="360" w:lineRule="auto"/>
      </w:pPr>
      <w:r>
        <w:rPr>
          <w:rFonts w:ascii="宋体" w:hAnsi="宋体"/>
          <w:sz w:val="24"/>
        </w:rPr>
        <w:t>通过与AI的交互，我深刻感受到：AI展现出的所有智慧，本质上都是人类知识的反射。它能提出有机更新理论、场所精神理论、Shannon-Wiener多样性指数，不是因为AI理解这些理论，而是因为这些理论存在于训练数据中。AI像一面巨大的镜子，映照出的是人类集体智慧的轮廓。这既令人惊叹（人类知识可以被如此高效地组织和调用），也令人警醒——如果我们停止创造新知识，AI也就失去了反射的源泉。</w:t>
      </w:r>
    </w:p>
    <w:p>
      <w:pPr>
        <w:spacing w:line="360" w:lineRule="auto"/>
      </w:pPr>
      <w:r>
        <w:rPr>
          <w:rFonts w:ascii="宋体" w:hAnsi="宋体"/>
          <w:sz w:val="24"/>
        </w:rPr>
        <w:t>（二）全面不等于合适——人类判断力的不可替代</w:t>
      </w:r>
    </w:p>
    <w:p>
      <w:pPr>
        <w:spacing w:line="360" w:lineRule="auto"/>
      </w:pPr>
      <w:r>
        <w:rPr>
          <w:rFonts w:ascii="宋体" w:hAnsi="宋体"/>
          <w:sz w:val="24"/>
        </w:rPr>
        <w:t>AI给出的方案总是全面的——它会把所有可能的方向、方法、策略都列出来。但学术研究不是做加法，而是做减法。一篇好的论文不是什么都做，而是把一件事做深。AI不擅长做减法，因为它没有价值判断。选择研究什么、不研究什么，聚焦什么、放弃什么——这些取舍的判断，只能由人类研究者来完成。这正是人类在AI时代的核心竞争力：不是知道更多，而是知道什么更重要。</w:t>
      </w:r>
    </w:p>
    <w:p>
      <w:pPr>
        <w:spacing w:line="360" w:lineRule="auto"/>
      </w:pPr>
      <w:r>
        <w:rPr>
          <w:rFonts w:ascii="宋体" w:hAnsi="宋体"/>
          <w:sz w:val="24"/>
        </w:rPr>
        <w:t>（三）AI改变了知识获取的方式，但没改变知识创造的本质</w:t>
      </w:r>
    </w:p>
    <w:p>
      <w:pPr>
        <w:spacing w:line="360" w:lineRule="auto"/>
      </w:pPr>
      <w:r>
        <w:rPr>
          <w:rFonts w:ascii="宋体" w:hAnsi="宋体"/>
          <w:sz w:val="24"/>
        </w:rPr>
        <w:t>过去，获取知识需要读文献、查资料、问导师。现在，AI能在几秒钟内给出结构化的知识梳理。这极大地降低了知识获取的门槛。但知识的创造——提出新问题、设计新研究、发现新规律——这个过程没有因为AI而变简单。AI能帮你站在巨人的肩膀上，但看到什么和发现什么，仍然取决于研究者自己。在这个意义上，AI是知识的放大器，而非知识的替代者。</w:t>
      </w:r>
    </w:p>
    <w:p>
      <w:pPr>
        <w:spacing w:line="360" w:lineRule="auto"/>
      </w:pPr>
      <w:r>
        <w:rPr>
          <w:rFonts w:ascii="宋体" w:hAnsi="宋体"/>
          <w:sz w:val="24"/>
        </w:rPr>
        <w:t>（四）对AI人文思考的再理解</w:t>
      </w:r>
    </w:p>
    <w:p>
      <w:pPr>
        <w:spacing w:line="360" w:lineRule="auto"/>
      </w:pPr>
      <w:r>
        <w:rPr>
          <w:rFonts w:ascii="宋体" w:hAnsi="宋体"/>
          <w:sz w:val="24"/>
        </w:rPr>
        <w:t>AI能讨论人文问题吗？从技术角度看，它可以生成关于人文思考的文本，可以引用哲学家的观点，可以分析不同立场的论据。但这是否意味着AI在思考人文问题？我的回答是：AI能处理人文问题，但不能体验人文问题。人文思考的核心不是逻辑推理，而是对人类处境的理解和关怀。AI没有处境——它不经历生老病死，不感受孤独与连接，不面对意义的追问。它能分析孤独这个词的语义和网络，但它不会感到孤独。正是这种体验的缺失，使得AI的人文思考始终停留在关于人文的讨论，而非来自人文的思考。</w:t>
      </w:r>
    </w:p>
    <w:p>
      <w:pPr>
        <w:spacing w:line="360" w:lineRule="auto"/>
      </w:pPr>
      <w:r>
        <w:rPr>
          <w:rFonts w:ascii="宋体" w:hAnsi="宋体"/>
          <w:sz w:val="24"/>
        </w:rPr>
        <w:t>（五）作为人工智能学院学生的自我反思</w:t>
      </w:r>
    </w:p>
    <w:p>
      <w:pPr>
        <w:spacing w:line="360" w:lineRule="auto"/>
      </w:pPr>
      <w:r>
        <w:rPr>
          <w:rFonts w:ascii="宋体" w:hAnsi="宋体"/>
          <w:sz w:val="24"/>
        </w:rPr>
        <w:t>作为人工智能学院的学生，我学习的是如何让AI更聪明——更好的算法、更大的模型、更多的数据。但这次交互让我意识到，AI的发展不仅需要技术维度，也需要人文维度。我们需要问的不仅是AI能做什么，还要问AI应该做什么；不仅是如何让AI更强大，还要问在AI强大的世界里，人类如何保持尊严和价值。这不是哲学家的专属问题，而是每个AI研究者都应该思考的问题。因为当我们设计AI时，我们也在设计人类与AI的关系——而这种关系，将深刻影响人类未来的样子。</w:t>
      </w:r>
    </w:p>
    <w:p>
      <w:pPr>
        <w:spacing w:line="360" w:lineRule="auto"/>
      </w:pPr>
      <w:r>
        <w:rPr>
          <w:rFonts w:ascii="宋体" w:hAnsi="宋体"/>
          <w:sz w:val="24"/>
        </w:rPr>
        <w:t>（六）总结</w:t>
      </w:r>
    </w:p>
    <w:p>
      <w:pPr>
        <w:spacing w:line="360" w:lineRule="auto"/>
      </w:pPr>
      <w:r>
        <w:rPr>
          <w:rFonts w:ascii="宋体" w:hAnsi="宋体"/>
          <w:sz w:val="24"/>
        </w:rPr>
        <w:t>这次与AI助手的交互，是一次用AI研究AI的元体验。我通过AI的帮助来完成学术研究，同时观察AI的能力和局限，并在此基础上反思AI与人文的关系。这种既在其中，又在其外的视角，让我对AI有了更立体、更深刻的理解。AI不是万能的，也不是无能的。它是一面镜子、一个工具、一位伙伴——但它不是替代者。在AI时代，人类最重要的能力不是与AI竞争，而是学会与AI协作，同时保持人类独有的能力：感受、判断、创造、关怀。这或许就是AI人文思考的核心要义。</w:t>
      </w:r>
    </w:p>
    <w:p>
      <w:r>
        <w:br w:type="page"/>
      </w:r>
    </w:p>
    <w:p>
      <w:pPr>
        <w:spacing w:before="240" w:after="120"/>
      </w:pPr>
      <w:r>
        <w:rPr>
          <w:rFonts w:ascii="宋体" w:hAnsi="宋体"/>
          <w:b/>
          <w:sz w:val="32"/>
        </w:rPr>
        <w:t>五、附录</w:t>
      </w:r>
    </w:p>
    <w:p>
      <w:pPr>
        <w:spacing w:line="360" w:lineRule="auto"/>
      </w:pPr>
      <w:r>
        <w:rPr>
          <w:rFonts w:ascii="宋体" w:hAnsi="宋体"/>
          <w:sz w:val="24"/>
        </w:rPr>
        <w:t>附录A：交互过程中AI生成的文件清单</w:t>
      </w:r>
    </w:p>
    <w:p>
      <w:pPr>
        <w:spacing w:line="360" w:lineRule="auto"/>
      </w:pPr>
      <w:r>
        <w:rPr>
          <w:rFonts w:ascii="宋体" w:hAnsi="宋体"/>
          <w:sz w:val="24"/>
        </w:rPr>
        <w:t>1. 历史街区更新_论文框架_陆梓仡.docx（V1-V3，共3版）</w:t>
      </w:r>
    </w:p>
    <w:p>
      <w:pPr>
        <w:spacing w:line="360" w:lineRule="auto"/>
      </w:pPr>
      <w:r>
        <w:rPr>
          <w:rFonts w:ascii="宋体" w:hAnsi="宋体"/>
          <w:sz w:val="24"/>
        </w:rPr>
        <w:t>2. 园林要素_历史街区更新_论文框架_陆梓仡.docx（V4-V6，共3版）</w:t>
      </w:r>
    </w:p>
    <w:p>
      <w:pPr>
        <w:spacing w:line="360" w:lineRule="auto"/>
      </w:pPr>
      <w:r>
        <w:rPr>
          <w:rFonts w:ascii="宋体" w:hAnsi="宋体"/>
          <w:sz w:val="24"/>
        </w:rPr>
        <w:t>3. AI人文思考交互体验报告_陆梓仡.docx</w:t>
      </w:r>
    </w:p>
    <w:p>
      <w:pPr>
        <w:spacing w:line="360" w:lineRule="auto"/>
      </w:pPr>
      <w:r>
        <w:rPr>
          <w:rFonts w:ascii="宋体" w:hAnsi="宋体"/>
          <w:sz w:val="24"/>
        </w:rPr>
        <w:t>附录B：AI推荐的统计学方法清单</w:t>
      </w:r>
    </w:p>
    <w:p>
      <w:pPr>
        <w:spacing w:line="360" w:lineRule="auto"/>
      </w:pPr>
      <w:r>
        <w:rPr>
          <w:rFonts w:ascii="宋体" w:hAnsi="宋体"/>
          <w:sz w:val="24"/>
        </w:rPr>
        <w:t>描述统计：均值、标准差、频数分布、直方图</w:t>
      </w:r>
    </w:p>
    <w:p>
      <w:pPr>
        <w:spacing w:line="360" w:lineRule="auto"/>
      </w:pPr>
      <w:r>
        <w:rPr>
          <w:rFonts w:ascii="宋体" w:hAnsi="宋体"/>
          <w:sz w:val="24"/>
        </w:rPr>
        <w:t>正态性检验（Shapiro-Wilk/K-S）：决定使用参数还是非参数检验</w:t>
      </w:r>
    </w:p>
    <w:p>
      <w:pPr>
        <w:spacing w:line="360" w:lineRule="auto"/>
      </w:pPr>
      <w:r>
        <w:rPr>
          <w:rFonts w:ascii="宋体" w:hAnsi="宋体"/>
          <w:sz w:val="24"/>
        </w:rPr>
        <w:t>独立样本t检验：两组偏好差异比较（如居民vs游客）</w:t>
      </w:r>
    </w:p>
    <w:p>
      <w:pPr>
        <w:spacing w:line="360" w:lineRule="auto"/>
      </w:pPr>
      <w:r>
        <w:rPr>
          <w:rFonts w:ascii="宋体" w:hAnsi="宋体"/>
          <w:sz w:val="24"/>
        </w:rPr>
        <w:t>单因素ANOVA：多组偏好差异比较 + Tukey HSD事后检验</w:t>
      </w:r>
    </w:p>
    <w:p>
      <w:pPr>
        <w:spacing w:line="360" w:lineRule="auto"/>
      </w:pPr>
      <w:r>
        <w:rPr>
          <w:rFonts w:ascii="宋体" w:hAnsi="宋体"/>
          <w:sz w:val="24"/>
        </w:rPr>
        <w:t>效应量（Cohen d / eta2）：差异的实际意义，不仅看p值</w:t>
      </w:r>
    </w:p>
    <w:p>
      <w:pPr>
        <w:spacing w:line="360" w:lineRule="auto"/>
      </w:pPr>
      <w:r>
        <w:rPr>
          <w:rFonts w:ascii="宋体" w:hAnsi="宋体"/>
          <w:sz w:val="24"/>
        </w:rPr>
        <w:t>探索性因子分析（EFA）：从多个变量中提取潜在影响因子</w:t>
      </w:r>
    </w:p>
    <w:p>
      <w:pPr>
        <w:spacing w:line="360" w:lineRule="auto"/>
      </w:pPr>
      <w:r>
        <w:rPr>
          <w:rFonts w:ascii="宋体" w:hAnsi="宋体"/>
          <w:sz w:val="24"/>
        </w:rPr>
        <w:t>Pearson/Spearman相关：变量间的线性/单调关系</w:t>
      </w:r>
    </w:p>
    <w:p>
      <w:pPr>
        <w:spacing w:line="360" w:lineRule="auto"/>
      </w:pPr>
      <w:r>
        <w:rPr>
          <w:rFonts w:ascii="宋体" w:hAnsi="宋体"/>
          <w:sz w:val="24"/>
        </w:rPr>
        <w:t>多元线性回归：量化多个影响因子对偏好的影响程度</w:t>
      </w:r>
    </w:p>
    <w:p>
      <w:pPr>
        <w:spacing w:line="360" w:lineRule="auto"/>
      </w:pPr>
      <w:r>
        <w:rPr>
          <w:rFonts w:ascii="宋体" w:hAnsi="宋体"/>
          <w:sz w:val="24"/>
        </w:rPr>
        <w:t>有序Logit/Probit：当因变量是有序分类变量时</w:t>
      </w:r>
    </w:p>
    <w:p>
      <w:pPr>
        <w:spacing w:line="360" w:lineRule="auto"/>
      </w:pPr>
      <w:r>
        <w:rPr>
          <w:rFonts w:ascii="宋体" w:hAnsi="宋体"/>
          <w:sz w:val="24"/>
        </w:rPr>
        <w:t>交互效应：检验调节变量（如群体类型是否改变影响关系）</w:t>
      </w:r>
    </w:p>
    <w:p>
      <w:pPr>
        <w:spacing w:line="360" w:lineRule="auto"/>
      </w:pPr>
      <w:r>
        <w:rPr>
          <w:rFonts w:ascii="宋体" w:hAnsi="宋体"/>
          <w:sz w:val="24"/>
        </w:rPr>
        <w:t>稳健性检验：替换变量、子样本回归，验证结果可靠性</w:t>
      </w:r>
    </w:p>
    <w:p>
      <w:pPr>
        <w:spacing w:line="360" w:lineRule="auto"/>
      </w:pPr>
      <w:r>
        <w:rPr>
          <w:rFonts w:ascii="宋体" w:hAnsi="宋体"/>
          <w:sz w:val="24"/>
        </w:rPr>
        <w:t>附录C：参考文献</w:t>
      </w:r>
    </w:p>
    <w:p>
      <w:pPr>
        <w:spacing w:line="360" w:lineRule="auto"/>
      </w:pPr>
      <w:r>
        <w:rPr>
          <w:rFonts w:ascii="宋体" w:hAnsi="宋体"/>
          <w:sz w:val="24"/>
        </w:rPr>
        <w:t>[1] 吴良镛. 有机更新理论及其在中国城市改造中的应用[J]. 城市规划, 2001.</w:t>
      </w:r>
    </w:p>
    <w:p>
      <w:pPr>
        <w:spacing w:line="360" w:lineRule="auto"/>
      </w:pPr>
      <w:r>
        <w:rPr>
          <w:rFonts w:ascii="宋体" w:hAnsi="宋体"/>
          <w:sz w:val="24"/>
        </w:rPr>
        <w:t>[2] Norberg-Schulz C. Genius Loci: Towards a Phenomenology of Architecture[M]. Academy Editions, 1980.</w:t>
      </w:r>
    </w:p>
    <w:p>
      <w:pPr>
        <w:spacing w:line="360" w:lineRule="auto"/>
      </w:pPr>
      <w:r>
        <w:rPr>
          <w:rFonts w:ascii="宋体" w:hAnsi="宋体"/>
          <w:sz w:val="24"/>
        </w:rPr>
        <w:t>[3] Kaplan R, Kaplan H. The Experience of Nature: A Psychological Perspective[M]. Cambridge University Press, 1989.</w:t>
      </w:r>
    </w:p>
    <w:p>
      <w:pPr>
        <w:spacing w:line="360" w:lineRule="auto"/>
      </w:pPr>
      <w:r>
        <w:rPr>
          <w:rFonts w:ascii="宋体" w:hAnsi="宋体"/>
          <w:sz w:val="24"/>
        </w:rPr>
        <w:t>[4] 俞孔坚. 景观、文化、生态与感知[M]. 科学出版社, 1998.</w:t>
      </w:r>
    </w:p>
    <w:p>
      <w:pPr>
        <w:spacing w:line="360" w:lineRule="auto"/>
      </w:pPr>
      <w:r>
        <w:rPr>
          <w:rFonts w:ascii="宋体" w:hAnsi="宋体"/>
          <w:sz w:val="24"/>
        </w:rPr>
        <w:t>[5] 吴志强, 李德华. 城市规划原理（第四版）[M]. 中国建筑工业出版社, 2010.</w:t>
      </w:r>
    </w:p>
    <w:p>
      <w:pPr>
        <w:spacing w:line="360" w:lineRule="auto"/>
      </w:pPr>
      <w:r>
        <w:rPr>
          <w:rFonts w:ascii="宋体" w:hAnsi="宋体"/>
          <w:sz w:val="24"/>
        </w:rPr>
        <w:t>[6] Field A. Discovering Statistics Using IBM SPSS Statistics[M]. SAGE, 2018.</w:t>
      </w:r>
    </w:p>
    <w:p>
      <w:pPr>
        <w:spacing w:line="360" w:lineRule="auto"/>
      </w:pPr>
      <w:r>
        <w:rPr>
          <w:rFonts w:ascii="宋体" w:hAnsi="宋体"/>
          <w:sz w:val="24"/>
        </w:rPr>
        <w:t>[7] 波兰尼 M. 个人知识——迈向后批判哲学[M]. 贵州人民出版社, 2000.</w:t>
      </w:r>
    </w:p>
    <w:p>
      <w:pPr>
        <w:spacing w:line="360" w:lineRule="auto"/>
      </w:pPr>
      <w:r>
        <w:rPr>
          <w:rFonts w:ascii="宋体" w:hAnsi="宋体"/>
          <w:sz w:val="24"/>
        </w:rPr>
        <w:t>[8] Berman M. All That Is Solid Melts into Air: The Experience of Modernity[M]. Penguin, 1982.</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