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D2F25">
      <w:pPr>
        <w:widowControl/>
        <w:spacing w:line="360" w:lineRule="auto"/>
        <w:jc w:val="center"/>
        <w:rPr>
          <w:rFonts w:hint="eastAsia"/>
          <w:b/>
          <w:sz w:val="28"/>
          <w:szCs w:val="28"/>
        </w:rPr>
      </w:pPr>
      <w:r>
        <w:rPr>
          <w:rFonts w:hint="eastAsia"/>
          <w:b/>
          <w:sz w:val="28"/>
          <w:szCs w:val="28"/>
        </w:rPr>
        <w:t>异构边缘计算中QoS感知蜂群任务调度研究</w:t>
      </w:r>
    </w:p>
    <w:p w14:paraId="37E3E681">
      <w:pPr>
        <w:spacing w:line="324" w:lineRule="auto"/>
        <w:jc w:val="center"/>
        <w:rPr>
          <w:rFonts w:hint="eastAsia" w:hAnsi="宋体"/>
          <w:szCs w:val="21"/>
        </w:rPr>
      </w:pPr>
      <w:r>
        <w:rPr>
          <w:rFonts w:hint="eastAsia" w:hAnsi="宋体"/>
          <w:szCs w:val="18"/>
        </w:rPr>
        <w:t>诸葛斌，李祖权，潘婷婷，张子天，蒋献，董黎刚</w:t>
      </w:r>
    </w:p>
    <w:p w14:paraId="3BAD343E">
      <w:pPr>
        <w:spacing w:line="324" w:lineRule="auto"/>
        <w:jc w:val="center"/>
        <w:rPr>
          <w:rFonts w:hint="eastAsia" w:hAnsi="宋体"/>
          <w:szCs w:val="21"/>
          <w:lang w:val="zh-CN"/>
        </w:rPr>
      </w:pPr>
      <w:r>
        <w:rPr>
          <w:rFonts w:hint="eastAsia" w:ascii="宋体" w:hAnsi="宋体"/>
          <w:color w:val="000000"/>
          <w:kern w:val="0"/>
          <w:szCs w:val="21"/>
        </w:rPr>
        <w:t>（浙江工商大学信息与电子工程学院（萨塞克斯人工智能学院），浙江</w:t>
      </w:r>
      <w:r>
        <w:rPr>
          <w:rFonts w:hint="eastAsia" w:hAnsi="宋体"/>
          <w:color w:val="000000"/>
          <w:kern w:val="0"/>
          <w:szCs w:val="21"/>
        </w:rPr>
        <w:t xml:space="preserve"> </w:t>
      </w:r>
      <w:r>
        <w:rPr>
          <w:rFonts w:hint="eastAsia" w:ascii="宋体" w:hAnsi="宋体"/>
          <w:color w:val="000000"/>
          <w:kern w:val="0"/>
          <w:szCs w:val="21"/>
        </w:rPr>
        <w:t>杭州</w:t>
      </w:r>
      <w:r>
        <w:rPr>
          <w:rFonts w:hint="eastAsia" w:hAnsi="宋体"/>
          <w:color w:val="000000"/>
          <w:kern w:val="0"/>
          <w:szCs w:val="21"/>
        </w:rPr>
        <w:t xml:space="preserve"> </w:t>
      </w:r>
      <w:r>
        <w:rPr>
          <w:color w:val="000000"/>
          <w:kern w:val="0"/>
          <w:szCs w:val="21"/>
        </w:rPr>
        <w:t>310018</w:t>
      </w:r>
      <w:r>
        <w:rPr>
          <w:rFonts w:hint="eastAsia" w:ascii="宋体" w:hAnsi="宋体"/>
          <w:color w:val="000000"/>
          <w:kern w:val="0"/>
          <w:szCs w:val="21"/>
        </w:rPr>
        <w:t>）</w:t>
      </w:r>
    </w:p>
    <w:p w14:paraId="35331249">
      <w:pPr>
        <w:widowControl/>
        <w:spacing w:line="360" w:lineRule="auto"/>
        <w:jc w:val="left"/>
        <w:rPr>
          <w:rFonts w:hint="eastAsia"/>
          <w:bCs/>
          <w:szCs w:val="21"/>
        </w:rPr>
      </w:pPr>
      <w:r>
        <w:rPr>
          <w:rFonts w:hAnsi="宋体" w:cs="宋体"/>
          <w:b/>
          <w:color w:val="000000"/>
          <w:kern w:val="0"/>
          <w:szCs w:val="21"/>
        </w:rPr>
        <w:t>摘</w:t>
      </w:r>
      <w:r>
        <w:rPr>
          <w:rFonts w:cs="宋体"/>
          <w:b/>
          <w:color w:val="000000"/>
          <w:kern w:val="0"/>
          <w:szCs w:val="21"/>
        </w:rPr>
        <w:t xml:space="preserve"> </w:t>
      </w:r>
      <w:r>
        <w:rPr>
          <w:rFonts w:hint="eastAsia" w:cs="宋体"/>
          <w:b/>
          <w:color w:val="000000"/>
          <w:kern w:val="0"/>
          <w:szCs w:val="21"/>
        </w:rPr>
        <w:t xml:space="preserve"> </w:t>
      </w:r>
      <w:r>
        <w:rPr>
          <w:rFonts w:hAnsi="宋体" w:cs="宋体"/>
          <w:b/>
          <w:color w:val="000000"/>
          <w:kern w:val="0"/>
          <w:szCs w:val="21"/>
        </w:rPr>
        <w:t>要</w:t>
      </w:r>
      <w:r>
        <w:rPr>
          <w:rFonts w:hint="eastAsia"/>
          <w:b/>
          <w:bCs/>
          <w:szCs w:val="21"/>
        </w:rPr>
        <w:t>：</w:t>
      </w:r>
      <w:r>
        <w:rPr>
          <w:rFonts w:hint="eastAsia"/>
          <w:bCs/>
          <w:szCs w:val="21"/>
        </w:rPr>
        <w:t>针对异构边缘计算环境中QoS感知任务调度与资源分配的挑战，提出了一种去中心化的QoS感知蜂群调度（QASS）模型。该模型通过引入任务QoS需求代理（TQRA）动态量化任务的紧迫度、重要性和满意度，并设计边缘节点QoS感知代理（RNQAA）计算节点QoS感知指数，实现基于负载和QoS压力的自适应动态定价。在此基础上，利用蜂群式协作调度（SCS）机制，模拟生物觅食行为，引导低负载节点感知并响应高QoS需求任务的信息素，从而实现任务的智能迁移与负载均衡。实验结果表明，QASS模型能够有效平衡系统总计算成本与总体服务质量，提升动态异构边缘环境下的资源利用效率和任务完成率。</w:t>
      </w:r>
    </w:p>
    <w:p w14:paraId="6D4AF498">
      <w:pPr>
        <w:widowControl/>
        <w:spacing w:line="360" w:lineRule="auto"/>
        <w:jc w:val="left"/>
        <w:rPr>
          <w:rFonts w:hint="eastAsia" w:hAnsi="宋体"/>
          <w:snapToGrid w:val="0"/>
          <w:szCs w:val="21"/>
        </w:rPr>
      </w:pPr>
      <w:r>
        <w:rPr>
          <w:rFonts w:hAnsi="宋体" w:cs="宋体"/>
          <w:b/>
          <w:color w:val="000000"/>
          <w:kern w:val="0"/>
          <w:szCs w:val="21"/>
        </w:rPr>
        <w:t>关键词</w:t>
      </w:r>
      <w:r>
        <w:rPr>
          <w:rFonts w:hint="eastAsia" w:cs="宋体"/>
          <w:b/>
          <w:color w:val="000000"/>
          <w:kern w:val="0"/>
          <w:szCs w:val="21"/>
        </w:rPr>
        <w:t>：</w:t>
      </w:r>
      <w:r>
        <w:rPr>
          <w:rFonts w:hint="eastAsia" w:hAnsi="宋体"/>
          <w:snapToGrid w:val="0"/>
          <w:szCs w:val="21"/>
        </w:rPr>
        <w:t>边缘计算；QoS感知调度；蜂群智能；动态定价；多代理系统</w:t>
      </w:r>
    </w:p>
    <w:p w14:paraId="47DF7A8A">
      <w:pPr>
        <w:widowControl/>
        <w:spacing w:line="360" w:lineRule="auto"/>
        <w:jc w:val="left"/>
        <w:rPr>
          <w:rFonts w:hint="eastAsia" w:hAnsi="宋体"/>
          <w:snapToGrid w:val="0"/>
          <w:szCs w:val="21"/>
        </w:rPr>
      </w:pPr>
      <w:r>
        <w:rPr>
          <w:rFonts w:hint="eastAsia" w:hAnsi="宋体"/>
          <w:b/>
          <w:snapToGrid w:val="0"/>
          <w:szCs w:val="21"/>
        </w:rPr>
        <w:t>中图分类号：</w:t>
      </w:r>
      <w:r>
        <w:rPr>
          <w:rFonts w:hint="eastAsia" w:hAnsi="宋体"/>
          <w:snapToGrid w:val="0"/>
          <w:szCs w:val="21"/>
        </w:rPr>
        <w:t xml:space="preserve">TP393       </w:t>
      </w:r>
      <w:r>
        <w:rPr>
          <w:rFonts w:hint="eastAsia" w:hAnsi="宋体"/>
          <w:b/>
          <w:snapToGrid w:val="0"/>
          <w:szCs w:val="21"/>
        </w:rPr>
        <w:t>文献标识码：</w:t>
      </w:r>
      <w:r>
        <w:rPr>
          <w:rFonts w:hint="eastAsia" w:hAnsi="宋体"/>
          <w:snapToGrid w:val="0"/>
          <w:szCs w:val="21"/>
        </w:rPr>
        <w:t>A</w:t>
      </w:r>
    </w:p>
    <w:p w14:paraId="662E6017">
      <w:pPr>
        <w:widowControl/>
        <w:spacing w:line="360" w:lineRule="auto"/>
        <w:ind w:firstLine="413" w:firstLineChars="147"/>
        <w:jc w:val="left"/>
        <w:rPr>
          <w:rFonts w:hint="eastAsia"/>
          <w:b/>
          <w:sz w:val="28"/>
          <w:szCs w:val="28"/>
        </w:rPr>
      </w:pPr>
      <w:bookmarkStart w:id="0" w:name="OLE_LINK3"/>
      <w:r>
        <w:rPr>
          <w:rFonts w:hint="eastAsia"/>
          <w:b/>
          <w:sz w:val="28"/>
          <w:szCs w:val="28"/>
        </w:rPr>
        <w:t>Research on QoS-Aware Swarm Task Scheduling in Heterogeneous Edge Computing</w:t>
      </w:r>
    </w:p>
    <w:bookmarkEnd w:id="0"/>
    <w:p w14:paraId="40F3601C">
      <w:pPr>
        <w:widowControl/>
        <w:spacing w:line="360" w:lineRule="auto"/>
        <w:ind w:firstLine="308" w:firstLineChars="147"/>
        <w:jc w:val="center"/>
        <w:rPr>
          <w:szCs w:val="21"/>
        </w:rPr>
      </w:pPr>
      <w:r>
        <w:rPr>
          <w:rFonts w:hint="eastAsia"/>
          <w:szCs w:val="21"/>
        </w:rPr>
        <w:t>ZHUGE Bin, LI Zuquan, PAN Tingting, ZHANG Zitian, DONG Ligang, JIANG Xian</w:t>
      </w:r>
    </w:p>
    <w:p w14:paraId="53BAD83B">
      <w:pPr>
        <w:widowControl/>
        <w:spacing w:line="360" w:lineRule="auto"/>
        <w:ind w:firstLine="308" w:firstLineChars="147"/>
        <w:jc w:val="center"/>
        <w:rPr>
          <w:szCs w:val="21"/>
        </w:rPr>
      </w:pPr>
      <w:r>
        <w:rPr>
          <w:rFonts w:hint="eastAsia"/>
          <w:szCs w:val="21"/>
        </w:rPr>
        <w:t>School of Information and Electronic Engineering (University of Sussex Artificial Intelligence Institute),</w:t>
      </w:r>
    </w:p>
    <w:p w14:paraId="420622E7">
      <w:pPr>
        <w:widowControl/>
        <w:spacing w:line="360" w:lineRule="auto"/>
        <w:ind w:firstLine="308" w:firstLineChars="147"/>
        <w:jc w:val="center"/>
        <w:rPr>
          <w:szCs w:val="21"/>
        </w:rPr>
      </w:pPr>
      <w:r>
        <w:rPr>
          <w:rFonts w:hint="eastAsia"/>
          <w:szCs w:val="21"/>
        </w:rPr>
        <w:t>Zhejiang Gongshang University, Hangzhou, Zheji</w:t>
      </w:r>
      <w:bookmarkStart w:id="21" w:name="_GoBack"/>
      <w:bookmarkEnd w:id="21"/>
      <w:r>
        <w:rPr>
          <w:rFonts w:hint="eastAsia"/>
          <w:szCs w:val="21"/>
        </w:rPr>
        <w:t>ang 310018, China</w:t>
      </w:r>
    </w:p>
    <w:p w14:paraId="1881E97E">
      <w:pPr>
        <w:widowControl/>
        <w:spacing w:line="360" w:lineRule="auto"/>
        <w:rPr>
          <w:rFonts w:hint="eastAsia"/>
          <w:szCs w:val="21"/>
        </w:rPr>
      </w:pPr>
      <w:r>
        <w:rPr>
          <w:rFonts w:hint="eastAsia"/>
          <w:b/>
          <w:szCs w:val="21"/>
        </w:rPr>
        <w:t>A</w:t>
      </w:r>
      <w:r>
        <w:rPr>
          <w:b/>
          <w:szCs w:val="21"/>
        </w:rPr>
        <w:t>bstract</w:t>
      </w:r>
      <w:r>
        <w:rPr>
          <w:rFonts w:hint="eastAsia"/>
          <w:b/>
          <w:szCs w:val="21"/>
        </w:rPr>
        <w:t xml:space="preserve">: </w:t>
      </w:r>
      <w:r>
        <w:rPr>
          <w:rFonts w:hint="eastAsia"/>
          <w:szCs w:val="21"/>
        </w:rPr>
        <w:t>To address the challenges of QoS-aware task scheduling and resource allocation in heterogeneous edge computing environments, a decentralized QoS-aware Swarm Scheduling (QASS) model was proposed. This model introduced Task QoS Requirement Agents (TQRA) to dynamically quantify task urgency, importance, and satisfaction, and designed Edge Node QoS-aware Agents (RNQAA) to calculate node QoS perception indices, enabling adaptive dynamic pricing based on load and QoS pressure. Furthermore, a Swarm Collaborative Scheduling (SCS) mechanism, inspired by biological foraging behavior, was utilized to guide low-load nodes in perceiving and responding to pheromones from high-QoS-demand tasks, thereby achieving intelligent task migration and load balancing. Experimental results demonstrated that the QASS model effectively balanced the total system computing cost and overall quality of service, improving resource utilization efficiency and task completion rates in dynamic heterogeneous edge environments.</w:t>
      </w:r>
      <w:r>
        <w:rPr>
          <w:szCs w:val="21"/>
        </w:rPr>
        <w:t xml:space="preserve"> </w:t>
      </w:r>
    </w:p>
    <w:p w14:paraId="127D6E48">
      <w:pPr>
        <w:spacing w:line="360" w:lineRule="auto"/>
        <w:rPr>
          <w:szCs w:val="21"/>
        </w:rPr>
      </w:pPr>
      <w:r>
        <w:rPr>
          <w:b/>
          <w:szCs w:val="21"/>
        </w:rPr>
        <w:t>Key words</w:t>
      </w:r>
      <w:r>
        <w:rPr>
          <w:rFonts w:hint="eastAsia"/>
          <w:b/>
          <w:szCs w:val="21"/>
        </w:rPr>
        <w:t xml:space="preserve">: </w:t>
      </w:r>
      <w:r>
        <w:rPr>
          <w:rFonts w:hint="eastAsia"/>
          <w:szCs w:val="21"/>
        </w:rPr>
        <w:t>Edge computing; QoS-aware scheduling; Swarm intelligence; Dynamic pricing; Multi-agent system</w:t>
      </w:r>
    </w:p>
    <w:p w14:paraId="56A951CE">
      <w:pPr>
        <w:pStyle w:val="2"/>
        <w:spacing w:before="0" w:after="0" w:line="360" w:lineRule="auto"/>
        <w:rPr>
          <w:rFonts w:hint="eastAsia" w:cs="宋体"/>
          <w:b w:val="0"/>
          <w:color w:val="000000"/>
          <w:kern w:val="0"/>
          <w:sz w:val="28"/>
          <w:szCs w:val="28"/>
        </w:rPr>
      </w:pPr>
      <w:r>
        <w:rPr>
          <w:rFonts w:hint="eastAsia" w:ascii="Times New Roman" w:hAnsi="Times New Roman" w:eastAsia="宋体" w:cs="宋体"/>
          <w:bCs w:val="0"/>
          <w:color w:val="000000"/>
          <w:kern w:val="0"/>
          <w:sz w:val="28"/>
          <w:szCs w:val="28"/>
          <w:lang w:val="en-US" w:eastAsia="zh-CN"/>
        </w:rPr>
        <w:t>1</w:t>
      </w:r>
      <w:r>
        <w:rPr>
          <w:rFonts w:hint="eastAsia" w:ascii="Times New Roman" w:hAnsi="Times New Roman" w:eastAsia="宋体" w:cs="宋体"/>
          <w:bCs w:val="0"/>
          <w:color w:val="000000"/>
          <w:kern w:val="0"/>
          <w:sz w:val="28"/>
          <w:szCs w:val="28"/>
        </w:rPr>
        <w:t xml:space="preserve">  引言</w:t>
      </w:r>
    </w:p>
    <w:p w14:paraId="69FD777A">
      <w:pPr>
        <w:pStyle w:val="2"/>
        <w:spacing w:before="0" w:after="0" w:line="360" w:lineRule="auto"/>
        <w:rPr>
          <w:rFonts w:hint="eastAsia" w:cs="宋体"/>
          <w:kern w:val="0"/>
          <w:szCs w:val="21"/>
        </w:rPr>
      </w:pPr>
      <w:r>
        <w:rPr>
          <w:rFonts w:hint="eastAsia" w:ascii="Times New Roman" w:hAnsi="Times New Roman" w:eastAsia="宋体"/>
          <w:bCs w:val="0"/>
          <w:kern w:val="0"/>
          <w:sz w:val="21"/>
          <w:szCs w:val="21"/>
          <w:lang w:val="en-US" w:eastAsia="zh-CN"/>
        </w:rPr>
        <w:t>1</w:t>
      </w:r>
      <w:r>
        <w:rPr>
          <w:rFonts w:hint="eastAsia" w:ascii="Times New Roman" w:hAnsi="Times New Roman" w:eastAsia="宋体"/>
          <w:bCs w:val="0"/>
          <w:kern w:val="0"/>
          <w:sz w:val="21"/>
          <w:szCs w:val="21"/>
        </w:rPr>
        <w:t xml:space="preserve">.1  </w:t>
      </w:r>
      <w:r>
        <w:rPr>
          <w:rFonts w:hint="eastAsia" w:ascii="Times New Roman" w:hAnsi="Times New Roman" w:eastAsia="宋体"/>
          <w:bCs w:val="0"/>
          <w:kern w:val="0"/>
          <w:sz w:val="21"/>
          <w:szCs w:val="21"/>
          <w:lang w:val="en-US" w:eastAsia="zh-CN"/>
        </w:rPr>
        <w:t>研究背景：边缘计算的兴起与挑战</w:t>
      </w:r>
    </w:p>
    <w:p w14:paraId="34B09E30">
      <w:pPr>
        <w:spacing w:line="360" w:lineRule="auto"/>
        <w:ind w:firstLine="420" w:firstLineChars="200"/>
        <w:rPr>
          <w:rFonts w:hint="eastAsia" w:cs="宋体"/>
          <w:kern w:val="0"/>
          <w:szCs w:val="21"/>
        </w:rPr>
      </w:pPr>
      <w:r>
        <w:rPr>
          <w:rFonts w:hint="eastAsia" w:cs="宋体"/>
          <w:kern w:val="0"/>
          <w:szCs w:val="21"/>
        </w:rPr>
        <w:t>随着5G通信、物联网（IoT）和人工智能（AI）技术的飞速发展与深度融合，一个旨在重塑信息处理架构的全新计算范式——边缘计算（Edge Computing）——正以前所未有的速度从学术概念走向产业实践</w:t>
      </w:r>
      <w:r>
        <w:rPr>
          <w:rFonts w:hint="eastAsia" w:cs="宋体"/>
          <w:kern w:val="0"/>
          <w:szCs w:val="21"/>
          <w:lang w:eastAsia="zh-CN"/>
        </w:rPr>
        <w:fldChar w:fldCharType="begin"/>
      </w:r>
      <w:r>
        <w:rPr>
          <w:rFonts w:hint="eastAsia" w:cs="宋体"/>
          <w:kern w:val="0"/>
          <w:szCs w:val="21"/>
          <w:lang w:eastAsia="zh-CN"/>
        </w:rPr>
        <w:instrText xml:space="preserve"> REF _Ref15268 \r \h </w:instrText>
      </w:r>
      <w:r>
        <w:rPr>
          <w:rFonts w:hint="eastAsia" w:cs="宋体"/>
          <w:kern w:val="0"/>
          <w:szCs w:val="21"/>
          <w:lang w:eastAsia="zh-CN"/>
        </w:rPr>
        <w:fldChar w:fldCharType="separate"/>
      </w:r>
      <w:r>
        <w:rPr>
          <w:rFonts w:hint="eastAsia" w:cs="宋体"/>
          <w:kern w:val="0"/>
          <w:szCs w:val="21"/>
          <w:lang w:eastAsia="zh-CN"/>
        </w:rPr>
        <w:t>[1]</w:t>
      </w:r>
      <w:r>
        <w:rPr>
          <w:rFonts w:hint="eastAsia" w:cs="宋体"/>
          <w:kern w:val="0"/>
          <w:szCs w:val="21"/>
          <w:lang w:eastAsia="zh-CN"/>
        </w:rPr>
        <w:fldChar w:fldCharType="end"/>
      </w:r>
      <w:r>
        <w:rPr>
          <w:rFonts w:hint="eastAsia" w:cs="宋体"/>
          <w:kern w:val="0"/>
          <w:szCs w:val="21"/>
        </w:rPr>
        <w:t>。与将海量数据远距离传输至云端进行集中式处理的传统云计算模型不同，边缘计算倡导在靠近数据源头的物理网络边缘（如车辆、工厂车间、移动基站、智能家居网关等）部署和运行计算、存储及网络资源。这种将算力下沉的分布式架构，旨在从根本上解决由物理距离带来的网络延迟问题，从而为新兴的实时交互式应用提供更低延迟、更高带宽和更强隐私保护的服务</w:t>
      </w:r>
      <w:r>
        <w:rPr>
          <w:rFonts w:hint="eastAsia" w:cs="宋体"/>
          <w:kern w:val="0"/>
          <w:szCs w:val="21"/>
          <w:lang w:eastAsia="zh-CN"/>
        </w:rPr>
        <w:fldChar w:fldCharType="begin"/>
      </w:r>
      <w:r>
        <w:rPr>
          <w:rFonts w:hint="eastAsia" w:cs="宋体"/>
          <w:kern w:val="0"/>
          <w:szCs w:val="21"/>
          <w:lang w:eastAsia="zh-CN"/>
        </w:rPr>
        <w:instrText xml:space="preserve"> REF _Ref15291 \r \h </w:instrText>
      </w:r>
      <w:r>
        <w:rPr>
          <w:rFonts w:hint="eastAsia" w:cs="宋体"/>
          <w:kern w:val="0"/>
          <w:szCs w:val="21"/>
          <w:lang w:eastAsia="zh-CN"/>
        </w:rPr>
        <w:fldChar w:fldCharType="separate"/>
      </w:r>
      <w:r>
        <w:rPr>
          <w:rFonts w:hint="eastAsia" w:cs="宋体"/>
          <w:kern w:val="0"/>
          <w:szCs w:val="21"/>
          <w:lang w:eastAsia="zh-CN"/>
        </w:rPr>
        <w:t>[2]</w:t>
      </w:r>
      <w:r>
        <w:rPr>
          <w:rFonts w:hint="eastAsia" w:cs="宋体"/>
          <w:kern w:val="0"/>
          <w:szCs w:val="21"/>
          <w:lang w:eastAsia="zh-CN"/>
        </w:rPr>
        <w:fldChar w:fldCharType="end"/>
      </w:r>
      <w:r>
        <w:rPr>
          <w:rFonts w:hint="eastAsia" w:cs="宋体"/>
          <w:kern w:val="0"/>
          <w:szCs w:val="21"/>
        </w:rPr>
        <w:t>。可以说，这一范式转变不仅是技术演进的必然，更是新一轮数字化浪潮下，满足终端智能化和业务实时性需求的迫切驱动。特别是在新兴的算力网络架构下，如何实现泛在资源的高效调度已成为当前研究的热点</w:t>
      </w:r>
      <w:r>
        <w:rPr>
          <w:rFonts w:hint="eastAsia" w:cs="宋体"/>
          <w:kern w:val="0"/>
          <w:szCs w:val="21"/>
          <w:lang w:eastAsia="zh-CN"/>
        </w:rPr>
        <w:fldChar w:fldCharType="begin"/>
      </w:r>
      <w:r>
        <w:rPr>
          <w:rFonts w:hint="eastAsia" w:cs="宋体"/>
          <w:kern w:val="0"/>
          <w:szCs w:val="21"/>
          <w:lang w:eastAsia="zh-CN"/>
        </w:rPr>
        <w:instrText xml:space="preserve"> REF _Ref8149 \r \h </w:instrText>
      </w:r>
      <w:r>
        <w:rPr>
          <w:rFonts w:hint="eastAsia" w:cs="宋体"/>
          <w:kern w:val="0"/>
          <w:szCs w:val="21"/>
          <w:lang w:eastAsia="zh-CN"/>
        </w:rPr>
        <w:fldChar w:fldCharType="separate"/>
      </w:r>
      <w:r>
        <w:rPr>
          <w:rFonts w:hint="eastAsia" w:cs="宋体"/>
          <w:kern w:val="0"/>
          <w:szCs w:val="21"/>
          <w:lang w:eastAsia="zh-CN"/>
        </w:rPr>
        <w:t>[3]</w:t>
      </w:r>
      <w:r>
        <w:rPr>
          <w:rFonts w:hint="eastAsia" w:cs="宋体"/>
          <w:kern w:val="0"/>
          <w:szCs w:val="21"/>
          <w:lang w:eastAsia="zh-CN"/>
        </w:rPr>
        <w:fldChar w:fldCharType="end"/>
      </w:r>
      <w:r>
        <w:rPr>
          <w:rFonts w:hint="eastAsia" w:cs="宋体"/>
          <w:kern w:val="0"/>
          <w:szCs w:val="21"/>
        </w:rPr>
        <w:t>。</w:t>
      </w:r>
    </w:p>
    <w:p w14:paraId="2C6EB68E">
      <w:pPr>
        <w:spacing w:line="360" w:lineRule="auto"/>
        <w:ind w:firstLine="420" w:firstLineChars="200"/>
        <w:rPr>
          <w:rFonts w:hint="eastAsia" w:cs="宋体"/>
          <w:kern w:val="0"/>
          <w:szCs w:val="21"/>
        </w:rPr>
      </w:pPr>
      <w:r>
        <w:rPr>
          <w:rFonts w:hint="eastAsia" w:cs="宋体"/>
          <w:kern w:val="0"/>
          <w:szCs w:val="21"/>
        </w:rPr>
        <w:t>在自动驾驶、工业物联网（IIoT）、增强现实（AR）、远程手术和实时金融交易等典型的边缘应用场景中，业务逻辑通常被分解为大量具有显著异构性的延迟敏感型任务。以一个复杂的自动驾驶系统为例，其车载计算单元和路边单元（Road Side Unit, RSU）需要在一个极短的时间窗口内协同处理多种类型的计算任务。这其中包括对延迟要求达到毫秒级别、任何失败都可能导致灾难性安全事故的实时控制任务（如基于传感器融合的障碍物规避、紧急制动指令的执行）；需要在数百毫秒内完成、为车辆高层决策提供关键依据的关键感知任务（如激光雷达（LiDAR）点云的三维重建、高清摄像头视频流的目标识别）；以及对延迟不敏感、可以容忍较长处理时间的后台分析任务（如高精度地图的增量更新、驾驶员行为数据的异步上传）</w:t>
      </w:r>
      <w:r>
        <w:rPr>
          <w:rFonts w:hint="eastAsia" w:cs="宋体"/>
          <w:kern w:val="0"/>
          <w:szCs w:val="21"/>
          <w:lang w:eastAsia="zh-CN"/>
        </w:rPr>
        <w:fldChar w:fldCharType="begin"/>
      </w:r>
      <w:r>
        <w:rPr>
          <w:rFonts w:hint="eastAsia" w:cs="宋体"/>
          <w:kern w:val="0"/>
          <w:szCs w:val="21"/>
          <w:lang w:eastAsia="zh-CN"/>
        </w:rPr>
        <w:instrText xml:space="preserve"> REF _Ref15330 \r \h </w:instrText>
      </w:r>
      <w:r>
        <w:rPr>
          <w:rFonts w:hint="eastAsia" w:cs="宋体"/>
          <w:kern w:val="0"/>
          <w:szCs w:val="21"/>
          <w:lang w:eastAsia="zh-CN"/>
        </w:rPr>
        <w:fldChar w:fldCharType="separate"/>
      </w:r>
      <w:r>
        <w:rPr>
          <w:rFonts w:hint="eastAsia" w:cs="宋体"/>
          <w:kern w:val="0"/>
          <w:szCs w:val="21"/>
          <w:lang w:eastAsia="zh-CN"/>
        </w:rPr>
        <w:t>[4]</w:t>
      </w:r>
      <w:r>
        <w:rPr>
          <w:rFonts w:hint="eastAsia" w:cs="宋体"/>
          <w:kern w:val="0"/>
          <w:szCs w:val="21"/>
          <w:lang w:eastAsia="zh-CN"/>
        </w:rPr>
        <w:fldChar w:fldCharType="end"/>
      </w:r>
      <w:r>
        <w:rPr>
          <w:rFonts w:hint="eastAsia" w:cs="宋体"/>
          <w:kern w:val="0"/>
          <w:szCs w:val="21"/>
        </w:rPr>
        <w:t>。</w:t>
      </w:r>
    </w:p>
    <w:p w14:paraId="7F9C3572">
      <w:pPr>
        <w:spacing w:line="360" w:lineRule="auto"/>
        <w:ind w:firstLine="420" w:firstLineChars="200"/>
        <w:rPr>
          <w:rFonts w:hint="eastAsia" w:cs="宋体"/>
          <w:kern w:val="0"/>
          <w:szCs w:val="21"/>
        </w:rPr>
      </w:pPr>
      <w:r>
        <w:rPr>
          <w:rFonts w:hint="eastAsia" w:cs="宋体"/>
          <w:kern w:val="0"/>
          <w:szCs w:val="21"/>
        </w:rPr>
        <w:t>这种任务在服务质量（QoS）需求上的巨大差异性，与边缘环境固有的物理约束交织在一起，形成了资源管理领域一个极具挑战性的研究课题。边缘节点（无论是车载单元、工业控制器还是边缘服务器）通常面临着比云数据中心更为严苛的资源限制，包括有限的计算能力、存储空间和能源供应</w:t>
      </w:r>
      <w:r>
        <w:rPr>
          <w:rFonts w:hint="eastAsia" w:cs="宋体"/>
          <w:kern w:val="0"/>
          <w:szCs w:val="21"/>
          <w:lang w:eastAsia="zh-CN"/>
        </w:rPr>
        <w:fldChar w:fldCharType="begin"/>
      </w:r>
      <w:r>
        <w:rPr>
          <w:rFonts w:hint="eastAsia" w:cs="宋体"/>
          <w:kern w:val="0"/>
          <w:szCs w:val="21"/>
          <w:lang w:eastAsia="zh-CN"/>
        </w:rPr>
        <w:instrText xml:space="preserve"> REF _Ref15347 \r \h </w:instrText>
      </w:r>
      <w:r>
        <w:rPr>
          <w:rFonts w:hint="eastAsia" w:cs="宋体"/>
          <w:kern w:val="0"/>
          <w:szCs w:val="21"/>
          <w:lang w:eastAsia="zh-CN"/>
        </w:rPr>
        <w:fldChar w:fldCharType="separate"/>
      </w:r>
      <w:r>
        <w:rPr>
          <w:rFonts w:hint="eastAsia" w:cs="宋体"/>
          <w:kern w:val="0"/>
          <w:szCs w:val="21"/>
          <w:lang w:eastAsia="zh-CN"/>
        </w:rPr>
        <w:t>[5]</w:t>
      </w:r>
      <w:r>
        <w:rPr>
          <w:rFonts w:hint="eastAsia" w:cs="宋体"/>
          <w:kern w:val="0"/>
          <w:szCs w:val="21"/>
          <w:lang w:eastAsia="zh-CN"/>
        </w:rPr>
        <w:fldChar w:fldCharType="end"/>
      </w:r>
      <w:r>
        <w:rPr>
          <w:rFonts w:hint="eastAsia" w:cs="宋体"/>
          <w:kern w:val="0"/>
          <w:szCs w:val="21"/>
        </w:rPr>
        <w:t>。同时，由于节点的移动性、网络的间歇性连接以及物理环境的干扰，边缘系统的拓扑结构和可用资源状态呈现出高度的动态性和不可预测性。在这样一种资源受限且高度不确定的环境中，传统的、为资源近乎无限且状态稳定的云数据中心所设计的资源调度策略，往往会因其设计假设与现实的脱节而表现出严重的"水土不服"，难以满足边缘应用对可靠性和实时性的双重诉求。</w:t>
      </w:r>
    </w:p>
    <w:p w14:paraId="0CB07580">
      <w:pPr>
        <w:pStyle w:val="2"/>
        <w:spacing w:before="0" w:after="0" w:line="360" w:lineRule="auto"/>
        <w:rPr>
          <w:rFonts w:hint="eastAsia" w:cs="宋体"/>
          <w:kern w:val="0"/>
          <w:szCs w:val="21"/>
        </w:rPr>
      </w:pPr>
      <w:r>
        <w:rPr>
          <w:rFonts w:hint="eastAsia" w:ascii="Times New Roman" w:hAnsi="Times New Roman" w:eastAsia="宋体"/>
          <w:bCs w:val="0"/>
          <w:kern w:val="0"/>
          <w:sz w:val="21"/>
          <w:szCs w:val="21"/>
          <w:lang w:val="en-US" w:eastAsia="zh-CN"/>
        </w:rPr>
        <w:t>1</w:t>
      </w:r>
      <w:r>
        <w:rPr>
          <w:rFonts w:hint="eastAsia" w:ascii="Times New Roman" w:hAnsi="Times New Roman" w:eastAsia="宋体"/>
          <w:bCs w:val="0"/>
          <w:kern w:val="0"/>
          <w:sz w:val="21"/>
          <w:szCs w:val="21"/>
        </w:rPr>
        <w:t>.</w:t>
      </w:r>
      <w:r>
        <w:rPr>
          <w:rFonts w:hint="eastAsia" w:ascii="Times New Roman" w:hAnsi="Times New Roman" w:eastAsia="宋体"/>
          <w:bCs w:val="0"/>
          <w:kern w:val="0"/>
          <w:sz w:val="21"/>
          <w:szCs w:val="21"/>
          <w:lang w:val="en-US" w:eastAsia="zh-CN"/>
        </w:rPr>
        <w:t>2</w:t>
      </w:r>
      <w:r>
        <w:rPr>
          <w:rFonts w:hint="eastAsia" w:ascii="Times New Roman" w:hAnsi="Times New Roman" w:eastAsia="宋体"/>
          <w:bCs w:val="0"/>
          <w:kern w:val="0"/>
          <w:sz w:val="21"/>
          <w:szCs w:val="21"/>
        </w:rPr>
        <w:t xml:space="preserve">  研究动机与核心挑战</w:t>
      </w:r>
    </w:p>
    <w:p w14:paraId="0F84E8B5">
      <w:pPr>
        <w:spacing w:line="360" w:lineRule="auto"/>
        <w:ind w:firstLine="420" w:firstLineChars="200"/>
        <w:rPr>
          <w:rFonts w:hint="eastAsia" w:cs="宋体"/>
          <w:kern w:val="0"/>
          <w:szCs w:val="21"/>
        </w:rPr>
      </w:pPr>
      <w:r>
        <w:rPr>
          <w:rFonts w:hint="eastAsia" w:cs="宋体"/>
          <w:kern w:val="0"/>
          <w:szCs w:val="21"/>
        </w:rPr>
        <w:t>面对边缘计算独特的运行环境和业务需求，现有的资源调度策略在实践中暴露了诸多深层次的局限性，这些局限性构成了我们研究的核心动机。我们将其归纳为三个相互关联的核心挑战。</w:t>
      </w:r>
    </w:p>
    <w:p w14:paraId="483B4C12">
      <w:pPr>
        <w:spacing w:line="360" w:lineRule="auto"/>
        <w:ind w:firstLine="420" w:firstLineChars="200"/>
        <w:rPr>
          <w:rFonts w:hint="eastAsia" w:cs="宋体"/>
          <w:kern w:val="0"/>
          <w:szCs w:val="21"/>
        </w:rPr>
      </w:pPr>
      <w:r>
        <w:rPr>
          <w:rFonts w:hint="eastAsia" w:cs="宋体"/>
          <w:kern w:val="0"/>
          <w:szCs w:val="21"/>
        </w:rPr>
        <w:t>首先是QoS保障的粒度粗糙与机制缺失。固定定价（Fixed Pricing, FP）和动态定价（Dynamic Pricing, DP）等源自云计算的经典经济学模型</w:t>
      </w:r>
      <w:r>
        <w:rPr>
          <w:rFonts w:hint="eastAsia" w:cs="宋体"/>
          <w:kern w:val="0"/>
          <w:szCs w:val="21"/>
          <w:lang w:eastAsia="zh-CN"/>
        </w:rPr>
        <w:fldChar w:fldCharType="begin"/>
      </w:r>
      <w:r>
        <w:rPr>
          <w:rFonts w:hint="eastAsia" w:cs="宋体"/>
          <w:kern w:val="0"/>
          <w:szCs w:val="21"/>
          <w:lang w:eastAsia="zh-CN"/>
        </w:rPr>
        <w:instrText xml:space="preserve"> REF _Ref15405 \r \h </w:instrText>
      </w:r>
      <w:r>
        <w:rPr>
          <w:rFonts w:hint="eastAsia" w:cs="宋体"/>
          <w:kern w:val="0"/>
          <w:szCs w:val="21"/>
          <w:lang w:eastAsia="zh-CN"/>
        </w:rPr>
        <w:fldChar w:fldCharType="separate"/>
      </w:r>
      <w:r>
        <w:rPr>
          <w:rFonts w:hint="eastAsia" w:cs="宋体"/>
          <w:kern w:val="0"/>
          <w:szCs w:val="21"/>
          <w:lang w:eastAsia="zh-CN"/>
        </w:rPr>
        <w:t>[6]</w:t>
      </w:r>
      <w:r>
        <w:rPr>
          <w:rFonts w:hint="eastAsia" w:cs="宋体"/>
          <w:kern w:val="0"/>
          <w:szCs w:val="21"/>
          <w:lang w:eastAsia="zh-CN"/>
        </w:rPr>
        <w:fldChar w:fldCharType="end"/>
      </w:r>
      <w:r>
        <w:rPr>
          <w:rFonts w:hint="eastAsia" w:cs="宋体"/>
          <w:kern w:val="0"/>
          <w:szCs w:val="21"/>
        </w:rPr>
        <w:t>，其核心目标函数通常聚焦于系统级的宏观指标，如最大化资源利用率或最小化运营商成本。这些策略在本质上是“QoS中立”的，它们将所有任务视为同质化的计算负载，无法从机制上有效地区分任务的业务价值和延迟敏感度的差异。当系统负载升高、资源出现争抢时，这类调度器难以提供确定性的服务保障，往往导致高优先级的关键任务与低优先级的普通任务陷入无差别的资源竞争，从而引发关键业务的服务降级甚至失败，这在安全攸关的边缘场景中是不可接受的。</w:t>
      </w:r>
    </w:p>
    <w:p w14:paraId="4CCEA064">
      <w:pPr>
        <w:spacing w:line="360" w:lineRule="auto"/>
        <w:ind w:firstLine="420" w:firstLineChars="200"/>
        <w:rPr>
          <w:rFonts w:hint="eastAsia" w:cs="宋体"/>
          <w:kern w:val="0"/>
          <w:szCs w:val="21"/>
        </w:rPr>
      </w:pPr>
      <w:r>
        <w:rPr>
          <w:rFonts w:hint="eastAsia" w:cs="宋体"/>
          <w:kern w:val="0"/>
          <w:szCs w:val="21"/>
        </w:rPr>
        <w:t>其次是中心化架构带来的可扩展性与鲁棒性瓶颈。许多传统的调度系统，无论是学术研究还是商业实践，都倾向于依赖一个功能强大的中心化决策单元来收集全局状态信息、执行复杂的调度算法并下发指令</w:t>
      </w:r>
      <w:r>
        <w:rPr>
          <w:rFonts w:hint="eastAsia" w:cs="宋体"/>
          <w:kern w:val="0"/>
          <w:szCs w:val="21"/>
          <w:lang w:eastAsia="zh-CN"/>
        </w:rPr>
        <w:fldChar w:fldCharType="begin"/>
      </w:r>
      <w:r>
        <w:rPr>
          <w:rFonts w:hint="eastAsia" w:cs="宋体"/>
          <w:kern w:val="0"/>
          <w:szCs w:val="21"/>
          <w:lang w:eastAsia="zh-CN"/>
        </w:rPr>
        <w:instrText xml:space="preserve"> REF _Ref16493 \r \h </w:instrText>
      </w:r>
      <w:r>
        <w:rPr>
          <w:rFonts w:hint="eastAsia" w:cs="宋体"/>
          <w:kern w:val="0"/>
          <w:szCs w:val="21"/>
          <w:lang w:eastAsia="zh-CN"/>
        </w:rPr>
        <w:fldChar w:fldCharType="separate"/>
      </w:r>
      <w:r>
        <w:rPr>
          <w:rFonts w:hint="eastAsia" w:cs="宋体"/>
          <w:kern w:val="0"/>
          <w:szCs w:val="21"/>
          <w:lang w:eastAsia="zh-CN"/>
        </w:rPr>
        <w:t>[7]</w:t>
      </w:r>
      <w:r>
        <w:rPr>
          <w:rFonts w:hint="eastAsia" w:cs="宋体"/>
          <w:kern w:val="0"/>
          <w:szCs w:val="21"/>
          <w:lang w:eastAsia="zh-CN"/>
        </w:rPr>
        <w:fldChar w:fldCharType="end"/>
      </w:r>
      <w:r>
        <w:rPr>
          <w:rFonts w:hint="eastAsia" w:cs="宋体"/>
          <w:kern w:val="0"/>
          <w:szCs w:val="21"/>
        </w:rPr>
        <w:t>。然而，在节点数量可能极为庞大、网络拓扑因节点移动而频繁变化的广域边缘环境中，这种中心化架构的弊端被急剧放大。中心调度器不仅容易成为整个系统的性能瓶颈，其与数以万计边缘节点的频繁通信也会带来巨大的网络开销。更严重的是，中心节点的单点故障风险对系统的整体可靠性构成了致命威胁，这与边缘计算所追求的分布式、高韧性的设计哲学背道而驰。</w:t>
      </w:r>
    </w:p>
    <w:p w14:paraId="75706E82">
      <w:pPr>
        <w:spacing w:line="360" w:lineRule="auto"/>
        <w:ind w:firstLine="420" w:firstLineChars="200"/>
        <w:rPr>
          <w:rFonts w:hint="eastAsia" w:cs="宋体"/>
          <w:kern w:val="0"/>
          <w:szCs w:val="21"/>
        </w:rPr>
      </w:pPr>
      <w:r>
        <w:rPr>
          <w:rFonts w:hint="eastAsia" w:cs="宋体"/>
          <w:kern w:val="0"/>
          <w:szCs w:val="21"/>
        </w:rPr>
        <w:t>最后是对环境动态性的适应能力严重不足。边缘环境的负载呈现出高度的“潮汐效应”和突发性，同时，节点本身也可能因为移动、网络中断或故障而频繁加入或离开网络（即“节点扰动”）。许多调度策略所依赖的静态规则或基于历史数据训练的预测模型，在这种高度动态和不可预测的环境中难以维持有效性。其结果往往是系统在资源规划上陷入两难：要么为了应对峰值负载而采取过度保守的资源预留策略，导致平时大量的资源闲置与浪费；要么采取过于激进的资源分配策略，在负载突增时迅速陷入服务崩溃的境地。系统缺乏一种内生的、能够根据实时状态自适应调整其行为的弹性机制。</w:t>
      </w:r>
    </w:p>
    <w:p w14:paraId="7DBB4AEB">
      <w:pPr>
        <w:spacing w:line="360" w:lineRule="auto"/>
        <w:ind w:firstLine="420" w:firstLineChars="200"/>
        <w:rPr>
          <w:rFonts w:hint="eastAsia" w:cs="宋体"/>
          <w:kern w:val="0"/>
          <w:szCs w:val="21"/>
        </w:rPr>
      </w:pPr>
      <w:r>
        <w:rPr>
          <w:rFonts w:hint="eastAsia" w:cs="宋体"/>
          <w:kern w:val="0"/>
          <w:szCs w:val="21"/>
        </w:rPr>
        <w:t>为了突破这些困境，我们从自然界的群体智能中寻求灵感。一个蜂群或蚁群，在没有中央指挥的情况下，通过个体间的简单协作，展现出惊人的宏观智能，能够高效地完成觅食、筑巢等复杂任务。这种高效、鲁棒、完全去中心化的协作模式，为我们构建新一代边缘调度系统提供了重要的设计隐喻。我们设想，是否可以构建一个具备“共情能力”的边缘计算系统</w:t>
      </w:r>
      <w:r>
        <w:rPr>
          <w:rFonts w:hint="eastAsia" w:cs="宋体"/>
          <w:kern w:val="0"/>
          <w:szCs w:val="21"/>
          <w:lang w:eastAsia="zh-CN"/>
        </w:rPr>
        <w:t>。</w:t>
      </w:r>
      <w:r>
        <w:rPr>
          <w:rFonts w:hint="eastAsia" w:cs="宋体"/>
          <w:kern w:val="0"/>
          <w:szCs w:val="21"/>
        </w:rPr>
        <w:t>在这样的系统中，边缘节点不再是冷冰冰的任务执行单元，而是能够主动“感知”其承载任务的“急迫”与“不满”，并像一个高度协作的有机体一样，自发、自组织地进行互助与负载均衡。这种将生物启发机制与情感计算思想相结合的跨学科构想，为我们设计一个能够主动适应环境、智能权衡成本与QoS的分布式资源管理框架奠定了理论基础。</w:t>
      </w:r>
    </w:p>
    <w:p w14:paraId="282742B7">
      <w:pPr>
        <w:spacing w:line="360" w:lineRule="auto"/>
        <w:ind w:firstLine="420" w:firstLineChars="200"/>
        <w:rPr>
          <w:rFonts w:hint="eastAsia" w:cs="宋体"/>
          <w:kern w:val="0"/>
          <w:szCs w:val="21"/>
        </w:rPr>
      </w:pPr>
      <w:r>
        <w:rPr>
          <w:rFonts w:hint="eastAsia" w:cs="宋体"/>
          <w:kern w:val="0"/>
          <w:szCs w:val="21"/>
        </w:rPr>
        <w:t>基于上述动机，本文聚焦边缘计算中延迟敏感型任务的资源管理难题，提出一种完全去中心化的服务质量感知自适应蜂群调度（QASS）模型。核心贡献如下：</w:t>
      </w:r>
    </w:p>
    <w:p w14:paraId="6EC133C1">
      <w:pPr>
        <w:spacing w:line="360" w:lineRule="auto"/>
        <w:ind w:firstLine="420" w:firstLineChars="200"/>
        <w:rPr>
          <w:rFonts w:hint="eastAsia" w:cs="宋体"/>
          <w:kern w:val="0"/>
          <w:szCs w:val="21"/>
        </w:rPr>
      </w:pPr>
      <w:r>
        <w:rPr>
          <w:rFonts w:hint="eastAsia" w:cs="宋体"/>
          <w:kern w:val="0"/>
          <w:szCs w:val="21"/>
        </w:rPr>
        <w:t>1. 去中心化调度框架。摒弃中心化控制，在每个边缘节点部署轻量级自主代理，通过任务QoS需求代理（TQRA）、节点QoS感知代理（RNQAA）与蜂群协作调度（SCS）三大组件协同，实现自组织的快速响应。</w:t>
      </w:r>
    </w:p>
    <w:p w14:paraId="5239739A">
      <w:pPr>
        <w:spacing w:line="360" w:lineRule="auto"/>
        <w:ind w:firstLine="420" w:firstLineChars="200"/>
        <w:rPr>
          <w:rFonts w:hint="eastAsia" w:cs="宋体"/>
          <w:kern w:val="0"/>
          <w:szCs w:val="21"/>
        </w:rPr>
      </w:pPr>
      <w:r>
        <w:rPr>
          <w:rFonts w:hint="eastAsia" w:cs="宋体"/>
          <w:kern w:val="0"/>
          <w:szCs w:val="21"/>
        </w:rPr>
        <w:t>2. 动态QoS需求向量。构建由紧迫度、重要度和满意度构成的三维向量，将任务业务价值、截止时间压力与等待体验融合为连续的“QoS需求强度”，为细粒度优先级决策提供量化依据。</w:t>
      </w:r>
    </w:p>
    <w:p w14:paraId="61947416">
      <w:pPr>
        <w:spacing w:line="360" w:lineRule="auto"/>
        <w:ind w:firstLine="420" w:firstLineChars="200"/>
        <w:rPr>
          <w:rFonts w:hint="eastAsia" w:cs="宋体"/>
          <w:kern w:val="0"/>
          <w:szCs w:val="21"/>
        </w:rPr>
      </w:pPr>
      <w:r>
        <w:rPr>
          <w:rFonts w:hint="eastAsia" w:cs="宋体"/>
          <w:kern w:val="0"/>
          <w:szCs w:val="21"/>
        </w:rPr>
        <w:t>3. QoS感知自适应定价。引入节点“QoS感知指数”，将等待任务的综合QoS压力内化为经济信号。负载与压力双高时主动降低报价，吸引空闲节点协作，实现从被动接受到主动风险管理的转变。</w:t>
      </w:r>
    </w:p>
    <w:p w14:paraId="137A8539">
      <w:pPr>
        <w:spacing w:line="360" w:lineRule="auto"/>
        <w:ind w:firstLine="420" w:firstLineChars="200"/>
        <w:rPr>
          <w:rFonts w:hint="eastAsia" w:cs="宋体"/>
          <w:kern w:val="0"/>
          <w:szCs w:val="21"/>
        </w:rPr>
      </w:pPr>
      <w:r>
        <w:rPr>
          <w:rFonts w:hint="eastAsia" w:cs="宋体"/>
          <w:kern w:val="0"/>
          <w:szCs w:val="21"/>
        </w:rPr>
        <w:t>4. 数字信息素协作机制。借鉴蜂群信息素通信，高QoS需求任务释放数字信息素作为求助信号，空闲节点沿浓度梯度主动迁移任务。该机制避免中心化瓶颈，增强系统鲁棒性与可扩展性。</w:t>
      </w:r>
    </w:p>
    <w:p w14:paraId="4A022BE4">
      <w:pPr>
        <w:spacing w:line="360" w:lineRule="auto"/>
        <w:ind w:firstLine="420" w:firstLineChars="200"/>
        <w:rPr>
          <w:rFonts w:hint="eastAsia" w:cs="宋体"/>
          <w:kern w:val="0"/>
          <w:szCs w:val="21"/>
        </w:rPr>
      </w:pPr>
      <w:r>
        <w:rPr>
          <w:rFonts w:hint="eastAsia" w:cs="宋体"/>
          <w:kern w:val="0"/>
          <w:szCs w:val="21"/>
        </w:rPr>
        <w:t>5. 仿真验证。在模拟边缘网络环境中，将QASS与固定定价（FP）、动态定价（DP）策略对比。结果表明，QASS在任务完成率、失败率、成本及SLA合规率等指标上均显著优于基线方法，有效平衡了服务可靠性与成本效益。</w:t>
      </w:r>
    </w:p>
    <w:p w14:paraId="1FF6B912">
      <w:pPr>
        <w:pStyle w:val="2"/>
        <w:spacing w:before="0" w:after="0" w:line="360" w:lineRule="auto"/>
        <w:rPr>
          <w:rFonts w:hint="eastAsia" w:cs="宋体"/>
          <w:b w:val="0"/>
          <w:color w:val="000000"/>
          <w:kern w:val="0"/>
          <w:sz w:val="28"/>
          <w:szCs w:val="28"/>
        </w:rPr>
      </w:pPr>
      <w:r>
        <w:rPr>
          <w:rFonts w:hint="eastAsia" w:ascii="Times New Roman" w:hAnsi="Times New Roman" w:eastAsia="宋体" w:cs="宋体"/>
          <w:bCs w:val="0"/>
          <w:color w:val="000000"/>
          <w:kern w:val="0"/>
          <w:sz w:val="28"/>
          <w:szCs w:val="28"/>
          <w:lang w:val="en-US" w:eastAsia="zh-CN"/>
        </w:rPr>
        <w:t>2</w:t>
      </w:r>
      <w:r>
        <w:rPr>
          <w:rFonts w:hint="eastAsia" w:ascii="Times New Roman" w:hAnsi="Times New Roman" w:eastAsia="宋体" w:cs="宋体"/>
          <w:bCs w:val="0"/>
          <w:color w:val="000000"/>
          <w:kern w:val="0"/>
          <w:sz w:val="28"/>
          <w:szCs w:val="28"/>
        </w:rPr>
        <w:t xml:space="preserve">  相关工作</w:t>
      </w:r>
    </w:p>
    <w:p w14:paraId="2D5864D1">
      <w:pPr>
        <w:spacing w:line="360" w:lineRule="auto"/>
        <w:ind w:firstLine="420" w:firstLineChars="200"/>
        <w:rPr>
          <w:rFonts w:hint="eastAsia" w:cs="宋体"/>
          <w:kern w:val="0"/>
          <w:szCs w:val="21"/>
        </w:rPr>
      </w:pPr>
      <w:r>
        <w:rPr>
          <w:rFonts w:hint="eastAsia" w:cs="宋体"/>
          <w:kern w:val="0"/>
          <w:szCs w:val="21"/>
        </w:rPr>
        <w:t>为了清晰地定位本文的研究贡献，本章将从边缘计算中的QoS感知调度、资源分配的经济学模型以及应用于调度的生物启发式优化算法三个维度，对现有研究进行系统性的回顾与评述，并剖析其在应对边缘计算独特挑战时存在的局限性。</w:t>
      </w:r>
    </w:p>
    <w:p w14:paraId="1E24F0C5">
      <w:pPr>
        <w:pStyle w:val="2"/>
        <w:spacing w:before="0" w:after="0" w:line="360" w:lineRule="auto"/>
        <w:rPr>
          <w:rFonts w:hint="eastAsia" w:ascii="Times New Roman" w:hAnsi="Times New Roman" w:eastAsia="宋体"/>
          <w:bCs w:val="0"/>
          <w:kern w:val="0"/>
          <w:sz w:val="21"/>
          <w:szCs w:val="21"/>
          <w:lang w:val="en-US" w:eastAsia="zh-CN"/>
        </w:rPr>
      </w:pPr>
      <w:r>
        <w:rPr>
          <w:rFonts w:hint="eastAsia" w:ascii="Times New Roman" w:hAnsi="Times New Roman" w:eastAsia="宋体"/>
          <w:bCs w:val="0"/>
          <w:kern w:val="0"/>
          <w:sz w:val="21"/>
          <w:szCs w:val="21"/>
          <w:lang w:val="en-US" w:eastAsia="zh-CN"/>
        </w:rPr>
        <w:t>2</w:t>
      </w:r>
      <w:r>
        <w:rPr>
          <w:rFonts w:hint="eastAsia" w:ascii="Times New Roman" w:hAnsi="Times New Roman" w:eastAsia="宋体"/>
          <w:bCs w:val="0"/>
          <w:kern w:val="0"/>
          <w:sz w:val="21"/>
          <w:szCs w:val="21"/>
        </w:rPr>
        <w:t xml:space="preserve">.1  </w:t>
      </w:r>
      <w:r>
        <w:rPr>
          <w:rFonts w:hint="eastAsia" w:ascii="Times New Roman" w:hAnsi="Times New Roman" w:eastAsia="宋体"/>
          <w:bCs w:val="0"/>
          <w:kern w:val="0"/>
          <w:sz w:val="21"/>
          <w:szCs w:val="21"/>
          <w:lang w:val="en-US" w:eastAsia="zh-CN"/>
        </w:rPr>
        <w:t>边缘计算中的QoS感知调度</w:t>
      </w:r>
    </w:p>
    <w:p w14:paraId="5BD4D106">
      <w:pPr>
        <w:spacing w:line="360" w:lineRule="auto"/>
        <w:ind w:firstLine="420" w:firstLineChars="200"/>
        <w:rPr>
          <w:rFonts w:hint="eastAsia" w:cs="宋体"/>
          <w:kern w:val="0"/>
          <w:szCs w:val="21"/>
        </w:rPr>
      </w:pPr>
      <w:r>
        <w:rPr>
          <w:rFonts w:hint="eastAsia" w:cs="宋体"/>
          <w:kern w:val="0"/>
          <w:szCs w:val="21"/>
        </w:rPr>
        <w:t>随着边缘计算应用的日益复杂化，如何在资源调度中有效融入服务质量（QoS）考量，已成为学术界和工业界共同关注的焦点。早期研究主要集中在满足单一的QoS约束，例如最小化任务完成时间（Makespan）或响应时间。经典的HEFT（Heterogeneous Earliest Finish Time）算法及其变体</w:t>
      </w:r>
      <w:r>
        <w:rPr>
          <w:rFonts w:hint="eastAsia" w:cs="宋体"/>
          <w:kern w:val="0"/>
          <w:szCs w:val="21"/>
          <w:lang w:eastAsia="zh-CN"/>
        </w:rPr>
        <w:fldChar w:fldCharType="begin"/>
      </w:r>
      <w:r>
        <w:rPr>
          <w:rFonts w:hint="eastAsia" w:cs="宋体"/>
          <w:kern w:val="0"/>
          <w:szCs w:val="21"/>
          <w:lang w:eastAsia="zh-CN"/>
        </w:rPr>
        <w:instrText xml:space="preserve"> REF _Ref17293 \r \h </w:instrText>
      </w:r>
      <w:r>
        <w:rPr>
          <w:rFonts w:hint="eastAsia" w:cs="宋体"/>
          <w:kern w:val="0"/>
          <w:szCs w:val="21"/>
          <w:lang w:eastAsia="zh-CN"/>
        </w:rPr>
        <w:fldChar w:fldCharType="separate"/>
      </w:r>
      <w:r>
        <w:rPr>
          <w:rFonts w:hint="eastAsia" w:cs="宋体"/>
          <w:kern w:val="0"/>
          <w:szCs w:val="21"/>
          <w:lang w:eastAsia="zh-CN"/>
        </w:rPr>
        <w:t>[8]</w:t>
      </w:r>
      <w:r>
        <w:rPr>
          <w:rFonts w:hint="eastAsia" w:cs="宋体"/>
          <w:kern w:val="0"/>
          <w:szCs w:val="21"/>
          <w:lang w:eastAsia="zh-CN"/>
        </w:rPr>
        <w:fldChar w:fldCharType="end"/>
      </w:r>
      <w:r>
        <w:rPr>
          <w:rFonts w:hint="eastAsia" w:cs="宋体"/>
          <w:kern w:val="0"/>
          <w:szCs w:val="21"/>
        </w:rPr>
        <w:t>，通过启发式地将任务分配给能使其最早完成的处理器，在工作流调度领域得到广泛应用。然而，这类方法通常假设任务的依赖关系和执行时间先验已知，这在充满不确定性的边缘环境中难以成立。更重要的是，它们缺乏对多维度、异构QoS需求的综合处理能力。</w:t>
      </w:r>
    </w:p>
    <w:p w14:paraId="396D0ED7">
      <w:pPr>
        <w:spacing w:line="360" w:lineRule="auto"/>
        <w:ind w:firstLine="420" w:firstLineChars="200"/>
        <w:rPr>
          <w:rFonts w:hint="eastAsia" w:cs="宋体"/>
          <w:kern w:val="0"/>
          <w:szCs w:val="21"/>
        </w:rPr>
      </w:pPr>
      <w:r>
        <w:rPr>
          <w:rFonts w:hint="eastAsia" w:cs="宋体"/>
          <w:kern w:val="0"/>
          <w:szCs w:val="21"/>
        </w:rPr>
        <w:t>为应对任务多样性，后续研究开始探索如何为不同类型的任务提供差异化服务。特别是在2025年，随着物联网和算力网络的快速发展，云边端协同和多目标优化成为研究热点。施建锋等人</w:t>
      </w:r>
      <w:r>
        <w:rPr>
          <w:rFonts w:hint="eastAsia" w:cs="宋体"/>
          <w:kern w:val="0"/>
          <w:szCs w:val="21"/>
        </w:rPr>
        <w:fldChar w:fldCharType="begin"/>
      </w:r>
      <w:r>
        <w:rPr>
          <w:rFonts w:hint="eastAsia" w:cs="宋体"/>
          <w:kern w:val="0"/>
          <w:szCs w:val="21"/>
        </w:rPr>
        <w:instrText xml:space="preserve"> REF _Ref25150 \r \h </w:instrText>
      </w:r>
      <w:r>
        <w:rPr>
          <w:rFonts w:hint="eastAsia" w:cs="宋体"/>
          <w:kern w:val="0"/>
          <w:szCs w:val="21"/>
        </w:rPr>
        <w:fldChar w:fldCharType="separate"/>
      </w:r>
      <w:r>
        <w:rPr>
          <w:rFonts w:hint="eastAsia" w:cs="宋体"/>
          <w:kern w:val="0"/>
          <w:szCs w:val="21"/>
        </w:rPr>
        <w:t>[9]</w:t>
      </w:r>
      <w:r>
        <w:rPr>
          <w:rFonts w:hint="eastAsia" w:cs="宋体"/>
          <w:kern w:val="0"/>
          <w:szCs w:val="21"/>
        </w:rPr>
        <w:fldChar w:fldCharType="end"/>
      </w:r>
      <w:r>
        <w:rPr>
          <w:rFonts w:hint="eastAsia" w:cs="宋体"/>
          <w:kern w:val="0"/>
          <w:szCs w:val="21"/>
        </w:rPr>
        <w:t>提出了一种面向物联网的云边端协同计算中任务卸载与资源分配算法，通过联合优化卸载决策和资源分配实现了系统性能的全局提升；王汝言等人</w:t>
      </w:r>
      <w:r>
        <w:rPr>
          <w:rFonts w:hint="eastAsia" w:cs="宋体"/>
          <w:kern w:val="0"/>
          <w:szCs w:val="21"/>
        </w:rPr>
        <w:fldChar w:fldCharType="begin"/>
      </w:r>
      <w:r>
        <w:rPr>
          <w:rFonts w:hint="eastAsia" w:cs="宋体"/>
          <w:kern w:val="0"/>
          <w:szCs w:val="21"/>
        </w:rPr>
        <w:instrText xml:space="preserve"> REF _Ref25352 \r \h </w:instrText>
      </w:r>
      <w:r>
        <w:rPr>
          <w:rFonts w:hint="eastAsia" w:cs="宋体"/>
          <w:kern w:val="0"/>
          <w:szCs w:val="21"/>
        </w:rPr>
        <w:fldChar w:fldCharType="separate"/>
      </w:r>
      <w:r>
        <w:rPr>
          <w:rFonts w:hint="eastAsia" w:cs="宋体"/>
          <w:kern w:val="0"/>
          <w:szCs w:val="21"/>
        </w:rPr>
        <w:t>[10]</w:t>
      </w:r>
      <w:r>
        <w:rPr>
          <w:rFonts w:hint="eastAsia" w:cs="宋体"/>
          <w:kern w:val="0"/>
          <w:szCs w:val="21"/>
        </w:rPr>
        <w:fldChar w:fldCharType="end"/>
      </w:r>
      <w:r>
        <w:rPr>
          <w:rFonts w:hint="eastAsia" w:cs="宋体"/>
          <w:kern w:val="0"/>
          <w:szCs w:val="21"/>
        </w:rPr>
        <w:t>针对异步移动边缘计算网络，设计了联合任务调度与计算资源分配优化策略，有效降低了任务完成延迟。在多目标优化方面，Liu等人</w:t>
      </w:r>
      <w:r>
        <w:rPr>
          <w:rFonts w:hint="eastAsia" w:cs="宋体"/>
          <w:kern w:val="0"/>
          <w:szCs w:val="21"/>
        </w:rPr>
        <w:fldChar w:fldCharType="begin"/>
      </w:r>
      <w:r>
        <w:rPr>
          <w:rFonts w:hint="eastAsia" w:cs="宋体"/>
          <w:kern w:val="0"/>
          <w:szCs w:val="21"/>
        </w:rPr>
        <w:instrText xml:space="preserve"> REF _Ref25604 \r \h </w:instrText>
      </w:r>
      <w:r>
        <w:rPr>
          <w:rFonts w:hint="eastAsia" w:cs="宋体"/>
          <w:kern w:val="0"/>
          <w:szCs w:val="21"/>
        </w:rPr>
        <w:fldChar w:fldCharType="separate"/>
      </w:r>
      <w:r>
        <w:rPr>
          <w:rFonts w:hint="eastAsia" w:cs="宋体"/>
          <w:kern w:val="0"/>
          <w:szCs w:val="21"/>
        </w:rPr>
        <w:t>[11]</w:t>
      </w:r>
      <w:r>
        <w:rPr>
          <w:rFonts w:hint="eastAsia" w:cs="宋体"/>
          <w:kern w:val="0"/>
          <w:szCs w:val="21"/>
        </w:rPr>
        <w:fldChar w:fldCharType="end"/>
      </w:r>
      <w:r>
        <w:rPr>
          <w:rFonts w:hint="eastAsia" w:cs="宋体"/>
          <w:kern w:val="0"/>
          <w:szCs w:val="21"/>
        </w:rPr>
        <w:t>提出了一种基于多目标优化的边缘计算网络资源调度算法，兼顾了延迟、能耗和负载均衡等多维目标。此外，针对算力网络的管理与调度，王静等人</w:t>
      </w:r>
      <w:r>
        <w:rPr>
          <w:rFonts w:hint="eastAsia" w:cs="宋体"/>
          <w:kern w:val="0"/>
          <w:szCs w:val="21"/>
        </w:rPr>
        <w:fldChar w:fldCharType="begin"/>
      </w:r>
      <w:r>
        <w:rPr>
          <w:rFonts w:hint="eastAsia" w:cs="宋体"/>
          <w:kern w:val="0"/>
          <w:szCs w:val="21"/>
        </w:rPr>
        <w:instrText xml:space="preserve"> REF _Ref25790 \r \h </w:instrText>
      </w:r>
      <w:r>
        <w:rPr>
          <w:rFonts w:hint="eastAsia" w:cs="宋体"/>
          <w:kern w:val="0"/>
          <w:szCs w:val="21"/>
        </w:rPr>
        <w:fldChar w:fldCharType="separate"/>
      </w:r>
      <w:r>
        <w:rPr>
          <w:rFonts w:hint="eastAsia" w:cs="宋体"/>
          <w:kern w:val="0"/>
          <w:szCs w:val="21"/>
        </w:rPr>
        <w:t>[12]</w:t>
      </w:r>
      <w:r>
        <w:rPr>
          <w:rFonts w:hint="eastAsia" w:cs="宋体"/>
          <w:kern w:val="0"/>
          <w:szCs w:val="21"/>
        </w:rPr>
        <w:fldChar w:fldCharType="end"/>
      </w:r>
      <w:r>
        <w:rPr>
          <w:rFonts w:hint="eastAsia" w:cs="宋体"/>
          <w:kern w:val="0"/>
          <w:szCs w:val="21"/>
        </w:rPr>
        <w:t>提出了一种基于强化学习的算力网络联合调度优化框架，通过智能化的网络状态感知和资源分配实现了高效的算力调度。在追求低延迟和低能耗的同时，保障用户的服务质量（QoS）和体验质量（QoE）同样至关重要。李斌等人</w:t>
      </w:r>
      <w:r>
        <w:rPr>
          <w:rFonts w:hint="eastAsia" w:cs="宋体"/>
          <w:kern w:val="0"/>
          <w:szCs w:val="21"/>
        </w:rPr>
        <w:fldChar w:fldCharType="begin"/>
      </w:r>
      <w:r>
        <w:rPr>
          <w:rFonts w:hint="eastAsia" w:cs="宋体"/>
          <w:kern w:val="0"/>
          <w:szCs w:val="21"/>
        </w:rPr>
        <w:instrText xml:space="preserve"> REF _Ref26182 \r \h </w:instrText>
      </w:r>
      <w:r>
        <w:rPr>
          <w:rFonts w:hint="eastAsia" w:cs="宋体"/>
          <w:kern w:val="0"/>
          <w:szCs w:val="21"/>
        </w:rPr>
        <w:fldChar w:fldCharType="separate"/>
      </w:r>
      <w:r>
        <w:rPr>
          <w:rFonts w:hint="eastAsia" w:cs="宋体"/>
          <w:kern w:val="0"/>
          <w:szCs w:val="21"/>
        </w:rPr>
        <w:t>[13]</w:t>
      </w:r>
      <w:r>
        <w:rPr>
          <w:rFonts w:hint="eastAsia" w:cs="宋体"/>
          <w:kern w:val="0"/>
          <w:szCs w:val="21"/>
        </w:rPr>
        <w:fldChar w:fldCharType="end"/>
      </w:r>
      <w:r>
        <w:rPr>
          <w:rFonts w:hint="eastAsia" w:cs="宋体"/>
          <w:kern w:val="0"/>
          <w:szCs w:val="21"/>
        </w:rPr>
        <w:t>则探讨了同时透射反射可重构智能表面赋能的移动边缘计算任务卸载，通过优化通信链路质量间接提升了计算服务的QoS保障水平。</w:t>
      </w:r>
    </w:p>
    <w:p w14:paraId="03A70E0D">
      <w:pPr>
        <w:spacing w:line="360" w:lineRule="auto"/>
        <w:ind w:firstLine="420" w:firstLineChars="200"/>
        <w:rPr>
          <w:rFonts w:hint="eastAsia" w:cs="宋体"/>
          <w:kern w:val="0"/>
          <w:szCs w:val="21"/>
        </w:rPr>
      </w:pPr>
      <w:r>
        <w:rPr>
          <w:rFonts w:hint="eastAsia" w:cs="宋体"/>
          <w:kern w:val="0"/>
          <w:szCs w:val="21"/>
        </w:rPr>
        <w:t>尽管如此，现有方法仍存在若干普遍性不足。一方面，许多模型在处理多维QoS属性（如延迟、可靠性、成本预算）时，倾向于采用简单的线性加权求和将其聚合成单一效用值。这种方式虽计算简便，却掩盖了不同QoS维度之间复杂的非线性依赖关系和动态权衡，难以精确捕捉任务的真实需求。另一方面，大多数调度器所采用的QoS权重或优先级是静态预设或基于离线分析得出的，缺乏对任务实时状态（如临近截止时间）和系统环境动态变化的自适应能力。本文提出的动态QoS需求向量，正是为克服这些限制而设计，通过实时更新的紧迫度、重要性和满意度，为调度决策提供一个更丰富、更动态、更具上下文感知能力的量化输入。</w:t>
      </w:r>
    </w:p>
    <w:p w14:paraId="3C1512C1">
      <w:pPr>
        <w:pStyle w:val="2"/>
        <w:spacing w:before="0" w:after="0" w:line="360" w:lineRule="auto"/>
        <w:rPr>
          <w:rFonts w:hint="eastAsia" w:ascii="Times New Roman" w:hAnsi="Times New Roman" w:eastAsia="宋体"/>
          <w:bCs w:val="0"/>
          <w:kern w:val="0"/>
          <w:sz w:val="21"/>
          <w:szCs w:val="21"/>
          <w:lang w:val="en-US" w:eastAsia="zh-CN"/>
        </w:rPr>
      </w:pPr>
      <w:r>
        <w:rPr>
          <w:rFonts w:hint="eastAsia" w:ascii="Times New Roman" w:hAnsi="Times New Roman" w:eastAsia="宋体"/>
          <w:bCs w:val="0"/>
          <w:kern w:val="0"/>
          <w:sz w:val="21"/>
          <w:szCs w:val="21"/>
          <w:lang w:val="en-US" w:eastAsia="zh-CN"/>
        </w:rPr>
        <w:t>2</w:t>
      </w:r>
      <w:r>
        <w:rPr>
          <w:rFonts w:hint="eastAsia" w:ascii="Times New Roman" w:hAnsi="Times New Roman" w:eastAsia="宋体"/>
          <w:bCs w:val="0"/>
          <w:kern w:val="0"/>
          <w:sz w:val="21"/>
          <w:szCs w:val="21"/>
        </w:rPr>
        <w:t>.</w:t>
      </w:r>
      <w:r>
        <w:rPr>
          <w:rFonts w:hint="eastAsia" w:ascii="Times New Roman" w:hAnsi="Times New Roman" w:eastAsia="宋体"/>
          <w:bCs w:val="0"/>
          <w:kern w:val="0"/>
          <w:sz w:val="21"/>
          <w:szCs w:val="21"/>
          <w:lang w:val="en-US" w:eastAsia="zh-CN"/>
        </w:rPr>
        <w:t>2</w:t>
      </w:r>
      <w:r>
        <w:rPr>
          <w:rFonts w:hint="eastAsia" w:ascii="Times New Roman" w:hAnsi="Times New Roman" w:eastAsia="宋体"/>
          <w:bCs w:val="0"/>
          <w:kern w:val="0"/>
          <w:sz w:val="21"/>
          <w:szCs w:val="21"/>
        </w:rPr>
        <w:t xml:space="preserve">  </w:t>
      </w:r>
      <w:r>
        <w:rPr>
          <w:rFonts w:hint="eastAsia" w:ascii="Times New Roman" w:hAnsi="Times New Roman" w:eastAsia="宋体"/>
          <w:bCs w:val="0"/>
          <w:kern w:val="0"/>
          <w:sz w:val="21"/>
          <w:szCs w:val="21"/>
          <w:lang w:val="en-US" w:eastAsia="zh-CN"/>
        </w:rPr>
        <w:t>资源分配的经济学模型</w:t>
      </w:r>
    </w:p>
    <w:p w14:paraId="287125E8">
      <w:pPr>
        <w:spacing w:line="360" w:lineRule="auto"/>
        <w:ind w:firstLine="420" w:firstLineChars="200"/>
        <w:rPr>
          <w:rFonts w:hint="eastAsia" w:cs="宋体"/>
          <w:kern w:val="0"/>
          <w:szCs w:val="21"/>
        </w:rPr>
      </w:pPr>
      <w:r>
        <w:rPr>
          <w:rFonts w:hint="eastAsia" w:cs="宋体"/>
          <w:kern w:val="0"/>
          <w:szCs w:val="21"/>
        </w:rPr>
        <w:t>将市场经济学原理应用于计算资源分配，具有悠久的研究历史，并在云计算时代得到蓬勃发展。动态定价机制作为其中的核心，通过根据实时资源供需关系调整价格，引导用户行为、优化资源利用率。近期研究开始将这一思想扩展到更为复杂的边缘和多云环境。Yu等人</w:t>
      </w:r>
      <w:r>
        <w:rPr>
          <w:rFonts w:hint="eastAsia" w:cs="宋体"/>
          <w:kern w:val="0"/>
          <w:szCs w:val="21"/>
        </w:rPr>
        <w:fldChar w:fldCharType="begin"/>
      </w:r>
      <w:r>
        <w:rPr>
          <w:rFonts w:hint="eastAsia" w:cs="宋体"/>
          <w:kern w:val="0"/>
          <w:szCs w:val="21"/>
        </w:rPr>
        <w:instrText xml:space="preserve"> REF _Ref29349 \r \h </w:instrText>
      </w:r>
      <w:r>
        <w:rPr>
          <w:rFonts w:hint="eastAsia" w:cs="宋体"/>
          <w:kern w:val="0"/>
          <w:szCs w:val="21"/>
        </w:rPr>
        <w:fldChar w:fldCharType="separate"/>
      </w:r>
      <w:r>
        <w:rPr>
          <w:rFonts w:hint="eastAsia" w:cs="宋体"/>
          <w:kern w:val="0"/>
          <w:szCs w:val="21"/>
        </w:rPr>
        <w:t>[14]</w:t>
      </w:r>
      <w:r>
        <w:rPr>
          <w:rFonts w:hint="eastAsia" w:cs="宋体"/>
          <w:kern w:val="0"/>
          <w:szCs w:val="21"/>
        </w:rPr>
        <w:fldChar w:fldCharType="end"/>
      </w:r>
      <w:r>
        <w:rPr>
          <w:rFonts w:hint="eastAsia" w:cs="宋体"/>
          <w:kern w:val="0"/>
          <w:szCs w:val="21"/>
        </w:rPr>
        <w:t>对基于拍卖理论和博弈论的边缘计算资源定价进行了全面综述，系统梳理了现有定价机制的分类框架，并指出了未来在QoS感知定价方面的发展方向。在具体机制设计上，汪建洲等人</w:t>
      </w:r>
      <w:r>
        <w:rPr>
          <w:rFonts w:hint="eastAsia" w:cs="宋体"/>
          <w:kern w:val="0"/>
          <w:szCs w:val="21"/>
        </w:rPr>
        <w:fldChar w:fldCharType="begin"/>
      </w:r>
      <w:r>
        <w:rPr>
          <w:rFonts w:hint="eastAsia" w:cs="宋体"/>
          <w:kern w:val="0"/>
          <w:szCs w:val="21"/>
        </w:rPr>
        <w:instrText xml:space="preserve"> REF _Ref28099 \r \h </w:instrText>
      </w:r>
      <w:r>
        <w:rPr>
          <w:rFonts w:hint="eastAsia" w:cs="宋体"/>
          <w:kern w:val="0"/>
          <w:szCs w:val="21"/>
        </w:rPr>
        <w:fldChar w:fldCharType="separate"/>
      </w:r>
      <w:r>
        <w:rPr>
          <w:rFonts w:hint="eastAsia" w:cs="宋体"/>
          <w:kern w:val="0"/>
          <w:szCs w:val="21"/>
        </w:rPr>
        <w:t>[15]</w:t>
      </w:r>
      <w:r>
        <w:rPr>
          <w:rFonts w:hint="eastAsia" w:cs="宋体"/>
          <w:kern w:val="0"/>
          <w:szCs w:val="21"/>
        </w:rPr>
        <w:fldChar w:fldCharType="end"/>
      </w:r>
      <w:r>
        <w:rPr>
          <w:rFonts w:hint="eastAsia" w:cs="宋体"/>
          <w:kern w:val="0"/>
          <w:szCs w:val="21"/>
        </w:rPr>
        <w:t>提出了一种基于双边拍卖的多基站移动边缘计算资源分配方法，通过引入多基站竞争机制有效提高了资源分配效率和社会福利。Wang等人</w:t>
      </w:r>
      <w:r>
        <w:rPr>
          <w:rFonts w:hint="eastAsia" w:cs="宋体"/>
          <w:kern w:val="0"/>
          <w:szCs w:val="21"/>
        </w:rPr>
        <w:fldChar w:fldCharType="begin"/>
      </w:r>
      <w:r>
        <w:rPr>
          <w:rFonts w:hint="eastAsia" w:cs="宋体"/>
          <w:kern w:val="0"/>
          <w:szCs w:val="21"/>
        </w:rPr>
        <w:instrText xml:space="preserve"> REF _Ref28788 \r \h </w:instrText>
      </w:r>
      <w:r>
        <w:rPr>
          <w:rFonts w:hint="eastAsia" w:cs="宋体"/>
          <w:kern w:val="0"/>
          <w:szCs w:val="21"/>
        </w:rPr>
        <w:fldChar w:fldCharType="separate"/>
      </w:r>
      <w:r>
        <w:rPr>
          <w:rFonts w:hint="eastAsia" w:cs="宋体"/>
          <w:kern w:val="0"/>
          <w:szCs w:val="21"/>
        </w:rPr>
        <w:t>[16]</w:t>
      </w:r>
      <w:r>
        <w:rPr>
          <w:rFonts w:hint="eastAsia" w:cs="宋体"/>
          <w:kern w:val="0"/>
          <w:szCs w:val="21"/>
        </w:rPr>
        <w:fldChar w:fldCharType="end"/>
      </w:r>
      <w:r>
        <w:rPr>
          <w:rFonts w:hint="eastAsia" w:cs="宋体"/>
          <w:kern w:val="0"/>
          <w:szCs w:val="21"/>
        </w:rPr>
        <w:t>则针对移动边缘计算中的任务卸载，设计了真实的在线组合拍卖机制，在保证激励相容性和个体理性的同时实现了近似最优的社会福利。</w:t>
      </w:r>
    </w:p>
    <w:p w14:paraId="4A090516">
      <w:pPr>
        <w:spacing w:line="360" w:lineRule="auto"/>
        <w:ind w:firstLine="420" w:firstLineChars="200"/>
        <w:rPr>
          <w:rFonts w:hint="eastAsia" w:cs="宋体"/>
          <w:kern w:val="0"/>
          <w:szCs w:val="21"/>
        </w:rPr>
      </w:pPr>
      <w:r>
        <w:rPr>
          <w:rFonts w:hint="eastAsia" w:cs="宋体"/>
          <w:kern w:val="0"/>
          <w:szCs w:val="21"/>
        </w:rPr>
        <w:t>然而，将这些经典经济模型直接应用于延迟敏感的边缘计算场景时，其内在的“QoS中立性”成为根本性障碍。在这些模型中，价格波动主要由系统级宏观指标（如节点总体CPU利用率、内存占用率）驱动，而很少直接、快速地响应单个任务或某类任务所面临的QoS危机。一个节点的平均负载可能不高，但其内部可能正有一个高优先级紧急任务因瞬时资源争用而濒临超时。传统动态定价模型对此类微观层面的QoS恶化事件缺乏感知能力和响应机制。本文提出的QASS模型通过引入“QoS感知指数”这一创新概念，将边缘节点所承载任务的整体“QoS压力”作为关键且独立的定价因子。这使得价格不仅反映“物以稀为贵”的供需关系，更成为一种表达“服务质量告警”的内生信号，从而在经济学层面实现了对QoS的主动、前瞻性保障。</w:t>
      </w:r>
    </w:p>
    <w:p w14:paraId="0E85F032">
      <w:pPr>
        <w:pStyle w:val="2"/>
        <w:spacing w:before="0" w:after="0" w:line="360" w:lineRule="auto"/>
        <w:rPr>
          <w:rFonts w:hint="eastAsia" w:ascii="Times New Roman" w:hAnsi="Times New Roman" w:eastAsia="宋体"/>
          <w:bCs w:val="0"/>
          <w:kern w:val="0"/>
          <w:sz w:val="21"/>
          <w:szCs w:val="21"/>
          <w:lang w:val="en-US" w:eastAsia="zh-CN"/>
        </w:rPr>
      </w:pPr>
      <w:r>
        <w:rPr>
          <w:rFonts w:hint="eastAsia" w:ascii="Times New Roman" w:hAnsi="Times New Roman" w:eastAsia="宋体"/>
          <w:bCs w:val="0"/>
          <w:kern w:val="0"/>
          <w:sz w:val="21"/>
          <w:szCs w:val="21"/>
          <w:lang w:val="en-US" w:eastAsia="zh-CN"/>
        </w:rPr>
        <w:t>2</w:t>
      </w:r>
      <w:r>
        <w:rPr>
          <w:rFonts w:hint="eastAsia" w:ascii="Times New Roman" w:hAnsi="Times New Roman" w:eastAsia="宋体"/>
          <w:bCs w:val="0"/>
          <w:kern w:val="0"/>
          <w:sz w:val="21"/>
          <w:szCs w:val="21"/>
        </w:rPr>
        <w:t>.</w:t>
      </w:r>
      <w:r>
        <w:rPr>
          <w:rFonts w:hint="eastAsia" w:ascii="Times New Roman" w:hAnsi="Times New Roman" w:eastAsia="宋体"/>
          <w:bCs w:val="0"/>
          <w:kern w:val="0"/>
          <w:sz w:val="21"/>
          <w:szCs w:val="21"/>
          <w:lang w:val="en-US" w:eastAsia="zh-CN"/>
        </w:rPr>
        <w:t>3</w:t>
      </w:r>
      <w:r>
        <w:rPr>
          <w:rFonts w:hint="eastAsia" w:ascii="Times New Roman" w:hAnsi="Times New Roman" w:eastAsia="宋体"/>
          <w:bCs w:val="0"/>
          <w:kern w:val="0"/>
          <w:sz w:val="21"/>
          <w:szCs w:val="21"/>
        </w:rPr>
        <w:t xml:space="preserve">  </w:t>
      </w:r>
      <w:r>
        <w:rPr>
          <w:rFonts w:hint="eastAsia" w:ascii="Times New Roman" w:hAnsi="Times New Roman" w:eastAsia="宋体"/>
          <w:bCs w:val="0"/>
          <w:kern w:val="0"/>
          <w:sz w:val="21"/>
          <w:szCs w:val="21"/>
          <w:lang w:val="en-US" w:eastAsia="zh-CN"/>
        </w:rPr>
        <w:t>应用于调度的生物启发式优化算法</w:t>
      </w:r>
    </w:p>
    <w:p w14:paraId="4F030053">
      <w:pPr>
        <w:spacing w:line="360" w:lineRule="auto"/>
        <w:ind w:firstLine="420" w:firstLineChars="200"/>
        <w:rPr>
          <w:rFonts w:hint="eastAsia" w:eastAsia="宋体" w:cs="宋体"/>
          <w:kern w:val="0"/>
          <w:szCs w:val="21"/>
          <w:lang w:eastAsia="zh-CN"/>
        </w:rPr>
      </w:pPr>
      <w:r>
        <w:rPr>
          <w:rFonts w:hint="eastAsia" w:cs="宋体"/>
          <w:kern w:val="0"/>
          <w:szCs w:val="21"/>
        </w:rPr>
        <w:t>生物启发式算法，特别是群体智能算法，因其天然的自组织、分布式和鲁棒性特点，被广泛视为解决大规模动态优化问题的有力工具，并在边缘计算资源调度领域获得大量关注</w:t>
      </w:r>
      <w:r>
        <w:rPr>
          <w:rFonts w:hint="eastAsia" w:cs="宋体"/>
          <w:kern w:val="0"/>
          <w:szCs w:val="21"/>
          <w:lang w:eastAsia="zh-CN"/>
        </w:rPr>
        <w:fldChar w:fldCharType="begin"/>
      </w:r>
      <w:r>
        <w:rPr>
          <w:rFonts w:hint="eastAsia" w:cs="宋体"/>
          <w:kern w:val="0"/>
          <w:szCs w:val="21"/>
          <w:lang w:eastAsia="zh-CN"/>
        </w:rPr>
        <w:instrText xml:space="preserve"> REF _Ref30999 \r \h </w:instrText>
      </w:r>
      <w:r>
        <w:rPr>
          <w:rFonts w:hint="eastAsia" w:cs="宋体"/>
          <w:kern w:val="0"/>
          <w:szCs w:val="21"/>
          <w:lang w:eastAsia="zh-CN"/>
        </w:rPr>
        <w:fldChar w:fldCharType="separate"/>
      </w:r>
      <w:r>
        <w:rPr>
          <w:rFonts w:hint="eastAsia" w:cs="宋体"/>
          <w:kern w:val="0"/>
          <w:szCs w:val="21"/>
          <w:lang w:eastAsia="zh-CN"/>
        </w:rPr>
        <w:t>[17]</w:t>
      </w:r>
      <w:r>
        <w:rPr>
          <w:rFonts w:hint="eastAsia" w:cs="宋体"/>
          <w:kern w:val="0"/>
          <w:szCs w:val="21"/>
          <w:lang w:eastAsia="zh-CN"/>
        </w:rPr>
        <w:fldChar w:fldCharType="end"/>
      </w:r>
      <w:r>
        <w:rPr>
          <w:rFonts w:hint="eastAsia" w:cs="宋体"/>
          <w:kern w:val="0"/>
          <w:szCs w:val="21"/>
          <w:lang w:eastAsia="zh-CN"/>
        </w:rPr>
        <w:t>，</w:t>
      </w:r>
      <w:r>
        <w:rPr>
          <w:rFonts w:hint="eastAsia" w:cs="宋体"/>
          <w:kern w:val="0"/>
          <w:szCs w:val="21"/>
        </w:rPr>
        <w:t>最新的综述研究指出，蜂群算法在处理大规模异构节点的动态负载均衡方面具有显著优势</w:t>
      </w:r>
      <w:r>
        <w:rPr>
          <w:rFonts w:hint="eastAsia" w:cs="宋体"/>
          <w:kern w:val="0"/>
          <w:szCs w:val="21"/>
        </w:rPr>
        <w:fldChar w:fldCharType="begin"/>
      </w:r>
      <w:r>
        <w:rPr>
          <w:rFonts w:hint="eastAsia" w:cs="宋体"/>
          <w:kern w:val="0"/>
          <w:szCs w:val="21"/>
        </w:rPr>
        <w:instrText xml:space="preserve"> REF _Ref31025 \r \h </w:instrText>
      </w:r>
      <w:r>
        <w:rPr>
          <w:rFonts w:hint="eastAsia" w:cs="宋体"/>
          <w:kern w:val="0"/>
          <w:szCs w:val="21"/>
        </w:rPr>
        <w:fldChar w:fldCharType="separate"/>
      </w:r>
      <w:r>
        <w:rPr>
          <w:rFonts w:hint="eastAsia" w:cs="宋体"/>
          <w:kern w:val="0"/>
          <w:szCs w:val="21"/>
        </w:rPr>
        <w:t>[18]</w:t>
      </w:r>
      <w:r>
        <w:rPr>
          <w:rFonts w:hint="eastAsia" w:cs="宋体"/>
          <w:kern w:val="0"/>
          <w:szCs w:val="21"/>
        </w:rPr>
        <w:fldChar w:fldCharType="end"/>
      </w:r>
      <w:r>
        <w:rPr>
          <w:rFonts w:hint="eastAsia" w:cs="宋体"/>
          <w:kern w:val="0"/>
          <w:szCs w:val="21"/>
        </w:rPr>
        <w:t>且其能效优化能力在最新的大规模仿真中得到了验证</w:t>
      </w:r>
      <w:r>
        <w:rPr>
          <w:rFonts w:hint="eastAsia" w:cs="宋体"/>
          <w:kern w:val="0"/>
          <w:szCs w:val="21"/>
          <w:lang w:eastAsia="zh-CN"/>
        </w:rPr>
        <w:t>。</w:t>
      </w:r>
    </w:p>
    <w:p w14:paraId="0E8F3CE7">
      <w:pPr>
        <w:spacing w:line="360" w:lineRule="auto"/>
        <w:ind w:firstLine="420" w:firstLineChars="200"/>
        <w:rPr>
          <w:rFonts w:hint="eastAsia" w:cs="宋体"/>
          <w:kern w:val="0"/>
          <w:szCs w:val="21"/>
        </w:rPr>
      </w:pPr>
      <w:r>
        <w:rPr>
          <w:rFonts w:hint="eastAsia" w:cs="宋体"/>
          <w:kern w:val="0"/>
          <w:szCs w:val="21"/>
        </w:rPr>
        <w:t>其中，蚁群优化（Ant Colony Optimization, ACO）和粒子群优化（Particle Swarm Optimization, PSO）</w:t>
      </w:r>
      <w:r>
        <w:rPr>
          <w:rFonts w:hint="eastAsia" w:cs="宋体"/>
          <w:kern w:val="0"/>
          <w:szCs w:val="21"/>
          <w:lang w:eastAsia="zh-CN"/>
        </w:rPr>
        <w:fldChar w:fldCharType="begin"/>
      </w:r>
      <w:r>
        <w:rPr>
          <w:rFonts w:hint="eastAsia" w:cs="宋体"/>
          <w:kern w:val="0"/>
          <w:szCs w:val="21"/>
          <w:lang w:eastAsia="zh-CN"/>
        </w:rPr>
        <w:instrText xml:space="preserve"> REF _Ref31959 \r \h </w:instrText>
      </w:r>
      <w:r>
        <w:rPr>
          <w:rFonts w:hint="eastAsia" w:cs="宋体"/>
          <w:kern w:val="0"/>
          <w:szCs w:val="21"/>
          <w:lang w:eastAsia="zh-CN"/>
        </w:rPr>
        <w:fldChar w:fldCharType="separate"/>
      </w:r>
      <w:r>
        <w:rPr>
          <w:rFonts w:hint="eastAsia" w:cs="宋体"/>
          <w:kern w:val="0"/>
          <w:szCs w:val="21"/>
          <w:lang w:eastAsia="zh-CN"/>
        </w:rPr>
        <w:t>[19]</w:t>
      </w:r>
      <w:r>
        <w:rPr>
          <w:rFonts w:hint="eastAsia" w:cs="宋体"/>
          <w:kern w:val="0"/>
          <w:szCs w:val="21"/>
          <w:lang w:eastAsia="zh-CN"/>
        </w:rPr>
        <w:fldChar w:fldCharType="end"/>
      </w:r>
      <w:r>
        <w:rPr>
          <w:rFonts w:hint="eastAsia" w:cs="宋体"/>
          <w:kern w:val="0"/>
          <w:szCs w:val="21"/>
        </w:rPr>
        <w:t>是两种应用最广的经典算法。ACO通过模拟蚂蚁觅食过程中留下的信息素轨迹，以正反馈方式寻找最优路径；PSO则通过模拟鸟群觅食，让每个粒子（解）根据自身和群体的历史最优位置更新飞行方向。近年来，人工蜂群算法（Artificial Bee Colony, ABC）</w:t>
      </w:r>
      <w:r>
        <w:rPr>
          <w:rFonts w:hint="eastAsia" w:cs="宋体"/>
          <w:kern w:val="0"/>
          <w:szCs w:val="21"/>
          <w:lang w:eastAsia="zh-CN"/>
        </w:rPr>
        <w:fldChar w:fldCharType="begin"/>
      </w:r>
      <w:r>
        <w:rPr>
          <w:rFonts w:hint="eastAsia" w:cs="宋体"/>
          <w:kern w:val="0"/>
          <w:szCs w:val="21"/>
          <w:lang w:eastAsia="zh-CN"/>
        </w:rPr>
        <w:instrText xml:space="preserve"> REF _Ref32612 \r \h </w:instrText>
      </w:r>
      <w:r>
        <w:rPr>
          <w:rFonts w:hint="eastAsia" w:cs="宋体"/>
          <w:kern w:val="0"/>
          <w:szCs w:val="21"/>
          <w:lang w:eastAsia="zh-CN"/>
        </w:rPr>
        <w:fldChar w:fldCharType="separate"/>
      </w:r>
      <w:r>
        <w:rPr>
          <w:rFonts w:hint="eastAsia" w:cs="宋体"/>
          <w:kern w:val="0"/>
          <w:szCs w:val="21"/>
          <w:lang w:eastAsia="zh-CN"/>
        </w:rPr>
        <w:t>[20]</w:t>
      </w:r>
      <w:r>
        <w:rPr>
          <w:rFonts w:hint="eastAsia" w:cs="宋体"/>
          <w:kern w:val="0"/>
          <w:szCs w:val="21"/>
          <w:lang w:eastAsia="zh-CN"/>
        </w:rPr>
        <w:fldChar w:fldCharType="end"/>
      </w:r>
      <w:r>
        <w:rPr>
          <w:rFonts w:hint="eastAsia" w:cs="宋体"/>
          <w:kern w:val="0"/>
          <w:szCs w:val="21"/>
        </w:rPr>
        <w:t>也被证明在多目标优化中具有良好的搜索能力和收敛特性，其在边缘计算任务调度中的应用正受到越来越多关注。</w:t>
      </w:r>
    </w:p>
    <w:p w14:paraId="273CE257">
      <w:pPr>
        <w:spacing w:line="360" w:lineRule="auto"/>
        <w:ind w:firstLine="420" w:firstLineChars="200"/>
        <w:rPr>
          <w:rFonts w:hint="eastAsia" w:cs="宋体"/>
          <w:kern w:val="0"/>
          <w:szCs w:val="21"/>
        </w:rPr>
      </w:pPr>
      <w:r>
        <w:rPr>
          <w:rFonts w:hint="eastAsia" w:cs="宋体"/>
          <w:kern w:val="0"/>
          <w:szCs w:val="21"/>
        </w:rPr>
        <w:t>近年来，一个明显的研究趋势是将这些通用生物启发式算法与具体应用场景的领域知识进行深度结合，以提升算法的收敛速度和解的质量。然而，这种结合在很大程度上仍是单向的：即利用领域知识来指导或约束算法的搜索过程。本文提出的QASS模型则试图建立一种双向的、更为深度的融合。一方面，我们将任务的动态QoS状态直接转化为可量化的“数字信息素”，任务的“焦急”程度（即其QoS需求强度）直接决定其释放的信息素浓度，为群体协作提供了清晰明确的目标。另一方面，信息素在网络中的扩散与分布情况，又反过来影响空闲节点的“注意力”和协作决策，引导它们向最需要帮助的地方聚集。这一机制借鉴了“共情计算”（Empathic Computing）的核心思想，即让系统中的计算实体能够“感知”并响应其他实体的状态与需求。通过这种双向的、基于QoS状态的“信息素-行为”闭环反馈，QASS构建了一个比传统生物启发式调度器更具适应性、响应更迅速的智能分布式系统。</w:t>
      </w:r>
    </w:p>
    <w:p w14:paraId="66BC880F">
      <w:pPr>
        <w:pStyle w:val="2"/>
        <w:spacing w:before="0" w:after="0" w:line="360" w:lineRule="auto"/>
        <w:rPr>
          <w:rFonts w:hint="eastAsia" w:cs="宋体"/>
          <w:b w:val="0"/>
          <w:color w:val="000000"/>
          <w:kern w:val="0"/>
          <w:sz w:val="28"/>
          <w:szCs w:val="28"/>
        </w:rPr>
      </w:pPr>
      <w:r>
        <w:rPr>
          <w:rFonts w:hint="eastAsia" w:ascii="Times New Roman" w:hAnsi="Times New Roman" w:eastAsia="宋体" w:cs="宋体"/>
          <w:bCs w:val="0"/>
          <w:color w:val="000000"/>
          <w:kern w:val="0"/>
          <w:sz w:val="28"/>
          <w:szCs w:val="28"/>
          <w:lang w:val="en-US" w:eastAsia="zh-CN"/>
        </w:rPr>
        <w:t>3</w:t>
      </w:r>
      <w:r>
        <w:rPr>
          <w:rFonts w:hint="eastAsia" w:ascii="Times New Roman" w:hAnsi="Times New Roman" w:eastAsia="宋体" w:cs="宋体"/>
          <w:bCs w:val="0"/>
          <w:color w:val="000000"/>
          <w:kern w:val="0"/>
          <w:sz w:val="28"/>
          <w:szCs w:val="28"/>
        </w:rPr>
        <w:t xml:space="preserve">  系统模型与问题定义</w:t>
      </w:r>
    </w:p>
    <w:p w14:paraId="6CD25BAD">
      <w:pPr>
        <w:spacing w:line="360" w:lineRule="auto"/>
        <w:ind w:firstLine="420" w:firstLineChars="200"/>
        <w:rPr>
          <w:rFonts w:hint="eastAsia" w:cs="宋体"/>
          <w:kern w:val="0"/>
          <w:szCs w:val="21"/>
        </w:rPr>
      </w:pPr>
      <w:r>
        <w:rPr>
          <w:rFonts w:hint="eastAsia" w:cs="宋体"/>
          <w:kern w:val="0"/>
          <w:szCs w:val="21"/>
        </w:rPr>
        <w:t>为了对QASS框架进行严谨的分析与设计，本章旨在建立一个形式化的系统模型，该模型抽象并量化了边缘计算环境的关键实体、约束和交互关系。我们将从系统架构、资源与成本模型、任务QoS需求模型、节点QoS感知模型等多个层面展开，并最终给出一个清晰的多目标优化问题定义。</w:t>
      </w:r>
    </w:p>
    <w:p w14:paraId="594F2B3F">
      <w:pPr>
        <w:spacing w:line="360" w:lineRule="auto"/>
        <w:jc w:val="center"/>
        <w:rPr>
          <w:rFonts w:hint="eastAsia" w:eastAsia="宋体" w:cs="宋体"/>
          <w:kern w:val="0"/>
          <w:szCs w:val="21"/>
          <w:lang w:val="en-US" w:eastAsia="zh-CN"/>
        </w:rPr>
      </w:pPr>
      <w:r>
        <w:rPr>
          <w:rFonts w:hint="eastAsia" w:eastAsia="宋体" w:cs="宋体"/>
          <w:kern w:val="0"/>
          <w:szCs w:val="21"/>
          <w:lang w:val="en-US" w:eastAsia="zh-CN"/>
        </w:rPr>
        <w:drawing>
          <wp:inline distT="0" distB="0" distL="114300" distR="114300">
            <wp:extent cx="3591560" cy="2681605"/>
            <wp:effectExtent l="0" t="0" r="2540" b="10795"/>
            <wp:docPr id="13" name="图片 13" descr="a0ad92c9f3ed3baf1b7c093ce9c5e1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0ad92c9f3ed3baf1b7c093ce9c5e1df"/>
                    <pic:cNvPicPr>
                      <a:picLocks noChangeAspect="1"/>
                    </pic:cNvPicPr>
                  </pic:nvPicPr>
                  <pic:blipFill>
                    <a:blip r:embed="rId6"/>
                    <a:stretch>
                      <a:fillRect/>
                    </a:stretch>
                  </pic:blipFill>
                  <pic:spPr>
                    <a:xfrm>
                      <a:off x="0" y="0"/>
                      <a:ext cx="3591560" cy="2681605"/>
                    </a:xfrm>
                    <a:prstGeom prst="rect">
                      <a:avLst/>
                    </a:prstGeom>
                  </pic:spPr>
                </pic:pic>
              </a:graphicData>
            </a:graphic>
          </wp:inline>
        </w:drawing>
      </w:r>
    </w:p>
    <w:p w14:paraId="0D94E201">
      <w:pPr>
        <w:spacing w:line="360" w:lineRule="auto"/>
        <w:ind w:firstLine="430" w:firstLineChars="205"/>
        <w:jc w:val="center"/>
        <w:rPr>
          <w:rFonts w:hint="default" w:eastAsia="宋体" w:cs="宋体"/>
          <w:kern w:val="0"/>
          <w:szCs w:val="21"/>
          <w:lang w:val="en-US" w:eastAsia="zh-CN"/>
        </w:rPr>
      </w:pPr>
      <w:r>
        <w:rPr>
          <w:rFonts w:hint="eastAsia" w:cs="宋体"/>
          <w:kern w:val="0"/>
          <w:szCs w:val="21"/>
          <w:lang w:val="en-US" w:eastAsia="zh-CN"/>
        </w:rPr>
        <w:t>图1</w:t>
      </w:r>
      <w:r>
        <w:rPr>
          <w:rFonts w:hint="eastAsia" w:cs="宋体"/>
          <w:kern w:val="0"/>
          <w:szCs w:val="21"/>
        </w:rPr>
        <w:t>系统模型与问题定义</w:t>
      </w:r>
      <w:r>
        <w:rPr>
          <w:rFonts w:hint="eastAsia" w:cs="宋体"/>
          <w:kern w:val="0"/>
          <w:szCs w:val="21"/>
          <w:lang w:val="en-US" w:eastAsia="zh-CN"/>
        </w:rPr>
        <w:t>框架图</w:t>
      </w:r>
    </w:p>
    <w:p w14:paraId="56AF3723">
      <w:pPr>
        <w:pStyle w:val="2"/>
        <w:spacing w:before="0" w:after="0" w:line="360" w:lineRule="auto"/>
        <w:rPr>
          <w:rFonts w:hint="eastAsia" w:cs="宋体"/>
          <w:kern w:val="0"/>
          <w:szCs w:val="21"/>
        </w:rPr>
      </w:pPr>
      <w:r>
        <w:rPr>
          <w:rFonts w:hint="eastAsia" w:ascii="Times New Roman" w:hAnsi="Times New Roman" w:eastAsia="宋体"/>
          <w:bCs w:val="0"/>
          <w:kern w:val="0"/>
          <w:sz w:val="21"/>
          <w:szCs w:val="21"/>
          <w:lang w:val="en-US" w:eastAsia="zh-CN"/>
        </w:rPr>
        <w:t>3</w:t>
      </w:r>
      <w:r>
        <w:rPr>
          <w:rFonts w:hint="eastAsia" w:ascii="Times New Roman" w:hAnsi="Times New Roman" w:eastAsia="宋体"/>
          <w:bCs w:val="0"/>
          <w:kern w:val="0"/>
          <w:sz w:val="21"/>
          <w:szCs w:val="21"/>
        </w:rPr>
        <w:t>.</w:t>
      </w:r>
      <w:r>
        <w:rPr>
          <w:rFonts w:hint="eastAsia" w:ascii="Times New Roman" w:hAnsi="Times New Roman" w:eastAsia="宋体"/>
          <w:bCs w:val="0"/>
          <w:kern w:val="0"/>
          <w:sz w:val="21"/>
          <w:szCs w:val="21"/>
          <w:lang w:val="en-US" w:eastAsia="zh-CN"/>
        </w:rPr>
        <w:t>1</w:t>
      </w:r>
      <w:r>
        <w:rPr>
          <w:rFonts w:hint="eastAsia" w:ascii="Times New Roman" w:hAnsi="Times New Roman" w:eastAsia="宋体"/>
          <w:bCs w:val="0"/>
          <w:kern w:val="0"/>
          <w:sz w:val="21"/>
          <w:szCs w:val="21"/>
        </w:rPr>
        <w:t xml:space="preserve">  </w:t>
      </w:r>
      <w:r>
        <w:rPr>
          <w:rFonts w:hint="eastAsia" w:ascii="Times New Roman" w:hAnsi="Times New Roman" w:eastAsia="宋体"/>
          <w:bCs w:val="0"/>
          <w:kern w:val="0"/>
          <w:sz w:val="21"/>
          <w:szCs w:val="21"/>
          <w:lang w:val="en-US" w:eastAsia="zh-CN"/>
        </w:rPr>
        <w:t>系统架构</w:t>
      </w:r>
    </w:p>
    <w:p w14:paraId="3775D8E9">
      <w:pPr>
        <w:spacing w:line="360" w:lineRule="auto"/>
        <w:ind w:firstLine="420" w:firstLineChars="200"/>
        <w:rPr>
          <w:rFonts w:hint="eastAsia" w:cs="宋体"/>
          <w:kern w:val="0"/>
          <w:szCs w:val="21"/>
        </w:rPr>
      </w:pPr>
      <w:r>
        <w:rPr>
          <w:rFonts w:hint="eastAsia" w:cs="宋体"/>
          <w:kern w:val="0"/>
          <w:szCs w:val="21"/>
        </w:rPr>
        <w:t>我们考虑一个典型的边缘计算系统，其架构由地理上分散的边缘节点和动态到达的任务流构成。该系统在形式上可描述为一个多代理系统，其中每个物理实体（任务或节点）均由一个软件代理代表并管理。</w:t>
      </w:r>
    </w:p>
    <w:p w14:paraId="112ECE7C">
      <w:pPr>
        <w:spacing w:line="360" w:lineRule="auto"/>
        <w:ind w:firstLine="422" w:firstLineChars="200"/>
        <w:rPr>
          <w:rFonts w:hint="eastAsia" w:cs="宋体"/>
          <w:kern w:val="0"/>
          <w:szCs w:val="21"/>
        </w:rPr>
      </w:pPr>
      <w:r>
        <w:rPr>
          <w:rFonts w:hint="eastAsia" w:cs="宋体"/>
          <w:b/>
          <w:bCs/>
          <w:kern w:val="0"/>
          <w:szCs w:val="21"/>
        </w:rPr>
        <w:t>边缘节点集合：</w:t>
      </w:r>
      <w:r>
        <w:rPr>
          <w:rFonts w:hint="eastAsia" w:cs="宋体"/>
          <w:kern w:val="0"/>
          <w:szCs w:val="21"/>
        </w:rPr>
        <w:t>系统由</w:t>
      </w:r>
      <m:oMath>
        <m:r>
          <m:rPr/>
          <w:rPr>
            <w:rFonts w:hint="default" w:ascii="Cambria Math" w:hAnsi="Cambria Math"/>
            <w:sz w:val="21"/>
          </w:rPr>
          <m:t>m</m:t>
        </m:r>
      </m:oMath>
      <w:r>
        <w:rPr>
          <w:rFonts w:hint="eastAsia" w:cs="宋体"/>
          <w:kern w:val="0"/>
          <w:szCs w:val="21"/>
        </w:rPr>
        <w:t>个异构的边缘计算节点组成，表示为集合</w:t>
      </w:r>
      <m:oMath>
        <m:r>
          <m:rPr/>
          <w:rPr>
            <w:rFonts w:hint="default" w:ascii="Cambria Math" w:hAnsi="Cambria Math"/>
            <w:sz w:val="21"/>
          </w:rPr>
          <m:t>N=</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m</m:t>
            </m:r>
            <m:ctrlPr>
              <w:rPr>
                <w:rFonts w:ascii="Cambria Math" w:hAnsi="Cambria Math"/>
                <w:sz w:val="21"/>
              </w:rPr>
            </m:ctrlPr>
          </m:sub>
        </m:sSub>
      </m:oMath>
      <w:r>
        <w:rPr>
          <w:rFonts w:hint="eastAsia" w:cs="宋体"/>
          <w:kern w:val="0"/>
          <w:szCs w:val="21"/>
        </w:rPr>
        <w:t>。节点的异构性体现在多个维度。首先，资源构成的异构性：每个节点</w:t>
      </w:r>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∈N</m:t>
        </m:r>
      </m:oMath>
      <w:r>
        <w:rPr>
          <w:rFonts w:hint="eastAsia" w:cs="宋体"/>
          <w:kern w:val="0"/>
          <w:szCs w:val="21"/>
        </w:rPr>
        <w:t>可能拥有不同类型和数量的计算资源，如通用处理器（CPU）、图形处理器（GPU）或专用AI加速器（如TPU）。节点</w:t>
      </w:r>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oMath>
      <w:r>
        <w:rPr>
          <w:rFonts w:hint="eastAsia" w:cs="宋体"/>
          <w:kern w:val="0"/>
          <w:szCs w:val="21"/>
        </w:rPr>
        <w:t xml:space="preserve">的多维资源容量表示为向量 </w:t>
      </w:r>
      <m:oMath>
        <m:r>
          <m:rPr>
            <m:sty m:val="b"/>
          </m:rPr>
          <w:rPr>
            <w:rFonts w:hint="default" w:ascii="Cambria Math" w:hAnsi="Cambria Math"/>
            <w:sz w:val="21"/>
          </w:rPr>
          <m:t>C</m:t>
        </m:r>
        <m:r>
          <m:rPr/>
          <w:rPr>
            <w:rFonts w:hint="default" w:ascii="Cambria Math" w:hAnsi="Cambria Math"/>
            <w:sz w:val="21"/>
          </w:rPr>
          <m:t>j=(cj,1,</m:t>
        </m:r>
        <m:sSub>
          <m:sSubPr>
            <m:ctrlPr>
              <w:rPr>
                <w:rFonts w:hint="default" w:ascii="Cambria Math" w:hAnsi="Cambria Math"/>
                <w:sz w:val="21"/>
              </w:rPr>
            </m:ctrlPr>
          </m:sSubPr>
          <m:e>
            <m:r>
              <m:rPr/>
              <w:rPr>
                <w:rFonts w:hint="default" w:ascii="Cambria Math" w:hAnsi="Cambria Math"/>
                <w:sz w:val="21"/>
              </w:rPr>
              <m:t>c</m:t>
            </m:r>
            <m:ctrlPr>
              <w:rPr>
                <w:rFonts w:ascii="Cambria Math" w:hAnsi="Cambria Math"/>
                <w:sz w:val="21"/>
              </w:rPr>
            </m:ctrlPr>
          </m:e>
          <m:sub>
            <m:r>
              <m:rPr/>
              <w:rPr>
                <w:rFonts w:hint="default" w:ascii="Cambria Math" w:hAnsi="Cambria Math"/>
                <w:sz w:val="21"/>
              </w:rPr>
              <m:t>j,2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c</m:t>
            </m:r>
            <m:ctrlPr>
              <w:rPr>
                <w:rFonts w:ascii="Cambria Math" w:hAnsi="Cambria Math"/>
                <w:sz w:val="21"/>
              </w:rPr>
            </m:ctrlPr>
          </m:e>
          <m:sub>
            <m:r>
              <m:rPr/>
              <w:rPr>
                <w:rFonts w:hint="default" w:ascii="Cambria Math" w:hAnsi="Cambria Math"/>
                <w:sz w:val="21"/>
              </w:rPr>
              <m:t>j,R</m:t>
            </m:r>
            <m:ctrlPr>
              <w:rPr>
                <w:rFonts w:ascii="Cambria Math" w:hAnsi="Cambria Math"/>
                <w:sz w:val="21"/>
              </w:rPr>
            </m:ctrlPr>
          </m:sub>
        </m:sSub>
        <m:r>
          <m:rPr/>
          <w:rPr>
            <w:rFonts w:hint="default" w:ascii="Cambria Math" w:hAnsi="Cambria Math"/>
            <w:sz w:val="21"/>
          </w:rPr>
          <m:t>)</m:t>
        </m:r>
      </m:oMath>
      <w:r>
        <w:rPr>
          <w:rFonts w:hint="eastAsia" w:cs="宋体"/>
          <w:kern w:val="0"/>
          <w:szCs w:val="21"/>
        </w:rPr>
        <w:t>，其中</w:t>
      </w:r>
      <m:oMath>
        <m:sSub>
          <m:sSubPr>
            <m:ctrlPr>
              <w:rPr>
                <w:rFonts w:hint="default" w:ascii="Cambria Math" w:hAnsi="Cambria Math"/>
                <w:sz w:val="21"/>
              </w:rPr>
            </m:ctrlPr>
          </m:sSubPr>
          <m:e>
            <m:r>
              <m:rPr/>
              <w:rPr>
                <w:rFonts w:hint="default" w:ascii="Cambria Math" w:hAnsi="Cambria Math"/>
                <w:sz w:val="21"/>
              </w:rPr>
              <m:t>c</m:t>
            </m:r>
            <m:ctrlPr>
              <w:rPr>
                <w:rFonts w:ascii="Cambria Math" w:hAnsi="Cambria Math"/>
                <w:sz w:val="21"/>
              </w:rPr>
            </m:ctrlPr>
          </m:e>
          <m:sub>
            <m:r>
              <m:rPr/>
              <w:rPr>
                <w:rFonts w:hint="default" w:ascii="Cambria Math" w:hAnsi="Cambria Math"/>
                <w:sz w:val="21"/>
              </w:rPr>
              <m:t>j,r</m:t>
            </m:r>
            <m:ctrlPr>
              <w:rPr>
                <w:rFonts w:ascii="Cambria Math" w:hAnsi="Cambria Math"/>
                <w:sz w:val="21"/>
              </w:rPr>
            </m:ctrlPr>
          </m:sub>
        </m:sSub>
      </m:oMath>
      <w:r>
        <w:rPr>
          <w:rFonts w:hint="eastAsia" w:cs="宋体"/>
          <w:kern w:val="0"/>
          <w:szCs w:val="21"/>
        </w:rPr>
        <w:t>代表节点</w:t>
      </w:r>
      <m:oMath>
        <m:r>
          <m:rPr/>
          <w:rPr>
            <w:rFonts w:hint="default" w:ascii="Cambria Math" w:hAnsi="Cambria Math"/>
            <w:sz w:val="21"/>
          </w:rPr>
          <m:t>j</m:t>
        </m:r>
      </m:oMath>
      <w:r>
        <w:rPr>
          <w:rFonts w:hint="eastAsia" w:cs="宋体"/>
          <w:kern w:val="0"/>
          <w:szCs w:val="21"/>
        </w:rPr>
        <w:t>拥有的第</w:t>
      </w:r>
      <m:oMath>
        <m:r>
          <m:rPr/>
          <w:rPr>
            <w:rFonts w:hint="default" w:ascii="Cambria Math" w:hAnsi="Cambria Math"/>
            <w:sz w:val="21"/>
          </w:rPr>
          <m:t>r</m:t>
        </m:r>
      </m:oMath>
      <w:r>
        <w:rPr>
          <w:rFonts w:hint="eastAsia" w:cs="宋体"/>
          <w:kern w:val="0"/>
          <w:szCs w:val="21"/>
        </w:rPr>
        <w:t>类资源总量，</w:t>
      </w:r>
      <m:oMath>
        <m:r>
          <m:rPr/>
          <w:rPr>
            <w:rFonts w:hint="default" w:ascii="Cambria Math" w:hAnsi="Cambria Math"/>
            <w:sz w:val="21"/>
          </w:rPr>
          <m:t>R</m:t>
        </m:r>
      </m:oMath>
      <w:r>
        <w:rPr>
          <w:rFonts w:hint="eastAsia" w:cs="宋体"/>
          <w:kern w:val="0"/>
          <w:szCs w:val="21"/>
        </w:rPr>
        <w:t>为资源类型总数。其次，成本的异构性：不同节点提供相同单位算力的成本可能存在差异，这取决于其硬件、能源和维护成本。最后，网络连接的异构性：节点间的网络带宽与延迟亦可能存在显著差异。</w:t>
      </w:r>
    </w:p>
    <w:p w14:paraId="635649BD">
      <w:pPr>
        <w:spacing w:line="360" w:lineRule="auto"/>
        <w:ind w:firstLine="422" w:firstLineChars="200"/>
        <w:rPr>
          <w:rFonts w:hint="eastAsia" w:cs="宋体"/>
          <w:kern w:val="0"/>
          <w:szCs w:val="21"/>
        </w:rPr>
      </w:pPr>
      <w:r>
        <w:rPr>
          <w:rFonts w:hint="eastAsia" w:cs="宋体"/>
          <w:b/>
          <w:bCs/>
          <w:kern w:val="0"/>
          <w:szCs w:val="21"/>
        </w:rPr>
        <w:t>任务集合：</w:t>
      </w:r>
      <w:r>
        <w:rPr>
          <w:rFonts w:hint="eastAsia" w:cs="宋体"/>
          <w:kern w:val="0"/>
          <w:szCs w:val="21"/>
        </w:rPr>
        <w:t>在系统运行期间，到达的任务集合表示为</w:t>
      </w:r>
      <m:oMath>
        <m:r>
          <m:rPr/>
          <w:rPr>
            <w:rFonts w:hint="default" w:ascii="Cambria Math" w:hAnsi="Cambria Math"/>
            <w:sz w:val="21"/>
          </w:rPr>
          <m:t>K=</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k</m:t>
            </m:r>
            <m:ctrlPr>
              <w:rPr>
                <w:rFonts w:ascii="Cambria Math" w:hAnsi="Cambria Math"/>
                <w:sz w:val="21"/>
              </w:rPr>
            </m:ctrlPr>
          </m:sub>
        </m:sSub>
      </m:oMath>
      <w:r>
        <w:rPr>
          <w:rFonts w:hint="eastAsia" w:cs="宋体"/>
          <w:kern w:val="0"/>
          <w:szCs w:val="21"/>
        </w:rPr>
        <w:t>。任务以随机过程（如泊松过程）到达系统，每个任务</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∈K</m:t>
        </m:r>
      </m:oMath>
      <w:r>
        <w:rPr>
          <w:rFonts w:hint="eastAsia" w:cs="宋体"/>
          <w:kern w:val="0"/>
          <w:szCs w:val="21"/>
        </w:rPr>
        <w:t>均具有一组明确的属性，包括资源需求、截止时间、成本预算等。为模拟真实边缘应用的多样性，本文将任务分为三个具有代表性的优先级类别。实时控制任务（记为</w:t>
      </w:r>
      <m:oMath>
        <m:sSub>
          <m:sSubPr>
            <m:ctrlPr>
              <w:rPr>
                <w:rFonts w:hint="default" w:ascii="Cambria Math" w:hAnsi="Cambria Math"/>
                <w:sz w:val="21"/>
              </w:rPr>
            </m:ctrlPr>
          </m:sSubPr>
          <m:e>
            <m:r>
              <m:rPr/>
              <w:rPr>
                <w:rFonts w:hint="default" w:ascii="Cambria Math" w:hAnsi="Cambria Math"/>
                <w:sz w:val="21"/>
              </w:rPr>
              <m:t>K</m:t>
            </m:r>
            <m:ctrlPr>
              <w:rPr>
                <w:rFonts w:ascii="Cambria Math" w:hAnsi="Cambria Math"/>
                <w:sz w:val="21"/>
              </w:rPr>
            </m:ctrlPr>
          </m:e>
          <m:sub>
            <m:r>
              <m:rPr/>
              <w:rPr>
                <w:rFonts w:hint="default" w:ascii="Cambria Math" w:hAnsi="Cambria Math"/>
                <w:sz w:val="21"/>
              </w:rPr>
              <m:t>U</m:t>
            </m:r>
            <m:ctrlPr>
              <w:rPr>
                <w:rFonts w:ascii="Cambria Math" w:hAnsi="Cambria Math"/>
                <w:sz w:val="21"/>
              </w:rPr>
            </m:ctrlPr>
          </m:sub>
        </m:sSub>
      </m:oMath>
      <w:r>
        <w:rPr>
          <w:rFonts w:hint="eastAsia" w:cs="宋体"/>
          <w:kern w:val="0"/>
          <w:szCs w:val="21"/>
        </w:rPr>
        <w:t>）对应于安全攸关或对物理世界具有直接控制权的业务，如自动驾驶中的紧急规避动作或工业机器人的故障停机指令。此类任务具有极短且严格的截止时间（硬截止时间，Hard Deadline），任何超时均等同于任务失败，并可能引发严重后果。关键感知任务（记为</w:t>
      </w:r>
      <m:oMath>
        <m:sSub>
          <m:sSubPr>
            <m:ctrlPr>
              <w:rPr>
                <w:rFonts w:hint="default" w:ascii="Cambria Math" w:hAnsi="Cambria Math"/>
                <w:sz w:val="21"/>
              </w:rPr>
            </m:ctrlPr>
          </m:sSubPr>
          <m:e>
            <m:r>
              <m:rPr/>
              <w:rPr>
                <w:rFonts w:hint="default" w:ascii="Cambria Math" w:hAnsi="Cambria Math"/>
                <w:sz w:val="21"/>
              </w:rPr>
              <m:t>K</m:t>
            </m:r>
            <m:ctrlPr>
              <w:rPr>
                <w:rFonts w:ascii="Cambria Math" w:hAnsi="Cambria Math"/>
                <w:sz w:val="21"/>
              </w:rPr>
            </m:ctrlPr>
          </m:e>
          <m:sub>
            <m:r>
              <m:rPr/>
              <w:rPr>
                <w:rFonts w:hint="default" w:ascii="Cambria Math" w:hAnsi="Cambria Math"/>
                <w:sz w:val="21"/>
              </w:rPr>
              <m:t>H</m:t>
            </m:r>
            <m:ctrlPr>
              <w:rPr>
                <w:rFonts w:ascii="Cambria Math" w:hAnsi="Cambria Math"/>
                <w:sz w:val="21"/>
              </w:rPr>
            </m:ctrlPr>
          </m:sub>
        </m:sSub>
      </m:oMath>
      <w:r>
        <w:rPr>
          <w:rFonts w:hint="eastAsia" w:cs="宋体"/>
          <w:kern w:val="0"/>
          <w:szCs w:val="21"/>
        </w:rPr>
        <w:t>）负责处理与分析来自传感器的关键数据，为上层决策提供支持，如自动驾驶中的LiDAR点云目标识别或AR应用中的场景理解。此类任务具有较短的截止时间（软截止时间，Soft Deadline）和较高的业务价值，因此拥有较高的成本预算；虽然偶尔的轻微超时可被容忍，但频繁或严重的延迟将显著降低应用性能。后台分析任务（记为</w:t>
      </w:r>
      <m:oMath>
        <m:sSub>
          <m:sSubPr>
            <m:ctrlPr>
              <w:rPr>
                <w:rFonts w:hint="default" w:ascii="Cambria Math" w:hAnsi="Cambria Math"/>
                <w:sz w:val="21"/>
              </w:rPr>
            </m:ctrlPr>
          </m:sSubPr>
          <m:e>
            <m:r>
              <m:rPr/>
              <w:rPr>
                <w:rFonts w:hint="default" w:ascii="Cambria Math" w:hAnsi="Cambria Math"/>
                <w:sz w:val="21"/>
              </w:rPr>
              <m:t>K</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oMath>
      <w:r>
        <w:rPr>
          <w:rFonts w:hint="eastAsia" w:cs="宋体"/>
          <w:kern w:val="0"/>
          <w:szCs w:val="21"/>
        </w:rPr>
        <w:t>）通常负责数据的异步处理、模型更新或日志上传等对延迟不敏感的业务，没有严格的截止时间，可容忍较长的处理延迟，且成本预算较低。</w:t>
      </w:r>
    </w:p>
    <w:p w14:paraId="7843AC79">
      <w:pPr>
        <w:pStyle w:val="2"/>
        <w:spacing w:before="0" w:after="0" w:line="360" w:lineRule="auto"/>
        <w:rPr>
          <w:rFonts w:hint="eastAsia" w:cs="宋体"/>
          <w:kern w:val="0"/>
          <w:szCs w:val="21"/>
        </w:rPr>
      </w:pPr>
      <w:r>
        <w:rPr>
          <w:rFonts w:hint="eastAsia" w:ascii="Times New Roman" w:hAnsi="Times New Roman" w:eastAsia="宋体"/>
          <w:bCs w:val="0"/>
          <w:kern w:val="0"/>
          <w:sz w:val="21"/>
          <w:szCs w:val="21"/>
          <w:lang w:val="en-US" w:eastAsia="zh-CN"/>
        </w:rPr>
        <w:t>3</w:t>
      </w:r>
      <w:r>
        <w:rPr>
          <w:rFonts w:hint="eastAsia" w:ascii="Times New Roman" w:hAnsi="Times New Roman" w:eastAsia="宋体"/>
          <w:bCs w:val="0"/>
          <w:kern w:val="0"/>
          <w:sz w:val="21"/>
          <w:szCs w:val="21"/>
        </w:rPr>
        <w:t>.</w:t>
      </w:r>
      <w:r>
        <w:rPr>
          <w:rFonts w:hint="eastAsia" w:ascii="Times New Roman" w:hAnsi="Times New Roman" w:eastAsia="宋体"/>
          <w:bCs w:val="0"/>
          <w:kern w:val="0"/>
          <w:sz w:val="21"/>
          <w:szCs w:val="21"/>
          <w:lang w:val="en-US" w:eastAsia="zh-CN"/>
        </w:rPr>
        <w:t>2</w:t>
      </w:r>
      <w:r>
        <w:rPr>
          <w:rFonts w:hint="eastAsia" w:ascii="Times New Roman" w:hAnsi="Times New Roman" w:eastAsia="宋体"/>
          <w:bCs w:val="0"/>
          <w:kern w:val="0"/>
          <w:sz w:val="21"/>
          <w:szCs w:val="21"/>
        </w:rPr>
        <w:t xml:space="preserve">  </w:t>
      </w:r>
      <w:r>
        <w:rPr>
          <w:rFonts w:hint="eastAsia" w:ascii="Times New Roman" w:hAnsi="Times New Roman" w:eastAsia="宋体"/>
          <w:bCs w:val="0"/>
          <w:kern w:val="0"/>
          <w:sz w:val="21"/>
          <w:szCs w:val="21"/>
          <w:lang w:val="en-US" w:eastAsia="zh-CN"/>
        </w:rPr>
        <w:t>资源与成本模型</w:t>
      </w:r>
    </w:p>
    <w:p w14:paraId="7C5D20D1">
      <w:pPr>
        <w:spacing w:line="360" w:lineRule="auto"/>
        <w:ind w:firstLine="420" w:firstLineChars="200"/>
        <w:rPr>
          <w:rFonts w:hint="eastAsia" w:cs="宋体"/>
          <w:kern w:val="0"/>
          <w:szCs w:val="21"/>
        </w:rPr>
      </w:pPr>
      <w:r>
        <w:rPr>
          <w:rFonts w:hint="eastAsia" w:cs="宋体"/>
          <w:kern w:val="0"/>
          <w:szCs w:val="21"/>
        </w:rPr>
        <w:t>为了在异构的资源类型之间进行统一的量化和计价，本文引入服务单位（Service Unit, SU）作为标准化的抽象资源单位。一个SU可被理解为在一个单位时间内完成一个标准计算负载所需的资源量。任务</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rPr>
          <w:rFonts w:hint="eastAsia" w:cs="宋体"/>
          <w:kern w:val="0"/>
          <w:szCs w:val="21"/>
        </w:rPr>
        <w:t>的多维资源需求向量</w:t>
      </w:r>
      <m:oMath>
        <m:r>
          <m:rPr>
            <m:sty m:val="b"/>
          </m:rPr>
          <w:rPr>
            <w:rFonts w:hint="default" w:ascii="Cambria Math" w:hAnsi="Cambria Math"/>
            <w:sz w:val="21"/>
          </w:rPr>
          <m:t>D</m:t>
        </m:r>
        <m:r>
          <m:rPr/>
          <w:rPr>
            <w:rFonts w:hint="default" w:ascii="Cambria Math" w:hAnsi="Cambria Math"/>
            <w:sz w:val="21"/>
          </w:rPr>
          <m:t>i=(di,1,</m:t>
        </m:r>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i,2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i,R</m:t>
            </m:r>
            <m:ctrlPr>
              <w:rPr>
                <w:rFonts w:ascii="Cambria Math" w:hAnsi="Cambria Math"/>
                <w:sz w:val="21"/>
              </w:rPr>
            </m:ctrlPr>
          </m:sub>
        </m:sSub>
        <m:r>
          <m:rPr/>
          <w:rPr>
            <w:rFonts w:hint="default" w:ascii="Cambria Math" w:hAnsi="Cambria Math"/>
            <w:sz w:val="21"/>
          </w:rPr>
          <m:t>)</m:t>
        </m:r>
      </m:oMath>
      <w:r>
        <w:rPr>
          <w:rFonts w:hint="eastAsia" w:cs="宋体"/>
          <w:kern w:val="0"/>
          <w:szCs w:val="21"/>
        </w:rPr>
        <w:t xml:space="preserve">通过标准化函数 </w:t>
      </w:r>
      <m:oMath>
        <m:r>
          <m:rPr>
            <m:sty m:val="p"/>
          </m:rPr>
          <w:rPr>
            <w:rFonts w:hint="default" w:ascii="Cambria Math" w:hAnsi="Cambria Math"/>
            <w:sz w:val="21"/>
          </w:rPr>
          <m:t>ϕ</m:t>
        </m:r>
        <m:r>
          <m:rPr/>
          <w:rPr>
            <w:rFonts w:hint="default" w:ascii="Cambria Math" w:hAnsi="Cambria Math"/>
            <w:sz w:val="21"/>
          </w:rPr>
          <m:t>(⋅)</m:t>
        </m:r>
      </m:oMath>
      <w:r>
        <w:rPr>
          <w:rFonts w:hint="eastAsia" w:cs="宋体"/>
          <w:kern w:val="0"/>
          <w:szCs w:val="21"/>
        </w:rPr>
        <w:t>映射为对SU的需求量。类似地，节点</w:t>
      </w:r>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oMath>
      <w:r>
        <w:rPr>
          <w:rFonts w:hint="eastAsia" w:cs="宋体"/>
          <w:kern w:val="0"/>
          <w:szCs w:val="21"/>
        </w:rPr>
        <w:t>的资源容量</w:t>
      </w:r>
      <m:oMath>
        <m:sSub>
          <m:sSubPr>
            <m:ctrlPr>
              <w:rPr>
                <w:rFonts w:hint="default" w:ascii="Cambria Math" w:hAnsi="Cambria Math"/>
                <w:sz w:val="21"/>
              </w:rPr>
            </m:ctrlPr>
          </m:sSubPr>
          <m:e>
            <m:r>
              <m:rPr>
                <m:sty m:val="b"/>
              </m:rPr>
              <w:rPr>
                <w:rFonts w:hint="default" w:ascii="Cambria Math" w:hAnsi="Cambria Math"/>
                <w:sz w:val="21"/>
              </w:rPr>
              <m:t>C</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oMath>
      <w:r>
        <w:rPr>
          <w:rFonts w:hint="eastAsia" w:cs="宋体"/>
          <w:kern w:val="0"/>
          <w:szCs w:val="21"/>
        </w:rPr>
        <w:t>也被映射为其在单位时间内所能提供的SU总量。</w:t>
      </w:r>
    </w:p>
    <w:p w14:paraId="180203F3">
      <w:pPr>
        <w:spacing w:line="360" w:lineRule="auto"/>
        <w:ind w:firstLine="420" w:firstLineChars="200"/>
        <w:rPr>
          <w:rFonts w:hint="default" w:hAnsi="Cambria Math"/>
          <w:i w:val="0"/>
          <w:sz w:val="21"/>
        </w:rPr>
      </w:pPr>
      <w:r>
        <w:rPr>
          <w:rFonts w:hint="eastAsia" w:cs="宋体"/>
          <w:kern w:val="0"/>
          <w:szCs w:val="21"/>
        </w:rPr>
        <w:t>任务</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rPr>
          <w:rFonts w:hint="eastAsia" w:cs="宋体"/>
          <w:kern w:val="0"/>
          <w:szCs w:val="21"/>
        </w:rPr>
        <w:t>在节点</w:t>
      </w:r>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oMath>
      <w:r>
        <w:rPr>
          <w:rFonts w:hint="eastAsia" w:cs="宋体"/>
          <w:kern w:val="0"/>
          <w:szCs w:val="21"/>
        </w:rPr>
        <w:t>上执行的成本</w:t>
      </w:r>
      <m:oMath>
        <m:r>
          <m:rPr/>
          <w:rPr>
            <w:rFonts w:hint="default" w:ascii="Cambria Math" w:hAnsi="Cambria Math"/>
            <w:sz w:val="21"/>
          </w:rPr>
          <m:t>Cost(</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m:t>
        </m:r>
      </m:oMath>
      <w:r>
        <w:rPr>
          <w:rFonts w:hint="eastAsia" w:cs="宋体"/>
          <w:kern w:val="0"/>
          <w:szCs w:val="21"/>
        </w:rPr>
        <w:t xml:space="preserve">是模型中的核心经济学变量，由该节点上各类资源的动态价格 </w:t>
      </w:r>
      <m:oMath>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j,r</m:t>
            </m:r>
            <m:ctrlPr>
              <w:rPr>
                <w:rFonts w:ascii="Cambria Math" w:hAnsi="Cambria Math"/>
                <w:sz w:val="21"/>
              </w:rPr>
            </m:ctrlPr>
          </m:sub>
        </m:sSub>
        <m:r>
          <m:rPr/>
          <w:rPr>
            <w:rFonts w:hint="default" w:ascii="Cambria Math" w:hAnsi="Cambria Math"/>
            <w:sz w:val="21"/>
          </w:rPr>
          <m:t>(t)</m:t>
        </m:r>
      </m:oMath>
      <w:r>
        <w:rPr>
          <w:rFonts w:hint="eastAsia" w:cs="宋体"/>
          <w:kern w:val="0"/>
          <w:szCs w:val="21"/>
        </w:rPr>
        <w:t>、任务的资源需求</w:t>
      </w:r>
      <m:oMath>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i,r</m:t>
            </m:r>
            <m:ctrlPr>
              <w:rPr>
                <w:rFonts w:ascii="Cambria Math" w:hAnsi="Cambria Math"/>
                <w:sz w:val="21"/>
              </w:rPr>
            </m:ctrlPr>
          </m:sub>
        </m:sSub>
      </m:oMath>
      <w:r>
        <w:rPr>
          <w:rFonts w:hint="eastAsia" w:cs="宋体"/>
          <w:kern w:val="0"/>
          <w:szCs w:val="21"/>
        </w:rPr>
        <w:t>以及任务的执行时长</w:t>
      </w:r>
      <m:oMath>
        <m:r>
          <m:rPr>
            <m:sty m:val="p"/>
          </m:rPr>
          <w:rPr>
            <w:rFonts w:hint="default" w:ascii="Cambria Math" w:hAnsi="Cambria Math"/>
            <w:sz w:val="21"/>
          </w:rPr>
          <m:t>Δ</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rPr>
          <w:rFonts w:hint="eastAsia" w:cs="宋体"/>
          <w:kern w:val="0"/>
          <w:szCs w:val="21"/>
        </w:rPr>
        <w:t>共同决定。总成本可表示为：</w:t>
      </w:r>
    </w:p>
    <w:tbl>
      <w:tblPr>
        <w:tblStyle w:val="12"/>
        <w:tblW w:w="82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572"/>
        <w:gridCol w:w="723"/>
      </w:tblGrid>
      <w:tr w14:paraId="389E9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7" w:hRule="exact"/>
          <w:jc w:val="center"/>
        </w:trPr>
        <w:tc>
          <w:tcPr>
            <w:tcW w:w="7572" w:type="dxa"/>
            <w:noWrap/>
            <w:vAlign w:val="center"/>
          </w:tcPr>
          <w:p w14:paraId="001EF03E">
            <w:pPr>
              <w:spacing w:line="360" w:lineRule="auto"/>
              <w:rPr>
                <w:rFonts w:hint="default"/>
                <w:sz w:val="16"/>
                <w:szCs w:val="16"/>
                <w:lang w:val="en-US"/>
              </w:rPr>
            </w:pPr>
            <m:oMathPara>
              <m:oMath>
                <m:r>
                  <m:rPr/>
                  <w:rPr>
                    <w:rFonts w:hint="default" w:ascii="Cambria Math" w:hAnsi="Cambria Math"/>
                    <w:sz w:val="21"/>
                  </w:rPr>
                  <m:t>Cost(</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m:t>
                </m:r>
                <m:nary>
                  <m:naryPr>
                    <m:chr m:val="∑"/>
                    <m:limLoc m:val="undOvr"/>
                    <m:ctrlPr>
                      <w:rPr>
                        <w:rFonts w:hint="default" w:ascii="Cambria Math" w:hAnsi="Cambria Math"/>
                        <w:i/>
                        <w:sz w:val="21"/>
                      </w:rPr>
                    </m:ctrlPr>
                  </m:naryPr>
                  <m:sub>
                    <m:r>
                      <m:rPr/>
                      <w:rPr>
                        <w:rFonts w:hint="default" w:ascii="Cambria Math" w:hAnsi="Cambria Math"/>
                        <w:sz w:val="21"/>
                      </w:rPr>
                      <m:t>r=1</m:t>
                    </m:r>
                    <m:ctrlPr>
                      <w:rPr>
                        <w:rFonts w:ascii="Cambria Math" w:hAnsi="Cambria Math"/>
                        <w:sz w:val="21"/>
                      </w:rPr>
                    </m:ctrlPr>
                  </m:sub>
                  <m:sup>
                    <m:r>
                      <m:rPr/>
                      <w:rPr>
                        <w:rFonts w:hint="default" w:ascii="Cambria Math" w:hAnsi="Cambria Math"/>
                        <w:sz w:val="21"/>
                      </w:rPr>
                      <m:t>R</m:t>
                    </m:r>
                    <m:ctrlPr>
                      <w:rPr>
                        <w:rFonts w:ascii="Cambria Math" w:hAnsi="Cambria Math"/>
                        <w:sz w:val="21"/>
                      </w:rPr>
                    </m:ctrlPr>
                  </m:sup>
                  <m:e>
                    <m:nary>
                      <m:naryPr>
                        <m:limLoc m:val="subSup"/>
                        <m:ctrlPr>
                          <w:rPr>
                            <w:rFonts w:hint="default" w:ascii="Cambria Math" w:hAnsi="Cambria Math"/>
                            <w:i/>
                            <w:sz w:val="21"/>
                          </w:rPr>
                        </m:ctrlPr>
                      </m:naryPr>
                      <m:sub>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start</m:t>
                            </m:r>
                            <m:ctrlPr>
                              <w:rPr>
                                <w:rFonts w:ascii="Cambria Math" w:hAnsi="Cambria Math"/>
                                <w:sz w:val="21"/>
                              </w:rPr>
                            </m:ctrlPr>
                          </m:sub>
                        </m:sSub>
                        <m:ctrlPr>
                          <w:rPr>
                            <w:rFonts w:hint="default" w:ascii="Cambria Math" w:hAnsi="Cambria Math"/>
                            <w:sz w:val="21"/>
                          </w:rPr>
                        </m:ctrlPr>
                      </m:sub>
                      <m:sup>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end</m:t>
                            </m:r>
                            <m:ctrlPr>
                              <w:rPr>
                                <w:rFonts w:ascii="Cambria Math" w:hAnsi="Cambria Math"/>
                                <w:sz w:val="21"/>
                              </w:rPr>
                            </m:ctrlPr>
                          </m:sub>
                        </m:sSub>
                        <m:ctrlPr>
                          <w:rPr>
                            <w:rFonts w:hint="default"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j,r</m:t>
                            </m:r>
                            <m:ctrlPr>
                              <w:rPr>
                                <w:rFonts w:ascii="Cambria Math" w:hAnsi="Cambria Math"/>
                                <w:sz w:val="21"/>
                              </w:rPr>
                            </m:ctrlPr>
                          </m:sub>
                        </m:sSub>
                        <m:ctrlPr>
                          <w:rPr>
                            <w:rFonts w:hint="default" w:ascii="Cambria Math" w:hAnsi="Cambria Math"/>
                            <w:sz w:val="21"/>
                          </w:rPr>
                        </m:ctrlPr>
                      </m:e>
                    </m:nary>
                    <m:ctrlPr>
                      <w:rPr>
                        <w:rFonts w:hint="default" w:ascii="Cambria Math" w:hAnsi="Cambria Math"/>
                        <w:i/>
                        <w:sz w:val="21"/>
                      </w:rPr>
                    </m:ctrlPr>
                  </m:e>
                </m:nary>
                <m:r>
                  <m:rPr/>
                  <w:rPr>
                    <w:rFonts w:hint="default" w:ascii="Cambria Math" w:hAnsi="Cambria Math"/>
                    <w:sz w:val="21"/>
                  </w:rPr>
                  <m:t>(τ)⋅</m:t>
                </m:r>
                <m:sSub>
                  <m:sSubPr>
                    <m:ctrlPr>
                      <w:rPr>
                        <w:rFonts w:hint="default" w:ascii="Cambria Math" w:hAnsi="Cambria Math"/>
                        <w:sz w:val="21"/>
                      </w:rPr>
                    </m:ctrlPr>
                  </m:sSubPr>
                  <m:e>
                    <m:r>
                      <m:rPr/>
                      <w:rPr>
                        <w:rFonts w:hint="default" w:ascii="Cambria Math" w:hAnsi="Cambria Math"/>
                        <w:sz w:val="21"/>
                      </w:rPr>
                      <m:t>d</m:t>
                    </m:r>
                    <m:ctrlPr>
                      <w:rPr>
                        <w:rFonts w:hint="default" w:ascii="Cambria Math" w:hAnsi="Cambria Math"/>
                        <w:i/>
                        <w:sz w:val="21"/>
                      </w:rPr>
                    </m:ctrlPr>
                  </m:e>
                  <m:sub>
                    <m:r>
                      <m:rPr/>
                      <w:rPr>
                        <w:rFonts w:hint="default" w:ascii="Cambria Math" w:hAnsi="Cambria Math"/>
                        <w:sz w:val="21"/>
                      </w:rPr>
                      <m:t>i,r</m:t>
                    </m:r>
                    <m:ctrlPr>
                      <w:rPr>
                        <w:rFonts w:hint="default" w:ascii="Cambria Math" w:hAnsi="Cambria Math"/>
                        <w:i/>
                        <w:sz w:val="21"/>
                      </w:rPr>
                    </m:ctrlPr>
                  </m:sub>
                </m:sSub>
                <m:r>
                  <m:rPr/>
                  <w:rPr>
                    <w:rFonts w:hint="default" w:ascii="Cambria Math" w:hAnsi="Cambria Math"/>
                    <w:sz w:val="21"/>
                  </w:rPr>
                  <m:t> dτ</m:t>
                </m:r>
              </m:oMath>
            </m:oMathPara>
          </w:p>
        </w:tc>
        <w:tc>
          <w:tcPr>
            <w:tcW w:w="723" w:type="dxa"/>
            <w:noWrap/>
            <w:vAlign w:val="top"/>
          </w:tcPr>
          <w:p w14:paraId="3049B3BB">
            <w:pPr>
              <w:keepNext w:val="0"/>
              <w:keepLines w:val="0"/>
              <w:suppressLineNumbers w:val="0"/>
              <w:spacing w:before="0" w:beforeAutospacing="0" w:after="0" w:afterAutospacing="0"/>
              <w:ind w:left="0" w:right="0" w:firstLine="0"/>
              <w:jc w:val="center"/>
              <w:rPr>
                <w:rFonts w:hint="default"/>
                <w:sz w:val="21"/>
                <w:szCs w:val="21"/>
              </w:rPr>
            </w:pPr>
          </w:p>
          <w:p w14:paraId="64526E69">
            <w:pPr>
              <w:keepNext w:val="0"/>
              <w:keepLines w:val="0"/>
              <w:suppressLineNumbers w:val="0"/>
              <w:spacing w:before="0" w:beforeAutospacing="0" w:after="0" w:afterAutospacing="0"/>
              <w:ind w:left="0" w:right="0" w:firstLine="0"/>
              <w:jc w:val="center"/>
              <w:rPr>
                <w:rFonts w:hint="default"/>
                <w:sz w:val="21"/>
                <w:szCs w:val="21"/>
              </w:rPr>
            </w:pPr>
            <w:r>
              <w:rPr>
                <w:rFonts w:hint="default"/>
                <w:sz w:val="21"/>
                <w:szCs w:val="21"/>
              </w:rPr>
              <w:t>(</w:t>
            </w:r>
            <w:r>
              <w:rPr>
                <w:rFonts w:hint="default"/>
                <w:sz w:val="21"/>
                <w:szCs w:val="21"/>
              </w:rPr>
              <w:fldChar w:fldCharType="begin"/>
            </w:r>
            <w:r>
              <w:rPr>
                <w:rFonts w:hint="default"/>
                <w:sz w:val="21"/>
                <w:szCs w:val="21"/>
              </w:rPr>
              <w:instrText xml:space="preserve"> SEQ 公式 \* ARABIC \s 1 </w:instrText>
            </w:r>
            <w:r>
              <w:rPr>
                <w:rFonts w:hint="default"/>
                <w:sz w:val="21"/>
                <w:szCs w:val="21"/>
              </w:rPr>
              <w:fldChar w:fldCharType="separate"/>
            </w:r>
            <w:r>
              <w:rPr>
                <w:rFonts w:hint="default"/>
                <w:sz w:val="21"/>
                <w:szCs w:val="21"/>
              </w:rPr>
              <w:t>1</w:t>
            </w:r>
            <w:r>
              <w:rPr>
                <w:rFonts w:hint="default"/>
                <w:sz w:val="21"/>
                <w:szCs w:val="21"/>
              </w:rPr>
              <w:fldChar w:fldCharType="end"/>
            </w:r>
            <w:r>
              <w:rPr>
                <w:rFonts w:hint="default"/>
                <w:sz w:val="21"/>
                <w:szCs w:val="21"/>
              </w:rPr>
              <w:t>)</w:t>
            </w:r>
          </w:p>
          <w:p w14:paraId="3686BCB1">
            <w:pPr>
              <w:keepNext w:val="0"/>
              <w:keepLines w:val="0"/>
              <w:suppressLineNumbers w:val="0"/>
              <w:spacing w:before="0" w:beforeAutospacing="0" w:after="0" w:afterAutospacing="0"/>
              <w:ind w:left="0" w:right="0" w:firstLine="0"/>
              <w:jc w:val="center"/>
              <w:rPr>
                <w:rFonts w:hint="default"/>
                <w:sz w:val="21"/>
                <w:szCs w:val="21"/>
              </w:rPr>
            </w:pPr>
          </w:p>
          <w:p w14:paraId="492EB55A">
            <w:pPr>
              <w:keepNext w:val="0"/>
              <w:keepLines w:val="0"/>
              <w:suppressLineNumbers w:val="0"/>
              <w:spacing w:before="0" w:beforeAutospacing="0" w:after="0" w:afterAutospacing="0"/>
              <w:ind w:left="0" w:right="0" w:firstLine="0"/>
              <w:jc w:val="center"/>
              <w:rPr>
                <w:rFonts w:hint="default"/>
                <w:sz w:val="21"/>
                <w:szCs w:val="21"/>
              </w:rPr>
            </w:pPr>
          </w:p>
        </w:tc>
      </w:tr>
    </w:tbl>
    <w:p w14:paraId="29122035">
      <w:pPr>
        <w:spacing w:line="360" w:lineRule="auto"/>
        <w:rPr>
          <w:rFonts w:hint="eastAsia" w:cs="宋体"/>
          <w:kern w:val="0"/>
          <w:szCs w:val="21"/>
        </w:rPr>
      </w:pPr>
      <w:r>
        <w:rPr>
          <w:rFonts w:hint="eastAsia" w:hAnsi="Cambria Math" w:cs="宋体"/>
          <w:i w:val="0"/>
          <w:kern w:val="0"/>
          <w:sz w:val="21"/>
          <w:szCs w:val="21"/>
          <w:lang w:val="en-US" w:bidi="ar-SA"/>
        </w:rPr>
        <w:t>其中</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start</m:t>
            </m:r>
            <m:ctrlPr>
              <w:rPr>
                <w:rFonts w:ascii="Cambria Math" w:hAnsi="Cambria Math"/>
                <w:sz w:val="21"/>
              </w:rPr>
            </m:ctrlPr>
          </m:sub>
        </m:sSub>
      </m:oMath>
      <w:r>
        <w:rPr>
          <w:rFonts w:hint="eastAsia" w:hAnsi="Cambria Math" w:cs="宋体"/>
          <w:i w:val="0"/>
          <w:kern w:val="0"/>
          <w:sz w:val="21"/>
          <w:szCs w:val="21"/>
          <w:lang w:val="en-US" w:bidi="ar-SA"/>
        </w:rPr>
        <w:t>和</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end</m:t>
            </m:r>
            <m:ctrlPr>
              <w:rPr>
                <w:rFonts w:ascii="Cambria Math" w:hAnsi="Cambria Math"/>
                <w:sz w:val="21"/>
              </w:rPr>
            </m:ctrlPr>
          </m:sub>
        </m:sSub>
      </m:oMath>
      <w:r>
        <w:rPr>
          <w:rFonts w:hint="eastAsia" w:hAnsi="Cambria Math" w:cs="宋体"/>
          <w:i w:val="0"/>
          <w:kern w:val="0"/>
          <w:sz w:val="21"/>
          <w:szCs w:val="21"/>
          <w:lang w:val="en-US" w:bidi="ar-SA"/>
        </w:rPr>
        <w:t>分别为任务的开始与结束执行时间。在本模型中，价格</w:t>
      </w:r>
      <m:oMath>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j,r</m:t>
            </m:r>
            <m:ctrlPr>
              <w:rPr>
                <w:rFonts w:ascii="Cambria Math" w:hAnsi="Cambria Math"/>
                <w:sz w:val="21"/>
              </w:rPr>
            </m:ctrlPr>
          </m:sub>
        </m:sSub>
        <m:r>
          <m:rPr/>
          <w:rPr>
            <w:rFonts w:hint="default" w:ascii="Cambria Math" w:hAnsi="Cambria Math"/>
            <w:sz w:val="21"/>
          </w:rPr>
          <m:t>(t)</m:t>
        </m:r>
      </m:oMath>
      <w:r>
        <w:rPr>
          <w:rFonts w:hint="eastAsia" w:hAnsi="Cambria Math" w:cs="宋体"/>
          <w:i w:val="0"/>
          <w:kern w:val="0"/>
          <w:sz w:val="21"/>
          <w:szCs w:val="21"/>
          <w:lang w:val="en-US" w:bidi="ar-SA"/>
        </w:rPr>
        <w:t>并非静态设定，而是由每个节点根据自身状态动态调整，这是实现自适应调度的关键机制之一。</w:t>
      </w:r>
    </w:p>
    <w:p w14:paraId="7A54E1AD">
      <w:pPr>
        <w:pStyle w:val="2"/>
        <w:spacing w:before="0" w:after="0" w:line="360" w:lineRule="auto"/>
        <w:rPr>
          <w:rFonts w:hint="eastAsia" w:cs="宋体"/>
          <w:kern w:val="0"/>
          <w:szCs w:val="21"/>
        </w:rPr>
      </w:pPr>
      <w:r>
        <w:rPr>
          <w:rFonts w:hint="eastAsia" w:ascii="Times New Roman" w:hAnsi="Times New Roman" w:eastAsia="宋体"/>
          <w:bCs w:val="0"/>
          <w:kern w:val="0"/>
          <w:sz w:val="21"/>
          <w:szCs w:val="21"/>
          <w:lang w:val="en-US" w:eastAsia="zh-CN"/>
        </w:rPr>
        <w:t>3</w:t>
      </w:r>
      <w:r>
        <w:rPr>
          <w:rFonts w:hint="eastAsia" w:ascii="Times New Roman" w:hAnsi="Times New Roman" w:eastAsia="宋体"/>
          <w:bCs w:val="0"/>
          <w:kern w:val="0"/>
          <w:sz w:val="21"/>
          <w:szCs w:val="21"/>
        </w:rPr>
        <w:t>.</w:t>
      </w:r>
      <w:r>
        <w:rPr>
          <w:rFonts w:hint="eastAsia" w:ascii="Times New Roman" w:hAnsi="Times New Roman" w:eastAsia="宋体"/>
          <w:bCs w:val="0"/>
          <w:kern w:val="0"/>
          <w:sz w:val="21"/>
          <w:szCs w:val="21"/>
          <w:lang w:val="en-US" w:eastAsia="zh-CN"/>
        </w:rPr>
        <w:t>3</w:t>
      </w:r>
      <w:r>
        <w:rPr>
          <w:rFonts w:hint="eastAsia" w:ascii="Times New Roman" w:hAnsi="Times New Roman" w:eastAsia="宋体"/>
          <w:bCs w:val="0"/>
          <w:kern w:val="0"/>
          <w:sz w:val="21"/>
          <w:szCs w:val="21"/>
        </w:rPr>
        <w:t xml:space="preserve">  </w:t>
      </w:r>
      <w:r>
        <w:rPr>
          <w:rFonts w:hint="eastAsia" w:ascii="Times New Roman" w:hAnsi="Times New Roman" w:eastAsia="宋体"/>
          <w:bCs w:val="0"/>
          <w:kern w:val="0"/>
          <w:sz w:val="21"/>
          <w:szCs w:val="21"/>
          <w:lang w:val="en-US" w:eastAsia="zh-CN"/>
        </w:rPr>
        <w:t>任务QoS需求向量</w:t>
      </w:r>
    </w:p>
    <w:p w14:paraId="4B0473AD">
      <w:pPr>
        <w:spacing w:line="360" w:lineRule="auto"/>
        <w:ind w:firstLine="420" w:firstLineChars="200"/>
        <w:rPr>
          <w:rFonts w:hint="eastAsia" w:cs="宋体"/>
          <w:kern w:val="0"/>
          <w:szCs w:val="21"/>
        </w:rPr>
      </w:pPr>
      <w:r>
        <w:rPr>
          <w:rFonts w:hint="eastAsia" w:cs="宋体"/>
          <w:kern w:val="0"/>
          <w:szCs w:val="21"/>
        </w:rPr>
        <w:t>为了突破传统静态优先级的局限性，实现对任务状态的精细化、动态感知，我们为每个任务</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rPr>
          <w:rFonts w:hint="eastAsia" w:cs="宋体"/>
          <w:kern w:val="0"/>
          <w:szCs w:val="21"/>
        </w:rPr>
        <w:t>定义了一个随时间演化的QoS需求向量</w:t>
      </w:r>
      <m:oMath>
        <m:sSub>
          <m:sSubPr>
            <m:ctrlPr>
              <w:rPr>
                <w:rFonts w:hint="default" w:ascii="Cambria Math" w:hAnsi="Cambria Math"/>
                <w:sz w:val="21"/>
              </w:rPr>
            </m:ctrlPr>
          </m:sSubPr>
          <m:e>
            <m:r>
              <m:rPr>
                <m:sty m:val="b"/>
              </m:rPr>
              <w:rPr>
                <w:rFonts w:hint="default" w:ascii="Cambria Math" w:hAnsi="Cambria Math"/>
                <w:sz w:val="21"/>
              </w:rPr>
              <m:t>Q</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m:t>
        </m:r>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,S</m:t>
        </m:r>
        <m:sSub>
          <m:sSubPr>
            <m:ctrlPr>
              <w:rPr>
                <w:rFonts w:hint="default" w:ascii="Cambria Math" w:hAnsi="Cambria Math"/>
                <w:sz w:val="21"/>
              </w:rPr>
            </m:ctrlPr>
          </m:sSubPr>
          <m:e>
            <m:r>
              <m:rPr/>
              <w:rPr>
                <w:rFonts w:hint="default" w:ascii="Cambria Math" w:hAnsi="Cambria Math"/>
                <w:sz w:val="21"/>
              </w:rPr>
              <m:t>a</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m:t>
        </m:r>
      </m:oMath>
      <w:r>
        <w:rPr>
          <w:rFonts w:hint="eastAsia" w:cs="宋体"/>
          <w:kern w:val="0"/>
          <w:szCs w:val="21"/>
        </w:rPr>
        <w:t>。该三维向量从不同维度刻画了任务在时刻</w:t>
      </w:r>
      <m:oMath>
        <m:r>
          <m:rPr/>
          <w:rPr>
            <w:rFonts w:hint="default" w:ascii="Cambria Math" w:hAnsi="Cambria Math"/>
            <w:sz w:val="21"/>
          </w:rPr>
          <m:t>t</m:t>
        </m:r>
      </m:oMath>
      <w:r>
        <w:rPr>
          <w:rFonts w:hint="eastAsia" w:cs="宋体"/>
          <w:kern w:val="0"/>
          <w:szCs w:val="21"/>
        </w:rPr>
        <w:t>对服务质量的“渴望”程度。</w:t>
      </w:r>
    </w:p>
    <w:p w14:paraId="0FDFE0F4">
      <w:pPr>
        <w:spacing w:line="360" w:lineRule="auto"/>
        <w:ind w:firstLine="420" w:firstLineChars="200"/>
        <w:rPr>
          <w:rFonts w:hint="eastAsia" w:cs="宋体"/>
          <w:kern w:val="0"/>
          <w:szCs w:val="21"/>
        </w:rPr>
      </w:pPr>
      <w:r>
        <w:rPr>
          <w:rFonts w:hint="eastAsia" w:cs="宋体"/>
          <w:kern w:val="0"/>
          <w:szCs w:val="21"/>
        </w:rPr>
        <w:t>紧迫度（Urgency,</w:t>
      </w:r>
      <m:oMath>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m:t>
        </m:r>
      </m:oMath>
      <w:r>
        <w:rPr>
          <w:rFonts w:hint="eastAsia" w:cs="宋体"/>
          <w:kern w:val="0"/>
          <w:szCs w:val="21"/>
        </w:rPr>
        <w:t>）反映了任务距离其截止时间</w:t>
      </w:r>
      <m:oMath>
        <m:r>
          <m:rPr/>
          <w:rPr>
            <w:rFonts w:hint="default" w:ascii="Cambria Math" w:hAnsi="Cambria Math"/>
            <w:sz w:val="21"/>
          </w:rPr>
          <m:t>deadlin</m:t>
        </m:r>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rPr>
          <w:rFonts w:hint="eastAsia" w:cs="宋体"/>
          <w:kern w:val="0"/>
          <w:szCs w:val="21"/>
        </w:rPr>
        <w:t>的紧迫程度。它被定义为一个非线性函数，随着任务已等待时间</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wait</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current</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arrival</m:t>
            </m:r>
            <m:ctrlPr>
              <w:rPr>
                <w:rFonts w:ascii="Cambria Math" w:hAnsi="Cambria Math"/>
                <w:sz w:val="21"/>
              </w:rPr>
            </m:ctrlPr>
          </m:sub>
        </m:sSub>
      </m:oMath>
      <w:r>
        <w:rPr>
          <w:rFonts w:hint="eastAsia" w:cs="宋体"/>
          <w:kern w:val="0"/>
          <w:szCs w:val="21"/>
        </w:rPr>
        <w:t>的增加而呈指数级增长，并在接近截止时间时迅速趋近于极大值。这种设计确保即将超时的任务能够获得极高的关注度。其数学形式为：</w:t>
      </w:r>
    </w:p>
    <w:tbl>
      <w:tblPr>
        <w:tblStyle w:val="12"/>
        <w:tblW w:w="82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572"/>
        <w:gridCol w:w="723"/>
      </w:tblGrid>
      <w:tr w14:paraId="68C09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7" w:hRule="exact"/>
          <w:jc w:val="center"/>
        </w:trPr>
        <w:tc>
          <w:tcPr>
            <w:tcW w:w="7572" w:type="dxa"/>
            <w:noWrap/>
            <w:vAlign w:val="center"/>
          </w:tcPr>
          <w:p w14:paraId="4CDA3252">
            <w:pPr>
              <w:spacing w:line="360" w:lineRule="auto"/>
              <w:rPr>
                <w:rFonts w:hint="default"/>
                <w:sz w:val="16"/>
                <w:szCs w:val="16"/>
                <w:lang w:val="en-US"/>
              </w:rPr>
            </w:pPr>
            <m:oMathPara>
              <m:oMath>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m:t>
                </m:r>
                <m:func>
                  <m:funcPr>
                    <m:ctrlPr>
                      <w:rPr>
                        <w:rFonts w:hint="default" w:ascii="Cambria Math" w:hAnsi="Cambria Math"/>
                        <w:sz w:val="21"/>
                      </w:rPr>
                    </m:ctrlPr>
                  </m:funcPr>
                  <m:fName>
                    <m:r>
                      <m:rPr>
                        <m:sty m:val="p"/>
                      </m:rPr>
                      <w:rPr>
                        <w:rFonts w:hint="default" w:ascii="Cambria Math" w:hAnsi="Cambria Math"/>
                        <w:sz w:val="21"/>
                      </w:rPr>
                      <m:t>exp</m:t>
                    </m:r>
                    <m:ctrlPr>
                      <w:rPr>
                        <w:rFonts w:ascii="Cambria Math" w:hAnsi="Cambria Math"/>
                        <w:sz w:val="21"/>
                      </w:rPr>
                    </m:ctrlPr>
                  </m:fName>
                  <m:e>
                    <m:d>
                      <m:dPr>
                        <m:ctrlPr>
                          <w:rPr>
                            <w:rFonts w:hint="default" w:ascii="Cambria Math" w:hAnsi="Cambria Math"/>
                            <w:i/>
                            <w:sz w:val="21"/>
                          </w:rPr>
                        </m:ctrlPr>
                      </m:dPr>
                      <m:e>
                        <m:f>
                          <m:fPr>
                            <m:ctrlPr>
                              <w:rPr>
                                <w:rFonts w:hint="default" w:ascii="Cambria Math" w:hAnsi="Cambria Math"/>
                                <w:i/>
                                <w:sz w:val="21"/>
                              </w:rPr>
                            </m:ctrlPr>
                          </m:fPr>
                          <m:num>
                            <m:r>
                              <m:rPr/>
                              <w:rPr>
                                <w:rFonts w:hint="default" w:ascii="Cambria Math" w:hAnsi="Cambria Math"/>
                                <w:sz w:val="21"/>
                              </w:rPr>
                              <m:t>α⋅(</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current</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arrival</m:t>
                                </m:r>
                                <m:ctrlPr>
                                  <w:rPr>
                                    <w:rFonts w:ascii="Cambria Math" w:hAnsi="Cambria Math"/>
                                    <w:sz w:val="21"/>
                                  </w:rPr>
                                </m:ctrlPr>
                              </m:sub>
                            </m:sSub>
                            <m:r>
                              <m:rPr/>
                              <w:rPr>
                                <w:rFonts w:hint="default" w:ascii="Cambria Math" w:hAnsi="Cambria Math"/>
                                <w:sz w:val="21"/>
                              </w:rPr>
                              <m:t>)</m:t>
                            </m:r>
                            <m:ctrlPr>
                              <w:rPr>
                                <w:rFonts w:hint="default" w:ascii="Cambria Math" w:hAnsi="Cambria Math"/>
                                <w:sz w:val="21"/>
                              </w:rPr>
                            </m:ctrlPr>
                          </m:num>
                          <m:den>
                            <m:r>
                              <m:rPr/>
                              <w:rPr>
                                <w:rFonts w:hint="default" w:ascii="Cambria Math" w:hAnsi="Cambria Math"/>
                                <w:sz w:val="21"/>
                              </w:rPr>
                              <m:t>deadlin</m:t>
                            </m:r>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current</m:t>
                                </m:r>
                                <m:ctrlPr>
                                  <w:rPr>
                                    <w:rFonts w:ascii="Cambria Math" w:hAnsi="Cambria Math"/>
                                    <w:sz w:val="21"/>
                                  </w:rPr>
                                </m:ctrlPr>
                              </m:sub>
                            </m:sSub>
                            <m:ctrlPr>
                              <w:rPr>
                                <w:rFonts w:hint="default" w:ascii="Cambria Math" w:hAnsi="Cambria Math"/>
                                <w:sz w:val="21"/>
                              </w:rPr>
                            </m:ctrlPr>
                          </m:den>
                        </m:f>
                        <m:ctrlPr>
                          <w:rPr>
                            <w:rFonts w:hint="default" w:ascii="Cambria Math" w:hAnsi="Cambria Math"/>
                            <w:i/>
                            <w:sz w:val="21"/>
                          </w:rPr>
                        </m:ctrlPr>
                      </m:e>
                    </m:d>
                    <m:ctrlPr>
                      <w:rPr>
                        <w:rFonts w:hint="default" w:ascii="Cambria Math" w:hAnsi="Cambria Math"/>
                        <w:i/>
                        <w:sz w:val="21"/>
                      </w:rPr>
                    </m:ctrlPr>
                  </m:e>
                </m:func>
              </m:oMath>
            </m:oMathPara>
          </w:p>
        </w:tc>
        <w:tc>
          <w:tcPr>
            <w:tcW w:w="723" w:type="dxa"/>
            <w:noWrap/>
            <w:vAlign w:val="top"/>
          </w:tcPr>
          <w:p w14:paraId="24693806">
            <w:pPr>
              <w:keepNext w:val="0"/>
              <w:keepLines w:val="0"/>
              <w:suppressLineNumbers w:val="0"/>
              <w:spacing w:before="0" w:beforeAutospacing="0" w:after="0" w:afterAutospacing="0"/>
              <w:ind w:left="0" w:right="0" w:firstLine="0"/>
              <w:jc w:val="center"/>
              <w:rPr>
                <w:rFonts w:hint="default"/>
                <w:sz w:val="21"/>
                <w:szCs w:val="21"/>
              </w:rPr>
            </w:pPr>
          </w:p>
          <w:p w14:paraId="524C1619">
            <w:pPr>
              <w:keepNext w:val="0"/>
              <w:keepLines w:val="0"/>
              <w:suppressLineNumbers w:val="0"/>
              <w:spacing w:before="0" w:beforeAutospacing="0" w:after="0" w:afterAutospacing="0"/>
              <w:ind w:left="0" w:right="0" w:firstLine="0"/>
              <w:jc w:val="center"/>
              <w:rPr>
                <w:rFonts w:hint="default"/>
                <w:sz w:val="21"/>
                <w:szCs w:val="21"/>
              </w:rPr>
            </w:pPr>
            <w:r>
              <w:rPr>
                <w:rFonts w:hint="default"/>
                <w:sz w:val="21"/>
                <w:szCs w:val="21"/>
              </w:rPr>
              <w:t>(</w:t>
            </w:r>
            <w:r>
              <w:rPr>
                <w:rFonts w:hint="default"/>
                <w:sz w:val="21"/>
                <w:szCs w:val="21"/>
              </w:rPr>
              <w:fldChar w:fldCharType="begin"/>
            </w:r>
            <w:r>
              <w:rPr>
                <w:rFonts w:hint="default"/>
                <w:sz w:val="21"/>
                <w:szCs w:val="21"/>
              </w:rPr>
              <w:instrText xml:space="preserve"> SEQ 公式 \* ARABIC \s 1 </w:instrText>
            </w:r>
            <w:r>
              <w:rPr>
                <w:rFonts w:hint="default"/>
                <w:sz w:val="21"/>
                <w:szCs w:val="21"/>
              </w:rPr>
              <w:fldChar w:fldCharType="separate"/>
            </w:r>
            <w:r>
              <w:rPr>
                <w:rFonts w:hint="default"/>
                <w:sz w:val="21"/>
                <w:szCs w:val="21"/>
              </w:rPr>
              <w:t>2</w:t>
            </w:r>
            <w:r>
              <w:rPr>
                <w:rFonts w:hint="default"/>
                <w:sz w:val="21"/>
                <w:szCs w:val="21"/>
              </w:rPr>
              <w:fldChar w:fldCharType="end"/>
            </w:r>
            <w:r>
              <w:rPr>
                <w:rFonts w:hint="default"/>
                <w:sz w:val="21"/>
                <w:szCs w:val="21"/>
              </w:rPr>
              <w:t>)</w:t>
            </w:r>
          </w:p>
          <w:p w14:paraId="676758DD">
            <w:pPr>
              <w:keepNext w:val="0"/>
              <w:keepLines w:val="0"/>
              <w:suppressLineNumbers w:val="0"/>
              <w:spacing w:before="0" w:beforeAutospacing="0" w:after="0" w:afterAutospacing="0"/>
              <w:ind w:left="0" w:right="0" w:firstLine="0"/>
              <w:jc w:val="center"/>
              <w:rPr>
                <w:rFonts w:hint="default"/>
                <w:sz w:val="21"/>
                <w:szCs w:val="21"/>
              </w:rPr>
            </w:pPr>
          </w:p>
          <w:p w14:paraId="199C7986">
            <w:pPr>
              <w:keepNext w:val="0"/>
              <w:keepLines w:val="0"/>
              <w:suppressLineNumbers w:val="0"/>
              <w:spacing w:before="0" w:beforeAutospacing="0" w:after="0" w:afterAutospacing="0"/>
              <w:ind w:left="0" w:right="0" w:firstLine="0"/>
              <w:jc w:val="center"/>
              <w:rPr>
                <w:rFonts w:hint="default"/>
                <w:sz w:val="21"/>
                <w:szCs w:val="21"/>
              </w:rPr>
            </w:pPr>
          </w:p>
        </w:tc>
      </w:tr>
    </w:tbl>
    <w:p w14:paraId="2912A540">
      <w:pPr>
        <w:spacing w:line="360" w:lineRule="auto"/>
        <w:rPr>
          <w:rFonts w:hint="eastAsia" w:cs="宋体"/>
          <w:kern w:val="0"/>
          <w:szCs w:val="21"/>
        </w:rPr>
      </w:pPr>
      <w:r>
        <w:rPr>
          <w:rFonts w:hint="eastAsia" w:cs="宋体"/>
          <w:kern w:val="0"/>
          <w:szCs w:val="21"/>
        </w:rPr>
        <w:t>其中</w:t>
      </w:r>
      <m:oMath>
        <m:r>
          <m:rPr/>
          <w:rPr>
            <w:rFonts w:hint="default" w:ascii="Cambria Math" w:hAnsi="Cambria Math"/>
            <w:sz w:val="21"/>
          </w:rPr>
          <m:t>α</m:t>
        </m:r>
      </m:oMath>
      <w:r>
        <w:rPr>
          <w:rFonts w:hint="eastAsia" w:cs="宋体"/>
          <w:kern w:val="0"/>
          <w:szCs w:val="21"/>
        </w:rPr>
        <w:t>是一个调节紧迫度增长速率的超参数，</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current</m:t>
            </m:r>
            <m:ctrlPr>
              <w:rPr>
                <w:rFonts w:ascii="Cambria Math" w:hAnsi="Cambria Math"/>
                <w:sz w:val="21"/>
              </w:rPr>
            </m:ctrlPr>
          </m:sub>
        </m:sSub>
      </m:oMath>
      <w:r>
        <w:rPr>
          <w:rFonts w:hint="eastAsia" w:cs="宋体"/>
          <w:kern w:val="0"/>
          <w:szCs w:val="21"/>
        </w:rPr>
        <w:t>为当前时刻，</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arrival</m:t>
            </m:r>
            <m:ctrlPr>
              <w:rPr>
                <w:rFonts w:ascii="Cambria Math" w:hAnsi="Cambria Math"/>
                <w:sz w:val="21"/>
              </w:rPr>
            </m:ctrlPr>
          </m:sub>
        </m:sSub>
      </m:oMath>
      <w:r>
        <w:rPr>
          <w:rFonts w:hint="eastAsia" w:cs="宋体"/>
          <w:kern w:val="0"/>
          <w:szCs w:val="21"/>
        </w:rPr>
        <w:t>为任务到达时刻。</w:t>
      </w:r>
    </w:p>
    <w:p w14:paraId="3BA6A8B7">
      <w:pPr>
        <w:spacing w:line="360" w:lineRule="auto"/>
        <w:ind w:firstLine="420" w:firstLineChars="200"/>
        <w:rPr>
          <w:rFonts w:hAnsi="Cambria Math"/>
          <w:i w:val="0"/>
          <w:sz w:val="21"/>
        </w:rPr>
      </w:pPr>
      <w:r>
        <w:rPr>
          <w:rFonts w:hint="eastAsia" w:cs="宋体"/>
          <w:kern w:val="0"/>
          <w:szCs w:val="21"/>
        </w:rPr>
        <w:t xml:space="preserve">重要性（Significance, </w:t>
      </w:r>
      <m:oMath>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rPr>
          <w:rFonts w:hint="eastAsia" w:cs="宋体"/>
          <w:kern w:val="0"/>
          <w:szCs w:val="21"/>
        </w:rPr>
        <w:t>） 代表了任务的内在业务价值，是一个相对静态的属性，主要由任务的类别和用户为其设定的成本预算</w:t>
      </w:r>
      <m:oMath>
        <m:sSub>
          <m:sSubPr>
            <m:ctrlPr>
              <w:rPr>
                <w:rFonts w:hint="default" w:ascii="Cambria Math" w:hAnsi="Cambria Math"/>
                <w:sz w:val="21"/>
              </w:rPr>
            </m:ctrlPr>
          </m:sSubPr>
          <m:e>
            <m:r>
              <m:rPr/>
              <w:rPr>
                <w:rFonts w:hint="default" w:ascii="Cambria Math" w:hAnsi="Cambria Math"/>
                <w:sz w:val="21"/>
              </w:rPr>
              <m:t>B</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rPr>
          <w:rFonts w:hint="eastAsia" w:cs="宋体"/>
          <w:kern w:val="0"/>
          <w:szCs w:val="21"/>
        </w:rPr>
        <w:t>决定。它确保了高价值任务即使在不那么紧迫时，也能获得比低价值任务更高的基础优先级。其定义为：</w:t>
      </w:r>
    </w:p>
    <w:tbl>
      <w:tblPr>
        <w:tblStyle w:val="12"/>
        <w:tblW w:w="82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572"/>
        <w:gridCol w:w="723"/>
      </w:tblGrid>
      <w:tr w14:paraId="3C94A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7" w:hRule="exact"/>
          <w:jc w:val="center"/>
        </w:trPr>
        <w:tc>
          <w:tcPr>
            <w:tcW w:w="7572" w:type="dxa"/>
            <w:noWrap/>
            <w:vAlign w:val="center"/>
          </w:tcPr>
          <w:p w14:paraId="2CDBA11F">
            <w:pPr>
              <w:spacing w:line="360" w:lineRule="auto"/>
              <w:rPr>
                <w:rFonts w:hint="default"/>
                <w:sz w:val="16"/>
                <w:szCs w:val="16"/>
                <w:lang w:val="en-US"/>
              </w:rPr>
            </w:pPr>
            <m:oMathPara>
              <m:oMath>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w</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⋅CategoryValue(</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w</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B</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m:oMathPara>
          </w:p>
        </w:tc>
        <w:tc>
          <w:tcPr>
            <w:tcW w:w="723" w:type="dxa"/>
            <w:noWrap/>
            <w:vAlign w:val="top"/>
          </w:tcPr>
          <w:p w14:paraId="7419623E">
            <w:pPr>
              <w:keepNext w:val="0"/>
              <w:keepLines w:val="0"/>
              <w:suppressLineNumbers w:val="0"/>
              <w:spacing w:before="0" w:beforeAutospacing="0" w:after="0" w:afterAutospacing="0"/>
              <w:ind w:left="0" w:right="0" w:firstLine="0"/>
              <w:jc w:val="center"/>
              <w:rPr>
                <w:rFonts w:hint="default"/>
                <w:sz w:val="21"/>
                <w:szCs w:val="21"/>
              </w:rPr>
            </w:pPr>
          </w:p>
          <w:p w14:paraId="588E07CB">
            <w:pPr>
              <w:keepNext w:val="0"/>
              <w:keepLines w:val="0"/>
              <w:suppressLineNumbers w:val="0"/>
              <w:spacing w:before="0" w:beforeAutospacing="0" w:after="0" w:afterAutospacing="0"/>
              <w:ind w:left="0" w:right="0" w:firstLine="0"/>
              <w:jc w:val="center"/>
              <w:rPr>
                <w:rFonts w:hint="default"/>
                <w:sz w:val="21"/>
                <w:szCs w:val="21"/>
              </w:rPr>
            </w:pPr>
            <w:r>
              <w:rPr>
                <w:rFonts w:hint="default"/>
                <w:sz w:val="21"/>
                <w:szCs w:val="21"/>
              </w:rPr>
              <w:t>(</w:t>
            </w:r>
            <w:r>
              <w:rPr>
                <w:rFonts w:hint="default"/>
                <w:sz w:val="21"/>
                <w:szCs w:val="21"/>
              </w:rPr>
              <w:fldChar w:fldCharType="begin"/>
            </w:r>
            <w:r>
              <w:rPr>
                <w:rFonts w:hint="default"/>
                <w:sz w:val="21"/>
                <w:szCs w:val="21"/>
              </w:rPr>
              <w:instrText xml:space="preserve"> SEQ 公式 \* ARABIC \s 1 </w:instrText>
            </w:r>
            <w:r>
              <w:rPr>
                <w:rFonts w:hint="default"/>
                <w:sz w:val="21"/>
                <w:szCs w:val="21"/>
              </w:rPr>
              <w:fldChar w:fldCharType="separate"/>
            </w:r>
            <w:r>
              <w:rPr>
                <w:rFonts w:hint="default"/>
                <w:sz w:val="21"/>
                <w:szCs w:val="21"/>
              </w:rPr>
              <w:t>3</w:t>
            </w:r>
            <w:r>
              <w:rPr>
                <w:rFonts w:hint="default"/>
                <w:sz w:val="21"/>
                <w:szCs w:val="21"/>
              </w:rPr>
              <w:fldChar w:fldCharType="end"/>
            </w:r>
            <w:r>
              <w:rPr>
                <w:rFonts w:hint="default"/>
                <w:sz w:val="21"/>
                <w:szCs w:val="21"/>
              </w:rPr>
              <w:t>)</w:t>
            </w:r>
          </w:p>
          <w:p w14:paraId="768FEA25">
            <w:pPr>
              <w:keepNext w:val="0"/>
              <w:keepLines w:val="0"/>
              <w:suppressLineNumbers w:val="0"/>
              <w:spacing w:before="0" w:beforeAutospacing="0" w:after="0" w:afterAutospacing="0"/>
              <w:ind w:left="0" w:right="0" w:firstLine="0"/>
              <w:jc w:val="center"/>
              <w:rPr>
                <w:rFonts w:hint="default"/>
                <w:sz w:val="21"/>
                <w:szCs w:val="21"/>
              </w:rPr>
            </w:pPr>
          </w:p>
          <w:p w14:paraId="3B529E7A">
            <w:pPr>
              <w:keepNext w:val="0"/>
              <w:keepLines w:val="0"/>
              <w:suppressLineNumbers w:val="0"/>
              <w:spacing w:before="0" w:beforeAutospacing="0" w:after="0" w:afterAutospacing="0"/>
              <w:ind w:left="0" w:right="0" w:firstLine="0"/>
              <w:jc w:val="center"/>
              <w:rPr>
                <w:rFonts w:hint="default"/>
                <w:sz w:val="21"/>
                <w:szCs w:val="21"/>
              </w:rPr>
            </w:pPr>
          </w:p>
        </w:tc>
      </w:tr>
    </w:tbl>
    <w:p w14:paraId="650FDC4F">
      <w:pPr>
        <w:spacing w:line="360" w:lineRule="auto"/>
        <w:rPr>
          <w:rFonts w:hint="eastAsia" w:cs="宋体"/>
          <w:kern w:val="0"/>
          <w:szCs w:val="21"/>
        </w:rPr>
      </w:pPr>
      <w:r>
        <w:rPr>
          <w:rFonts w:hint="eastAsia" w:cs="宋体"/>
          <w:kern w:val="0"/>
          <w:szCs w:val="21"/>
        </w:rPr>
        <w:t>其中</w:t>
      </w:r>
      <m:oMath>
        <m:sSub>
          <m:sSubPr>
            <m:ctrlPr>
              <w:rPr>
                <w:rFonts w:hint="default" w:ascii="Cambria Math" w:hAnsi="Cambria Math"/>
                <w:sz w:val="21"/>
              </w:rPr>
            </m:ctrlPr>
          </m:sSubPr>
          <m:e>
            <m:r>
              <m:rPr/>
              <w:rPr>
                <w:rFonts w:hint="default" w:ascii="Cambria Math" w:hAnsi="Cambria Math"/>
                <w:sz w:val="21"/>
              </w:rPr>
              <m:t>w</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oMath>
      <w:r>
        <w:rPr>
          <w:rFonts w:hint="eastAsia" w:cs="宋体"/>
          <w:kern w:val="0"/>
          <w:szCs w:val="21"/>
        </w:rPr>
        <w:t>和</w:t>
      </w:r>
      <m:oMath>
        <m:sSub>
          <m:sSubPr>
            <m:ctrlPr>
              <w:rPr>
                <w:rFonts w:hint="default" w:ascii="Cambria Math" w:hAnsi="Cambria Math"/>
                <w:sz w:val="21"/>
              </w:rPr>
            </m:ctrlPr>
          </m:sSubPr>
          <m:e>
            <m:r>
              <m:rPr/>
              <w:rPr>
                <w:rFonts w:hint="default" w:ascii="Cambria Math" w:hAnsi="Cambria Math"/>
                <w:sz w:val="21"/>
              </w:rPr>
              <m:t>w</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oMath>
      <w:r>
        <w:rPr>
          <w:rFonts w:hint="eastAsia" w:cs="宋体"/>
          <w:kern w:val="0"/>
          <w:szCs w:val="21"/>
        </w:rPr>
        <w:t>为权重系数，</w:t>
      </w:r>
      <m:oMath>
        <m:r>
          <m:rPr/>
          <w:rPr>
            <w:rFonts w:hint="default" w:ascii="Cambria Math" w:hAnsi="Cambria Math"/>
            <w:sz w:val="21"/>
          </w:rPr>
          <m:t>CategoryValue(</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oMath>
      <w:r>
        <w:rPr>
          <w:rFonts w:hint="eastAsia" w:cs="宋体"/>
          <w:kern w:val="0"/>
          <w:szCs w:val="21"/>
        </w:rPr>
        <w:t>为根据任务类别（如实时控制、关键感知、后台分析）赋予的基准值。</w:t>
      </w:r>
    </w:p>
    <w:p w14:paraId="4FDE57FF">
      <w:pPr>
        <w:spacing w:line="360" w:lineRule="auto"/>
        <w:ind w:firstLine="420" w:firstLineChars="200"/>
        <w:rPr>
          <w:rFonts w:hint="default" w:hAnsi="Cambria Math"/>
          <w:i w:val="0"/>
          <w:sz w:val="21"/>
        </w:rPr>
      </w:pPr>
      <w:r>
        <w:rPr>
          <w:rFonts w:hint="eastAsia" w:cs="宋体"/>
          <w:kern w:val="0"/>
          <w:szCs w:val="21"/>
        </w:rPr>
        <w:t xml:space="preserve">满意度（Satisfaction, </w:t>
      </w:r>
      <m:oMath>
        <m:r>
          <m:rPr/>
          <w:rPr>
            <w:rFonts w:hint="default" w:ascii="Cambria Math" w:hAnsi="Cambria Math"/>
            <w:sz w:val="21"/>
          </w:rPr>
          <m:t>S</m:t>
        </m:r>
        <m:sSub>
          <m:sSubPr>
            <m:ctrlPr>
              <w:rPr>
                <w:rFonts w:hint="default" w:ascii="Cambria Math" w:hAnsi="Cambria Math"/>
                <w:sz w:val="21"/>
              </w:rPr>
            </m:ctrlPr>
          </m:sSubPr>
          <m:e>
            <m:r>
              <m:rPr/>
              <w:rPr>
                <w:rFonts w:hint="default" w:ascii="Cambria Math" w:hAnsi="Cambria Math"/>
                <w:sz w:val="21"/>
              </w:rPr>
              <m:t>a</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m:t>
        </m:r>
      </m:oMath>
      <w:r>
        <w:rPr>
          <w:rFonts w:hint="eastAsia" w:cs="宋体"/>
          <w:kern w:val="0"/>
          <w:szCs w:val="21"/>
        </w:rPr>
        <w:t>） 用于衡量任务自到达系统以来的“体验”，即其QoS需求的被满足程度。它被初始化为1，并随着任务在队列中等待时间的增加而单调衰减。这种设计模拟了用户或上层应用因等待而逐渐“失去耐心”的过程。满意度的衰减速率可与任务的重要性相关联，例如高价值任务的满意度衰减更快。其定义为：</w:t>
      </w:r>
    </w:p>
    <w:tbl>
      <w:tblPr>
        <w:tblStyle w:val="12"/>
        <w:tblW w:w="82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572"/>
        <w:gridCol w:w="723"/>
      </w:tblGrid>
      <w:tr w14:paraId="031AF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7" w:hRule="exact"/>
          <w:jc w:val="center"/>
        </w:trPr>
        <w:tc>
          <w:tcPr>
            <w:tcW w:w="7572" w:type="dxa"/>
            <w:noWrap/>
            <w:vAlign w:val="center"/>
          </w:tcPr>
          <w:p w14:paraId="41D3F86E">
            <w:pPr>
              <w:spacing w:line="360" w:lineRule="auto"/>
              <w:rPr>
                <w:rFonts w:hint="default"/>
                <w:sz w:val="16"/>
                <w:szCs w:val="16"/>
                <w:lang w:val="en-US"/>
              </w:rPr>
            </w:pPr>
            <m:oMathPara>
              <m:oMath>
                <m:r>
                  <m:rPr/>
                  <w:rPr>
                    <w:rFonts w:hint="default" w:ascii="Cambria Math" w:hAnsi="Cambria Math"/>
                    <w:sz w:val="21"/>
                  </w:rPr>
                  <m:t>S</m:t>
                </m:r>
                <m:sSub>
                  <m:sSubPr>
                    <m:ctrlPr>
                      <w:rPr>
                        <w:rFonts w:hint="default" w:ascii="Cambria Math" w:hAnsi="Cambria Math"/>
                        <w:sz w:val="21"/>
                      </w:rPr>
                    </m:ctrlPr>
                  </m:sSubPr>
                  <m:e>
                    <m:r>
                      <m:rPr/>
                      <w:rPr>
                        <w:rFonts w:hint="default" w:ascii="Cambria Math" w:hAnsi="Cambria Math"/>
                        <w:sz w:val="21"/>
                      </w:rPr>
                      <m:t>a</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m:t>
                </m:r>
                <m:func>
                  <m:funcPr>
                    <m:ctrlPr>
                      <w:rPr>
                        <w:rFonts w:hint="default" w:ascii="Cambria Math" w:hAnsi="Cambria Math"/>
                        <w:sz w:val="21"/>
                      </w:rPr>
                    </m:ctrlPr>
                  </m:funcPr>
                  <m:fName>
                    <m:r>
                      <m:rPr>
                        <m:sty m:val="p"/>
                      </m:rPr>
                      <w:rPr>
                        <w:rFonts w:hint="default" w:ascii="Cambria Math" w:hAnsi="Cambria Math"/>
                        <w:sz w:val="21"/>
                      </w:rPr>
                      <m:t>max</m:t>
                    </m:r>
                    <m:ctrlPr>
                      <w:rPr>
                        <w:rFonts w:ascii="Cambria Math" w:hAnsi="Cambria Math"/>
                        <w:sz w:val="21"/>
                      </w:rPr>
                    </m:ctrlPr>
                  </m:fName>
                  <m:e>
                    <m:d>
                      <m:dPr>
                        <m:ctrlPr>
                          <w:rPr>
                            <w:rFonts w:hint="default" w:ascii="Cambria Math" w:hAnsi="Cambria Math"/>
                            <w:i/>
                            <w:sz w:val="21"/>
                          </w:rPr>
                        </m:ctrlPr>
                      </m:dPr>
                      <m:e>
                        <m:r>
                          <m:rPr/>
                          <w:rPr>
                            <w:rFonts w:hint="default" w:ascii="Cambria Math" w:hAnsi="Cambria Math"/>
                            <w:sz w:val="21"/>
                          </w:rPr>
                          <m:t>0,1−β⋅</m:t>
                        </m:r>
                        <m:f>
                          <m:fPr>
                            <m:ctrlPr>
                              <w:rPr>
                                <w:rFonts w:hint="default" w:ascii="Cambria Math" w:hAnsi="Cambria Math"/>
                                <w:i/>
                                <w:sz w:val="21"/>
                              </w:rPr>
                            </m:ctrlPr>
                          </m:fPr>
                          <m:num>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wait</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deadlin</m:t>
                            </m:r>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arrival</m:t>
                                </m:r>
                                <m:ctrlPr>
                                  <w:rPr>
                                    <w:rFonts w:ascii="Cambria Math" w:hAnsi="Cambria Math"/>
                                    <w:sz w:val="21"/>
                                  </w:rPr>
                                </m:ctrlPr>
                              </m:sub>
                            </m:sSub>
                            <m:ctrlPr>
                              <w:rPr>
                                <w:rFonts w:hint="default" w:ascii="Cambria Math" w:hAnsi="Cambria Math"/>
                                <w:sz w:val="21"/>
                              </w:rPr>
                            </m:ctrlPr>
                          </m:den>
                        </m:f>
                        <m:ctrlPr>
                          <w:rPr>
                            <w:rFonts w:hint="default" w:ascii="Cambria Math" w:hAnsi="Cambria Math"/>
                            <w:i/>
                            <w:sz w:val="21"/>
                          </w:rPr>
                        </m:ctrlPr>
                      </m:e>
                    </m:d>
                    <m:ctrlPr>
                      <w:rPr>
                        <w:rFonts w:hint="default" w:ascii="Cambria Math" w:hAnsi="Cambria Math"/>
                        <w:i/>
                        <w:sz w:val="21"/>
                      </w:rPr>
                    </m:ctrlPr>
                  </m:e>
                </m:func>
              </m:oMath>
            </m:oMathPara>
          </w:p>
        </w:tc>
        <w:tc>
          <w:tcPr>
            <w:tcW w:w="723" w:type="dxa"/>
            <w:noWrap/>
            <w:vAlign w:val="top"/>
          </w:tcPr>
          <w:p w14:paraId="4F5C09A2">
            <w:pPr>
              <w:keepNext w:val="0"/>
              <w:keepLines w:val="0"/>
              <w:suppressLineNumbers w:val="0"/>
              <w:spacing w:before="0" w:beforeAutospacing="0" w:after="0" w:afterAutospacing="0"/>
              <w:ind w:left="0" w:right="0" w:firstLine="0"/>
              <w:jc w:val="center"/>
              <w:rPr>
                <w:rFonts w:hint="default"/>
                <w:sz w:val="21"/>
                <w:szCs w:val="21"/>
              </w:rPr>
            </w:pPr>
          </w:p>
          <w:p w14:paraId="61C20B4D">
            <w:pPr>
              <w:keepNext w:val="0"/>
              <w:keepLines w:val="0"/>
              <w:suppressLineNumbers w:val="0"/>
              <w:spacing w:before="0" w:beforeAutospacing="0" w:after="0" w:afterAutospacing="0"/>
              <w:ind w:left="0" w:right="0" w:firstLine="0"/>
              <w:jc w:val="center"/>
              <w:rPr>
                <w:rFonts w:hint="default"/>
                <w:sz w:val="21"/>
                <w:szCs w:val="21"/>
              </w:rPr>
            </w:pPr>
            <w:r>
              <w:rPr>
                <w:rFonts w:hint="default"/>
                <w:sz w:val="21"/>
                <w:szCs w:val="21"/>
              </w:rPr>
              <w:t>(</w:t>
            </w:r>
            <w:r>
              <w:rPr>
                <w:rFonts w:hint="default"/>
                <w:sz w:val="21"/>
                <w:szCs w:val="21"/>
              </w:rPr>
              <w:fldChar w:fldCharType="begin"/>
            </w:r>
            <w:r>
              <w:rPr>
                <w:rFonts w:hint="default"/>
                <w:sz w:val="21"/>
                <w:szCs w:val="21"/>
              </w:rPr>
              <w:instrText xml:space="preserve"> SEQ 公式 \* ARABIC \s 1 </w:instrText>
            </w:r>
            <w:r>
              <w:rPr>
                <w:rFonts w:hint="default"/>
                <w:sz w:val="21"/>
                <w:szCs w:val="21"/>
              </w:rPr>
              <w:fldChar w:fldCharType="separate"/>
            </w:r>
            <w:r>
              <w:rPr>
                <w:rFonts w:hint="default"/>
                <w:sz w:val="21"/>
                <w:szCs w:val="21"/>
              </w:rPr>
              <w:t>4</w:t>
            </w:r>
            <w:r>
              <w:rPr>
                <w:rFonts w:hint="default"/>
                <w:sz w:val="21"/>
                <w:szCs w:val="21"/>
              </w:rPr>
              <w:fldChar w:fldCharType="end"/>
            </w:r>
            <w:r>
              <w:rPr>
                <w:rFonts w:hint="default"/>
                <w:sz w:val="21"/>
                <w:szCs w:val="21"/>
              </w:rPr>
              <w:t>)</w:t>
            </w:r>
          </w:p>
          <w:p w14:paraId="6F08C893">
            <w:pPr>
              <w:keepNext w:val="0"/>
              <w:keepLines w:val="0"/>
              <w:suppressLineNumbers w:val="0"/>
              <w:spacing w:before="0" w:beforeAutospacing="0" w:after="0" w:afterAutospacing="0"/>
              <w:ind w:left="0" w:right="0" w:firstLine="0"/>
              <w:jc w:val="center"/>
              <w:rPr>
                <w:rFonts w:hint="default"/>
                <w:sz w:val="21"/>
                <w:szCs w:val="21"/>
              </w:rPr>
            </w:pPr>
          </w:p>
          <w:p w14:paraId="3AD365F5">
            <w:pPr>
              <w:keepNext w:val="0"/>
              <w:keepLines w:val="0"/>
              <w:suppressLineNumbers w:val="0"/>
              <w:spacing w:before="0" w:beforeAutospacing="0" w:after="0" w:afterAutospacing="0"/>
              <w:ind w:left="0" w:right="0" w:firstLine="0"/>
              <w:jc w:val="center"/>
              <w:rPr>
                <w:rFonts w:hint="default"/>
                <w:sz w:val="21"/>
                <w:szCs w:val="21"/>
              </w:rPr>
            </w:pPr>
          </w:p>
        </w:tc>
      </w:tr>
    </w:tbl>
    <w:p w14:paraId="2E6E7A27">
      <w:pPr>
        <w:spacing w:line="360" w:lineRule="auto"/>
        <w:rPr>
          <w:rFonts w:hint="eastAsia" w:cs="宋体"/>
          <w:kern w:val="0"/>
          <w:szCs w:val="21"/>
        </w:rPr>
      </w:pPr>
      <w:r>
        <w:rPr>
          <w:rFonts w:hint="eastAsia" w:cs="宋体"/>
          <w:kern w:val="0"/>
          <w:szCs w:val="21"/>
        </w:rPr>
        <w:t>其中</w:t>
      </w:r>
      <m:oMath>
        <m:r>
          <m:rPr/>
          <w:rPr>
            <w:rFonts w:hint="default" w:ascii="Cambria Math" w:hAnsi="Cambria Math"/>
            <w:sz w:val="21"/>
          </w:rPr>
          <m:t>β</m:t>
        </m:r>
      </m:oMath>
      <w:r>
        <w:rPr>
          <w:rFonts w:hint="eastAsia" w:cs="宋体"/>
          <w:kern w:val="0"/>
          <w:szCs w:val="21"/>
        </w:rPr>
        <w:t>是调节满意度衰减速率的参数，分母</w:t>
      </w:r>
      <m:oMath>
        <m:r>
          <m:rPr/>
          <w:rPr>
            <w:rFonts w:hint="default" w:ascii="Cambria Math" w:hAnsi="Cambria Math"/>
            <w:sz w:val="21"/>
          </w:rPr>
          <m:t>deadlin</m:t>
        </m:r>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arrival</m:t>
            </m:r>
            <m:ctrlPr>
              <w:rPr>
                <w:rFonts w:ascii="Cambria Math" w:hAnsi="Cambria Math"/>
                <w:sz w:val="21"/>
              </w:rPr>
            </m:ctrlPr>
          </m:sub>
        </m:sSub>
      </m:oMath>
      <w:r>
        <w:rPr>
          <w:rFonts w:hint="eastAsia" w:cs="宋体"/>
          <w:kern w:val="0"/>
          <w:szCs w:val="21"/>
        </w:rPr>
        <w:t>为任务允许的最大处理时长。</w:t>
      </w:r>
    </w:p>
    <w:p w14:paraId="6DC66E94">
      <w:pPr>
        <w:spacing w:line="360" w:lineRule="auto"/>
        <w:ind w:firstLine="420" w:firstLineChars="200"/>
        <m:rPr/>
        <w:rPr>
          <w:rFonts w:hint="default" w:hAnsi="Cambria Math"/>
          <w:i w:val="0"/>
          <w:sz w:val="21"/>
        </w:rPr>
      </w:pPr>
      <w:r>
        <w:rPr>
          <w:rFonts w:hint="eastAsia" w:cs="宋体"/>
          <w:kern w:val="0"/>
          <w:szCs w:val="21"/>
        </w:rPr>
        <w:t>基于上述三维向量，我们定义任务</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rPr>
          <w:rFonts w:hint="eastAsia" w:cs="宋体"/>
          <w:kern w:val="0"/>
          <w:szCs w:val="21"/>
        </w:rPr>
        <w:t>在时刻</w:t>
      </w:r>
      <m:oMath>
        <m:r>
          <m:rPr/>
          <w:rPr>
            <w:rFonts w:hint="default" w:ascii="Cambria Math" w:hAnsi="Cambria Math"/>
            <w:sz w:val="21"/>
          </w:rPr>
          <m:t>t</m:t>
        </m:r>
      </m:oMath>
      <w:r>
        <w:rPr>
          <w:rFonts w:hint="eastAsia" w:cs="宋体"/>
          <w:kern w:val="0"/>
          <w:szCs w:val="21"/>
        </w:rPr>
        <w:t xml:space="preserve">的瞬时QoS需求强度（QoS Demand Intensity, </w:t>
      </w:r>
      <m:oMath>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m:t>
        </m:r>
      </m:oMath>
      <w:r>
        <w:rPr>
          <w:rFonts w:hint="eastAsia" w:cs="宋体"/>
          <w:kern w:val="0"/>
          <w:szCs w:val="21"/>
        </w:rPr>
        <w:t>），它将三个维度聚合成一个单一的、可比较的标量值，综合反映了任务对被立即调度的“渴望”程度：</w:t>
      </w:r>
    </w:p>
    <w:tbl>
      <w:tblPr>
        <w:tblStyle w:val="12"/>
        <w:tblW w:w="82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572"/>
        <w:gridCol w:w="723"/>
      </w:tblGrid>
      <w:tr w14:paraId="3B475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7" w:hRule="exact"/>
          <w:jc w:val="center"/>
        </w:trPr>
        <w:tc>
          <w:tcPr>
            <w:tcW w:w="7572" w:type="dxa"/>
            <w:noWrap/>
            <w:vAlign w:val="center"/>
          </w:tcPr>
          <w:p w14:paraId="7C342187">
            <w:pPr>
              <w:spacing w:line="360" w:lineRule="auto"/>
              <w:rPr>
                <w:rFonts w:hint="default"/>
                <w:sz w:val="16"/>
                <w:szCs w:val="16"/>
                <w:lang w:val="en-US"/>
              </w:rPr>
            </w:pPr>
            <m:oMathPara>
              <m:oMath>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m:t>
                </m:r>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m:t>
                </m:r>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⋅(1−S</m:t>
                </m:r>
                <m:sSub>
                  <m:sSubPr>
                    <m:ctrlPr>
                      <w:rPr>
                        <w:rFonts w:hint="default" w:ascii="Cambria Math" w:hAnsi="Cambria Math"/>
                        <w:sz w:val="21"/>
                      </w:rPr>
                    </m:ctrlPr>
                  </m:sSubPr>
                  <m:e>
                    <m:r>
                      <m:rPr/>
                      <w:rPr>
                        <w:rFonts w:hint="default" w:ascii="Cambria Math" w:hAnsi="Cambria Math"/>
                        <w:sz w:val="21"/>
                      </w:rPr>
                      <m:t>a</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m:t>
                </m:r>
              </m:oMath>
            </m:oMathPara>
          </w:p>
        </w:tc>
        <w:tc>
          <w:tcPr>
            <w:tcW w:w="723" w:type="dxa"/>
            <w:noWrap/>
            <w:vAlign w:val="top"/>
          </w:tcPr>
          <w:p w14:paraId="221BD418">
            <w:pPr>
              <w:keepNext w:val="0"/>
              <w:keepLines w:val="0"/>
              <w:suppressLineNumbers w:val="0"/>
              <w:spacing w:before="0" w:beforeAutospacing="0" w:after="0" w:afterAutospacing="0"/>
              <w:ind w:left="0" w:right="0" w:firstLine="0"/>
              <w:jc w:val="center"/>
              <w:rPr>
                <w:rFonts w:hint="default"/>
                <w:sz w:val="21"/>
                <w:szCs w:val="21"/>
              </w:rPr>
            </w:pPr>
          </w:p>
          <w:p w14:paraId="5304610C">
            <w:pPr>
              <w:keepNext w:val="0"/>
              <w:keepLines w:val="0"/>
              <w:suppressLineNumbers w:val="0"/>
              <w:spacing w:before="0" w:beforeAutospacing="0" w:after="0" w:afterAutospacing="0"/>
              <w:ind w:left="0" w:right="0" w:firstLine="0"/>
              <w:jc w:val="center"/>
              <w:rPr>
                <w:rFonts w:hint="default"/>
                <w:sz w:val="21"/>
                <w:szCs w:val="21"/>
              </w:rPr>
            </w:pPr>
            <w:r>
              <w:rPr>
                <w:rFonts w:hint="default"/>
                <w:sz w:val="21"/>
                <w:szCs w:val="21"/>
              </w:rPr>
              <w:t>(</w:t>
            </w:r>
            <w:r>
              <w:rPr>
                <w:rFonts w:hint="default"/>
                <w:sz w:val="21"/>
                <w:szCs w:val="21"/>
              </w:rPr>
              <w:fldChar w:fldCharType="begin"/>
            </w:r>
            <w:r>
              <w:rPr>
                <w:rFonts w:hint="default"/>
                <w:sz w:val="21"/>
                <w:szCs w:val="21"/>
              </w:rPr>
              <w:instrText xml:space="preserve"> SEQ 公式 \* ARABIC \s 1 </w:instrText>
            </w:r>
            <w:r>
              <w:rPr>
                <w:rFonts w:hint="default"/>
                <w:sz w:val="21"/>
                <w:szCs w:val="21"/>
              </w:rPr>
              <w:fldChar w:fldCharType="separate"/>
            </w:r>
            <w:r>
              <w:rPr>
                <w:rFonts w:hint="default"/>
                <w:sz w:val="21"/>
                <w:szCs w:val="21"/>
              </w:rPr>
              <w:t>5</w:t>
            </w:r>
            <w:r>
              <w:rPr>
                <w:rFonts w:hint="default"/>
                <w:sz w:val="21"/>
                <w:szCs w:val="21"/>
              </w:rPr>
              <w:fldChar w:fldCharType="end"/>
            </w:r>
            <w:r>
              <w:rPr>
                <w:rFonts w:hint="default"/>
                <w:sz w:val="21"/>
                <w:szCs w:val="21"/>
              </w:rPr>
              <w:t>)</w:t>
            </w:r>
          </w:p>
          <w:p w14:paraId="6C05D47A">
            <w:pPr>
              <w:keepNext w:val="0"/>
              <w:keepLines w:val="0"/>
              <w:suppressLineNumbers w:val="0"/>
              <w:spacing w:before="0" w:beforeAutospacing="0" w:after="0" w:afterAutospacing="0"/>
              <w:ind w:left="0" w:right="0" w:firstLine="0"/>
              <w:jc w:val="center"/>
              <w:rPr>
                <w:rFonts w:hint="default"/>
                <w:sz w:val="21"/>
                <w:szCs w:val="21"/>
              </w:rPr>
            </w:pPr>
          </w:p>
          <w:p w14:paraId="0EE9D067">
            <w:pPr>
              <w:keepNext w:val="0"/>
              <w:keepLines w:val="0"/>
              <w:suppressLineNumbers w:val="0"/>
              <w:spacing w:before="0" w:beforeAutospacing="0" w:after="0" w:afterAutospacing="0"/>
              <w:ind w:left="0" w:right="0" w:firstLine="0"/>
              <w:jc w:val="center"/>
              <w:rPr>
                <w:rFonts w:hint="default"/>
                <w:sz w:val="21"/>
                <w:szCs w:val="21"/>
              </w:rPr>
            </w:pPr>
          </w:p>
        </w:tc>
      </w:tr>
    </w:tbl>
    <w:p w14:paraId="27504A27">
      <w:pPr>
        <w:spacing w:line="360" w:lineRule="auto"/>
        <w:rPr>
          <w:rFonts w:hint="eastAsia" w:cs="宋体"/>
          <w:kern w:val="0"/>
          <w:szCs w:val="21"/>
        </w:rPr>
      </w:pPr>
      <w:r>
        <w:rPr>
          <w:rFonts w:hint="eastAsia" w:cs="宋体"/>
          <w:kern w:val="0"/>
          <w:szCs w:val="21"/>
        </w:rPr>
        <w:t>该强度值是QASS模型中驱动优先级排序、定价调整和协作调度的核心信号。</w:t>
      </w:r>
    </w:p>
    <w:p w14:paraId="11B4D20E">
      <w:pPr>
        <w:pStyle w:val="2"/>
        <w:spacing w:before="0" w:after="0" w:line="360" w:lineRule="auto"/>
        <w:rPr>
          <w:rFonts w:hint="eastAsia" w:ascii="Times New Roman" w:hAnsi="Times New Roman" w:eastAsia="宋体"/>
          <w:bCs w:val="0"/>
          <w:kern w:val="0"/>
          <w:sz w:val="21"/>
          <w:szCs w:val="21"/>
          <w:lang w:val="en-US" w:eastAsia="zh-CN"/>
        </w:rPr>
      </w:pPr>
      <w:r>
        <w:rPr>
          <w:rFonts w:hint="eastAsia" w:ascii="Times New Roman" w:hAnsi="Times New Roman" w:eastAsia="宋体"/>
          <w:bCs w:val="0"/>
          <w:kern w:val="0"/>
          <w:sz w:val="21"/>
          <w:szCs w:val="21"/>
          <w:lang w:val="en-US" w:eastAsia="zh-CN"/>
        </w:rPr>
        <w:t>3</w:t>
      </w:r>
      <w:r>
        <w:rPr>
          <w:rFonts w:hint="eastAsia" w:ascii="Times New Roman" w:hAnsi="Times New Roman" w:eastAsia="宋体"/>
          <w:bCs w:val="0"/>
          <w:kern w:val="0"/>
          <w:sz w:val="21"/>
          <w:szCs w:val="21"/>
        </w:rPr>
        <w:t>.</w:t>
      </w:r>
      <w:r>
        <w:rPr>
          <w:rFonts w:hint="eastAsia" w:ascii="Times New Roman" w:hAnsi="Times New Roman" w:eastAsia="宋体"/>
          <w:bCs w:val="0"/>
          <w:kern w:val="0"/>
          <w:sz w:val="21"/>
          <w:szCs w:val="21"/>
          <w:lang w:val="en-US" w:eastAsia="zh-CN"/>
        </w:rPr>
        <w:t>4</w:t>
      </w:r>
      <w:r>
        <w:rPr>
          <w:rFonts w:hint="eastAsia" w:ascii="Times New Roman" w:hAnsi="Times New Roman" w:eastAsia="宋体"/>
          <w:bCs w:val="0"/>
          <w:kern w:val="0"/>
          <w:sz w:val="21"/>
          <w:szCs w:val="21"/>
        </w:rPr>
        <w:t xml:space="preserve">  </w:t>
      </w:r>
      <w:r>
        <w:rPr>
          <w:rFonts w:hint="eastAsia" w:ascii="Times New Roman" w:hAnsi="Times New Roman" w:eastAsia="宋体"/>
          <w:bCs w:val="0"/>
          <w:kern w:val="0"/>
          <w:sz w:val="21"/>
          <w:szCs w:val="21"/>
          <w:lang w:val="en-US" w:eastAsia="zh-CN"/>
        </w:rPr>
        <w:t>边缘节点QoS感知指数</w:t>
      </w:r>
    </w:p>
    <w:p w14:paraId="72D378AD">
      <w:pPr>
        <w:spacing w:line="360" w:lineRule="auto"/>
        <w:ind w:firstLine="430" w:firstLineChars="205"/>
        <w:rPr>
          <w:rFonts w:hint="eastAsia" w:cs="宋体"/>
          <w:kern w:val="0"/>
          <w:szCs w:val="21"/>
        </w:rPr>
      </w:pPr>
      <w:r>
        <w:rPr>
          <w:rFonts w:hint="eastAsia" w:cs="宋体"/>
          <w:kern w:val="0"/>
          <w:szCs w:val="21"/>
        </w:rPr>
        <w:t>为了使边缘节点能够主动感知其自身的服务能力与所承受的压力，我们为每个节点</w:t>
      </w:r>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oMath>
      <w:r>
        <w:rPr>
          <w:rFonts w:hint="eastAsia" w:cs="宋体"/>
          <w:kern w:val="0"/>
          <w:szCs w:val="21"/>
        </w:rPr>
        <w:t xml:space="preserve">定义了一个QoS感知指数（QoS Awareness Index, </w:t>
      </w:r>
      <m:oMath>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(t)</m:t>
        </m:r>
      </m:oMath>
      <w:r>
        <w:rPr>
          <w:rFonts w:hint="eastAsia" w:cs="宋体"/>
          <w:kern w:val="0"/>
          <w:szCs w:val="21"/>
        </w:rPr>
        <w:t>）。该指数由节点本地的代理周期性计算，它不仅考虑节点的物理资源利用率，更重要的是，它聚合了其本地任务队列</w:t>
      </w:r>
      <m:oMath>
        <m:sSub>
          <m:sSubPr>
            <m:ctrlPr>
              <w:rPr>
                <w:rFonts w:hint="default" w:ascii="Cambria Math" w:hAnsi="Cambria Math"/>
                <w:sz w:val="21"/>
              </w:rPr>
            </m:ctrlPr>
          </m:sSub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(t)</m:t>
        </m:r>
      </m:oMath>
      <w:r>
        <w:rPr>
          <w:rFonts w:hint="eastAsia" w:cs="宋体"/>
          <w:kern w:val="0"/>
          <w:szCs w:val="21"/>
        </w:rPr>
        <w:t>中所有等待任务的QoS需求强度。其定义为：</w:t>
      </w:r>
    </w:p>
    <w:tbl>
      <w:tblPr>
        <w:tblStyle w:val="12"/>
        <w:tblW w:w="82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572"/>
        <w:gridCol w:w="723"/>
      </w:tblGrid>
      <w:tr w14:paraId="68B22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7" w:hRule="exact"/>
          <w:jc w:val="center"/>
        </w:trPr>
        <w:tc>
          <w:tcPr>
            <w:tcW w:w="7572" w:type="dxa"/>
            <w:noWrap/>
            <w:vAlign w:val="center"/>
          </w:tcPr>
          <w:p w14:paraId="302FB9C3">
            <w:pPr>
              <w:spacing w:line="360" w:lineRule="auto"/>
              <w:rPr>
                <w:rFonts w:hint="default"/>
                <w:sz w:val="16"/>
                <w:szCs w:val="16"/>
                <w:lang w:val="en-US"/>
              </w:rPr>
            </w:pPr>
            <m:oMathPara>
              <m:oMath>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(t)=</m:t>
                </m:r>
                <m:sSub>
                  <m:sSubPr>
                    <m:ctrlPr>
                      <w:rPr>
                        <w:rFonts w:hint="default" w:ascii="Cambria Math" w:hAnsi="Cambria Math"/>
                        <w:sz w:val="21"/>
                      </w:rPr>
                    </m:ctrlPr>
                  </m:sSubPr>
                  <m:e>
                    <m:r>
                      <m:rPr/>
                      <w:rPr>
                        <w:rFonts w:hint="default" w:ascii="Cambria Math" w:hAnsi="Cambria Math"/>
                        <w:sz w:val="21"/>
                      </w:rPr>
                      <m:t>w</m:t>
                    </m:r>
                    <m:ctrlPr>
                      <w:rPr>
                        <w:rFonts w:ascii="Cambria Math" w:hAnsi="Cambria Math"/>
                        <w:sz w:val="21"/>
                      </w:rPr>
                    </m:ctrlPr>
                  </m:e>
                  <m:sub>
                    <m:r>
                      <m:rPr/>
                      <w:rPr>
                        <w:rFonts w:hint="default" w:ascii="Cambria Math" w:hAnsi="Cambria Math"/>
                        <w:sz w:val="21"/>
                      </w:rPr>
                      <m:t>load</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Load</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(t)+</m:t>
                </m:r>
                <m:sSub>
                  <m:sSubPr>
                    <m:ctrlPr>
                      <w:rPr>
                        <w:rFonts w:hint="default" w:ascii="Cambria Math" w:hAnsi="Cambria Math"/>
                        <w:sz w:val="21"/>
                      </w:rPr>
                    </m:ctrlPr>
                  </m:sSubPr>
                  <m:e>
                    <m:r>
                      <m:rPr/>
                      <w:rPr>
                        <w:rFonts w:hint="default" w:ascii="Cambria Math" w:hAnsi="Cambria Math"/>
                        <w:sz w:val="21"/>
                      </w:rPr>
                      <m:t>w</m:t>
                    </m:r>
                    <m:ctrlPr>
                      <w:rPr>
                        <w:rFonts w:ascii="Cambria Math" w:hAnsi="Cambria Math"/>
                        <w:sz w:val="21"/>
                      </w:rPr>
                    </m:ctrlPr>
                  </m:e>
                  <m:sub>
                    <m:r>
                      <m:rPr/>
                      <w:rPr>
                        <w:rFonts w:hint="default" w:ascii="Cambria Math" w:hAnsi="Cambria Math"/>
                        <w:sz w:val="21"/>
                      </w:rPr>
                      <m:t>qos</m:t>
                    </m:r>
                    <m:ctrlPr>
                      <w:rPr>
                        <w:rFonts w:ascii="Cambria Math" w:hAnsi="Cambria Math"/>
                        <w:sz w:val="21"/>
                      </w:rPr>
                    </m:ctrlPr>
                  </m:sub>
                </m:sSub>
                <m:r>
                  <m:rPr/>
                  <w:rPr>
                    <w:rFonts w:hint="default" w:ascii="Cambria Math" w:hAnsi="Cambria Math"/>
                    <w:sz w:val="21"/>
                  </w:rPr>
                  <m:t>⋅</m:t>
                </m:r>
                <m:nary>
                  <m:naryPr>
                    <m:chr m:val="∑"/>
                    <m:limLoc m:val="undOvr"/>
                    <m:supHide m:val="1"/>
                    <m:ctrlPr>
                      <w:rPr>
                        <w:rFonts w:hint="default" w:ascii="Cambria Math" w:hAnsi="Cambria Math"/>
                        <w:i/>
                        <w:sz w:val="21"/>
                      </w:rPr>
                    </m:ctrlPr>
                  </m:naryPr>
                  <m:sub>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Q</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(t)</m:t>
                    </m:r>
                    <m:ctrlPr>
                      <w:rPr>
                        <w:rFonts w:hint="default" w:ascii="Cambria Math" w:hAnsi="Cambria Math"/>
                        <w:sz w:val="21"/>
                      </w:rPr>
                    </m:ctrlPr>
                  </m:sub>
                  <m:sup>
                    <m:ctrlPr>
                      <w:rPr>
                        <w:rFonts w:hint="default"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e>
                </m:nary>
                <m:r>
                  <m:rPr/>
                  <w:rPr>
                    <w:rFonts w:hint="default" w:ascii="Cambria Math" w:hAnsi="Cambria Math"/>
                    <w:sz w:val="21"/>
                  </w:rPr>
                  <m:t>(t)</m:t>
                </m:r>
              </m:oMath>
            </m:oMathPara>
          </w:p>
        </w:tc>
        <w:tc>
          <w:tcPr>
            <w:tcW w:w="723" w:type="dxa"/>
            <w:noWrap/>
            <w:vAlign w:val="top"/>
          </w:tcPr>
          <w:p w14:paraId="588F521E">
            <w:pPr>
              <w:keepNext w:val="0"/>
              <w:keepLines w:val="0"/>
              <w:suppressLineNumbers w:val="0"/>
              <w:spacing w:before="0" w:beforeAutospacing="0" w:after="0" w:afterAutospacing="0"/>
              <w:ind w:left="0" w:right="0" w:firstLine="0"/>
              <w:jc w:val="center"/>
              <w:rPr>
                <w:rFonts w:hint="default"/>
                <w:sz w:val="21"/>
                <w:szCs w:val="21"/>
              </w:rPr>
            </w:pPr>
          </w:p>
          <w:p w14:paraId="59D8CDCA">
            <w:pPr>
              <w:keepNext w:val="0"/>
              <w:keepLines w:val="0"/>
              <w:suppressLineNumbers w:val="0"/>
              <w:spacing w:before="0" w:beforeAutospacing="0" w:after="0" w:afterAutospacing="0"/>
              <w:ind w:left="0" w:right="0" w:firstLine="0"/>
              <w:jc w:val="center"/>
              <w:rPr>
                <w:rFonts w:hint="default"/>
                <w:sz w:val="21"/>
                <w:szCs w:val="21"/>
              </w:rPr>
            </w:pPr>
            <w:r>
              <w:rPr>
                <w:rFonts w:hint="default"/>
                <w:sz w:val="21"/>
                <w:szCs w:val="21"/>
              </w:rPr>
              <w:t>(</w:t>
            </w:r>
            <w:r>
              <w:rPr>
                <w:rFonts w:hint="default"/>
                <w:sz w:val="21"/>
                <w:szCs w:val="21"/>
              </w:rPr>
              <w:fldChar w:fldCharType="begin"/>
            </w:r>
            <w:r>
              <w:rPr>
                <w:rFonts w:hint="default"/>
                <w:sz w:val="21"/>
                <w:szCs w:val="21"/>
              </w:rPr>
              <w:instrText xml:space="preserve"> SEQ 公式 \* ARABIC \s 1 </w:instrText>
            </w:r>
            <w:r>
              <w:rPr>
                <w:rFonts w:hint="default"/>
                <w:sz w:val="21"/>
                <w:szCs w:val="21"/>
              </w:rPr>
              <w:fldChar w:fldCharType="separate"/>
            </w:r>
            <w:r>
              <w:rPr>
                <w:rFonts w:hint="default"/>
                <w:sz w:val="21"/>
                <w:szCs w:val="21"/>
              </w:rPr>
              <w:t>6</w:t>
            </w:r>
            <w:r>
              <w:rPr>
                <w:rFonts w:hint="default"/>
                <w:sz w:val="21"/>
                <w:szCs w:val="21"/>
              </w:rPr>
              <w:fldChar w:fldCharType="end"/>
            </w:r>
            <w:r>
              <w:rPr>
                <w:rFonts w:hint="default"/>
                <w:sz w:val="21"/>
                <w:szCs w:val="21"/>
              </w:rPr>
              <w:t>)</w:t>
            </w:r>
          </w:p>
          <w:p w14:paraId="192C310F">
            <w:pPr>
              <w:keepNext w:val="0"/>
              <w:keepLines w:val="0"/>
              <w:suppressLineNumbers w:val="0"/>
              <w:spacing w:before="0" w:beforeAutospacing="0" w:after="0" w:afterAutospacing="0"/>
              <w:ind w:left="0" w:right="0" w:firstLine="0"/>
              <w:jc w:val="center"/>
              <w:rPr>
                <w:rFonts w:hint="default"/>
                <w:sz w:val="21"/>
                <w:szCs w:val="21"/>
              </w:rPr>
            </w:pPr>
          </w:p>
          <w:p w14:paraId="31E96849">
            <w:pPr>
              <w:keepNext w:val="0"/>
              <w:keepLines w:val="0"/>
              <w:suppressLineNumbers w:val="0"/>
              <w:spacing w:before="0" w:beforeAutospacing="0" w:after="0" w:afterAutospacing="0"/>
              <w:ind w:left="0" w:right="0" w:firstLine="0"/>
              <w:jc w:val="center"/>
              <w:rPr>
                <w:rFonts w:hint="default"/>
                <w:sz w:val="21"/>
                <w:szCs w:val="21"/>
              </w:rPr>
            </w:pPr>
          </w:p>
        </w:tc>
      </w:tr>
    </w:tbl>
    <w:p w14:paraId="22FE7371">
      <w:pPr>
        <w:spacing w:line="360" w:lineRule="auto"/>
        <w:rPr>
          <w:rFonts w:hint="eastAsia" w:cs="宋体"/>
          <w:kern w:val="0"/>
          <w:szCs w:val="21"/>
        </w:rPr>
      </w:pPr>
      <w:r>
        <w:rPr>
          <w:rFonts w:hint="eastAsia" w:cs="宋体"/>
          <w:kern w:val="0"/>
          <w:szCs w:val="21"/>
        </w:rPr>
        <w:t>其中</w:t>
      </w:r>
      <m:oMath>
        <m:r>
          <m:rPr/>
          <w:rPr>
            <w:rFonts w:hint="default" w:ascii="Cambria Math" w:hAnsi="Cambria Math"/>
            <w:sz w:val="21"/>
          </w:rPr>
          <m:t>Loadj(t)</m:t>
        </m:r>
      </m:oMath>
      <w:r>
        <w:rPr>
          <w:rFonts w:hint="eastAsia" w:cs="宋体"/>
          <w:kern w:val="0"/>
          <w:szCs w:val="21"/>
        </w:rPr>
        <w:t>是节点</w:t>
      </w:r>
      <m:oMath>
        <m:r>
          <m:rPr/>
          <w:rPr>
            <w:rFonts w:hint="default" w:ascii="Cambria Math" w:hAnsi="Cambria Math"/>
            <w:sz w:val="21"/>
          </w:rPr>
          <m:t>j</m:t>
        </m:r>
      </m:oMath>
      <w:r>
        <w:rPr>
          <w:rFonts w:hint="eastAsia" w:cs="宋体"/>
          <w:kern w:val="0"/>
          <w:szCs w:val="21"/>
        </w:rPr>
        <w:t>在时刻</w:t>
      </w:r>
      <m:oMath>
        <m:r>
          <m:rPr/>
          <w:rPr>
            <w:rFonts w:hint="default" w:ascii="Cambria Math" w:hAnsi="Cambria Math"/>
            <w:sz w:val="21"/>
          </w:rPr>
          <m:t>t</m:t>
        </m:r>
      </m:oMath>
      <w:r>
        <w:rPr>
          <w:rFonts w:hint="eastAsia" w:cs="宋体"/>
          <w:kern w:val="0"/>
          <w:szCs w:val="21"/>
        </w:rPr>
        <w:t>的标准化资源负载，</w:t>
      </w:r>
      <m:oMath>
        <m:r>
          <m:rPr/>
          <w:rPr>
            <w:rFonts w:hint="default" w:ascii="Cambria Math" w:hAnsi="Cambria Math"/>
            <w:sz w:val="21"/>
          </w:rPr>
          <m:t>wload</m:t>
        </m:r>
      </m:oMath>
      <w:r>
        <w:rPr>
          <w:rFonts w:hint="eastAsia" w:cs="宋体"/>
          <w:kern w:val="0"/>
          <w:szCs w:val="21"/>
        </w:rPr>
        <w:t>和</w:t>
      </w:r>
      <m:oMath>
        <m:sSub>
          <m:sSubPr>
            <m:ctrlPr>
              <w:rPr>
                <w:rFonts w:hint="default" w:ascii="Cambria Math" w:hAnsi="Cambria Math"/>
                <w:sz w:val="21"/>
              </w:rPr>
            </m:ctrlPr>
          </m:sSubPr>
          <m:e>
            <m:r>
              <m:rPr/>
              <w:rPr>
                <w:rFonts w:hint="default" w:ascii="Cambria Math" w:hAnsi="Cambria Math"/>
                <w:sz w:val="21"/>
              </w:rPr>
              <m:t>w</m:t>
            </m:r>
            <m:ctrlPr>
              <w:rPr>
                <w:rFonts w:ascii="Cambria Math" w:hAnsi="Cambria Math"/>
                <w:sz w:val="21"/>
              </w:rPr>
            </m:ctrlPr>
          </m:e>
          <m:sub>
            <m:r>
              <m:rPr/>
              <w:rPr>
                <w:rFonts w:hint="default" w:ascii="Cambria Math" w:hAnsi="Cambria Math"/>
                <w:sz w:val="21"/>
              </w:rPr>
              <m:t>qos</m:t>
            </m:r>
            <m:ctrlPr>
              <w:rPr>
                <w:rFonts w:ascii="Cambria Math" w:hAnsi="Cambria Math"/>
                <w:sz w:val="21"/>
              </w:rPr>
            </m:ctrlPr>
          </m:sub>
        </m:sSub>
      </m:oMath>
      <w:r>
        <w:rPr>
          <w:rFonts w:hint="eastAsia" w:cs="宋体"/>
          <w:kern w:val="0"/>
          <w:szCs w:val="21"/>
        </w:rPr>
        <w:t>为权重系数。该指数赋予节点一种“自我审视”的能力：一个节点可能物理负载不高，但如果其队列中充满了高紧迫度、高重要性的任务，其QoS感知指数依然会很高，从而触发其主动调整行为，如降低报价以寻求帮助。</w:t>
      </w:r>
    </w:p>
    <w:p w14:paraId="40922C06">
      <w:pPr>
        <w:pStyle w:val="2"/>
        <w:spacing w:before="0" w:after="0" w:line="360" w:lineRule="auto"/>
        <w:rPr>
          <w:rFonts w:hint="eastAsia" w:ascii="Times New Roman" w:hAnsi="Times New Roman" w:eastAsia="宋体"/>
          <w:bCs w:val="0"/>
          <w:kern w:val="0"/>
          <w:sz w:val="21"/>
          <w:szCs w:val="21"/>
        </w:rPr>
      </w:pPr>
      <w:r>
        <w:rPr>
          <w:rFonts w:hint="eastAsia" w:ascii="Times New Roman" w:hAnsi="Times New Roman" w:eastAsia="宋体"/>
          <w:bCs w:val="0"/>
          <w:kern w:val="0"/>
          <w:sz w:val="21"/>
          <w:szCs w:val="21"/>
          <w:lang w:val="en-US" w:eastAsia="zh-CN"/>
        </w:rPr>
        <w:t>3</w:t>
      </w:r>
      <w:r>
        <w:rPr>
          <w:rFonts w:hint="eastAsia" w:ascii="Times New Roman" w:hAnsi="Times New Roman" w:eastAsia="宋体"/>
          <w:bCs w:val="0"/>
          <w:kern w:val="0"/>
          <w:sz w:val="21"/>
          <w:szCs w:val="21"/>
        </w:rPr>
        <w:t>.</w:t>
      </w:r>
      <w:r>
        <w:rPr>
          <w:rFonts w:hint="eastAsia" w:ascii="Times New Roman" w:hAnsi="Times New Roman" w:eastAsia="宋体"/>
          <w:bCs w:val="0"/>
          <w:kern w:val="0"/>
          <w:sz w:val="21"/>
          <w:szCs w:val="21"/>
          <w:lang w:val="en-US" w:eastAsia="zh-CN"/>
        </w:rPr>
        <w:t>5</w:t>
      </w:r>
      <w:r>
        <w:rPr>
          <w:rFonts w:hint="eastAsia" w:ascii="Times New Roman" w:hAnsi="Times New Roman" w:eastAsia="宋体"/>
          <w:bCs w:val="0"/>
          <w:kern w:val="0"/>
          <w:sz w:val="21"/>
          <w:szCs w:val="21"/>
        </w:rPr>
        <w:t xml:space="preserve">  问题定义</w:t>
      </w:r>
    </w:p>
    <w:p w14:paraId="7C928B1C">
      <w:pPr>
        <w:spacing w:line="360" w:lineRule="auto"/>
        <w:ind w:firstLine="430" w:firstLineChars="205"/>
        <w:rPr>
          <w:rFonts w:hint="eastAsia" w:ascii="Times New Roman" w:hAnsi="Times New Roman" w:eastAsia="宋体"/>
          <w:bCs w:val="0"/>
          <w:kern w:val="0"/>
          <w:sz w:val="21"/>
          <w:szCs w:val="21"/>
        </w:rPr>
      </w:pPr>
      <w:r>
        <w:rPr>
          <w:rFonts w:hint="eastAsia" w:ascii="Times New Roman" w:hAnsi="Times New Roman" w:eastAsia="宋体"/>
          <w:bCs w:val="0"/>
          <w:kern w:val="0"/>
          <w:sz w:val="21"/>
          <w:szCs w:val="21"/>
        </w:rPr>
        <w:t>基于上述模型，本文的研究目标可形式化地定义为一个在动态、不确定环境下的多目标优化问题。调度策略</w:t>
      </w:r>
      <m:oMath>
        <m:r>
          <m:rPr/>
          <w:rPr>
            <w:rFonts w:hint="default" w:ascii="Cambria Math" w:hAnsi="Cambria Math" w:eastAsia="宋体"/>
            <w:sz w:val="21"/>
          </w:rPr>
          <m:t>π</m:t>
        </m:r>
      </m:oMath>
      <w:r>
        <w:rPr>
          <w:rFonts w:hint="eastAsia" w:ascii="Times New Roman" w:hAnsi="Times New Roman" w:eastAsia="宋体"/>
          <w:bCs w:val="0"/>
          <w:kern w:val="0"/>
          <w:sz w:val="21"/>
          <w:szCs w:val="21"/>
        </w:rPr>
        <w:t>需为每个到达的任务</w:t>
      </w:r>
      <m:oMath>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hint="eastAsia" w:ascii="Times New Roman" w:hAnsi="Times New Roman" w:eastAsia="宋体"/>
          <w:bCs w:val="0"/>
          <w:kern w:val="0"/>
          <w:sz w:val="21"/>
          <w:szCs w:val="21"/>
        </w:rPr>
        <w:t>分配一个执行节点</w:t>
      </w:r>
      <m:oMath>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rFonts w:hint="eastAsia" w:ascii="Times New Roman" w:hAnsi="Times New Roman" w:eastAsia="宋体"/>
          <w:bCs w:val="0"/>
          <w:kern w:val="0"/>
          <w:sz w:val="21"/>
          <w:szCs w:val="21"/>
        </w:rPr>
        <w:t>及开始执行时间</w:t>
      </w:r>
      <m:oMath>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start</m:t>
            </m:r>
            <m:ctrlPr>
              <w:rPr>
                <w:rFonts w:ascii="Cambria Math" w:hAnsi="Cambria Math" w:eastAsia="宋体"/>
                <w:sz w:val="21"/>
              </w:rPr>
            </m:ctrlPr>
          </m:sub>
        </m:sSub>
      </m:oMath>
      <w:r>
        <w:rPr>
          <w:rFonts w:hint="eastAsia" w:ascii="Times New Roman" w:hAnsi="Times New Roman" w:eastAsia="宋体"/>
          <w:bCs w:val="0"/>
          <w:kern w:val="0"/>
          <w:sz w:val="21"/>
          <w:szCs w:val="21"/>
        </w:rPr>
        <w:t>，旨在联合优化两个相互冲突的目标。</w:t>
      </w:r>
    </w:p>
    <w:p w14:paraId="1E84B45C">
      <w:pPr>
        <w:spacing w:line="360" w:lineRule="auto"/>
        <w:ind w:firstLine="432" w:firstLineChars="205"/>
        <w:rPr>
          <w:rFonts w:hint="eastAsia" w:ascii="Times New Roman" w:hAnsi="Times New Roman" w:eastAsia="宋体"/>
          <w:bCs w:val="0"/>
          <w:kern w:val="0"/>
          <w:sz w:val="21"/>
          <w:szCs w:val="21"/>
        </w:rPr>
      </w:pPr>
      <w:r>
        <w:rPr>
          <w:rFonts w:hint="eastAsia" w:ascii="Times New Roman" w:hAnsi="Times New Roman" w:eastAsia="宋体"/>
          <w:b/>
          <w:bCs/>
          <w:kern w:val="0"/>
          <w:sz w:val="21"/>
          <w:szCs w:val="21"/>
        </w:rPr>
        <w:t>目标一：</w:t>
      </w:r>
      <w:r>
        <w:rPr>
          <w:rFonts w:hint="eastAsia" w:ascii="Times New Roman" w:hAnsi="Times New Roman" w:eastAsia="宋体"/>
          <w:bCs w:val="0"/>
          <w:kern w:val="0"/>
          <w:sz w:val="21"/>
          <w:szCs w:val="21"/>
        </w:rPr>
        <w:t>最小化总计算成本（Total Computation Cost, TCC），即所有已完成任务的成本之和：</w:t>
      </w:r>
    </w:p>
    <w:tbl>
      <w:tblPr>
        <w:tblStyle w:val="12"/>
        <w:tblW w:w="82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572"/>
        <w:gridCol w:w="723"/>
      </w:tblGrid>
      <w:tr w14:paraId="17AFF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07" w:hRule="exact"/>
          <w:jc w:val="center"/>
        </w:trPr>
        <w:tc>
          <w:tcPr>
            <w:tcW w:w="7572" w:type="dxa"/>
            <w:noWrap/>
            <w:vAlign w:val="center"/>
          </w:tcPr>
          <w:p w14:paraId="76E341F0">
            <w:pPr>
              <w:spacing w:line="360" w:lineRule="auto"/>
              <w:rPr>
                <w:rFonts w:hint="default"/>
                <w:sz w:val="16"/>
                <w:szCs w:val="16"/>
                <w:lang w:val="en-US"/>
              </w:rPr>
            </w:pPr>
            <m:oMathPara>
              <m:oMath>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r>
                          <m:rPr/>
                          <w:rPr>
                            <w:rFonts w:hint="default" w:ascii="Cambria Math" w:hAnsi="Cambria Math" w:eastAsia="宋体"/>
                            <w:sz w:val="21"/>
                          </w:rPr>
                          <m:t>π</m:t>
                        </m:r>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TCC</m:t>
                    </m:r>
                    <m:ctrlPr>
                      <w:rPr>
                        <w:rFonts w:hint="default" w:ascii="Cambria Math" w:hAnsi="Cambria Math" w:eastAsia="宋体"/>
                        <w:sz w:val="21"/>
                      </w:rPr>
                    </m:ctrlPr>
                  </m:e>
                </m:func>
                <m:r>
                  <m:rPr/>
                  <w:rPr>
                    <w:rFonts w:hint="default" w:ascii="Cambria Math" w:hAnsi="Cambria Math" w:eastAsia="宋体"/>
                    <w:sz w:val="21"/>
                  </w:rPr>
                  <m:t>(π)=</m:t>
                </m:r>
                <m:nary>
                  <m:naryPr>
                    <m:chr m:val="∑"/>
                    <m:limLoc m:val="undOvr"/>
                    <m:supHide m:val="1"/>
                    <m:ctrlPr>
                      <w:rPr>
                        <w:rFonts w:hint="default" w:ascii="Cambria Math" w:hAnsi="Cambria Math" w:eastAsia="宋体"/>
                        <w:i/>
                        <w:sz w:val="21"/>
                      </w:rPr>
                    </m:ctrlPr>
                  </m:naryPr>
                  <m:sub>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K</m:t>
                        </m:r>
                        <m:ctrlPr>
                          <w:rPr>
                            <w:rFonts w:ascii="Cambria Math" w:hAnsi="Cambria Math" w:eastAsia="宋体"/>
                            <w:sz w:val="21"/>
                          </w:rPr>
                        </m:ctrlPr>
                      </m:e>
                      <m:sub>
                        <m:r>
                          <m:rPr/>
                          <w:rPr>
                            <w:rFonts w:hint="default" w:ascii="Cambria Math" w:hAnsi="Cambria Math" w:eastAsia="宋体"/>
                            <w:sz w:val="21"/>
                          </w:rPr>
                          <m:t>completed</m:t>
                        </m:r>
                        <m:ctrlPr>
                          <w:rPr>
                            <w:rFonts w:ascii="Cambria Math" w:hAnsi="Cambria Math" w:eastAsia="宋体"/>
                            <w:sz w:val="21"/>
                          </w:rPr>
                        </m:ctrlPr>
                      </m:sub>
                    </m:sSub>
                    <m:ctrlPr>
                      <w:rPr>
                        <w:rFonts w:hint="default" w:ascii="Cambria Math" w:hAnsi="Cambria Math" w:eastAsia="宋体"/>
                        <w:sz w:val="21"/>
                      </w:rPr>
                    </m:ctrlPr>
                  </m:sub>
                  <m:sup>
                    <m:ctrlPr>
                      <w:rPr>
                        <w:rFonts w:hint="default" w:ascii="Cambria Math" w:hAnsi="Cambria Math" w:eastAsia="宋体"/>
                        <w:sz w:val="21"/>
                      </w:rPr>
                    </m:ctrlPr>
                  </m:sup>
                  <m:e>
                    <m:r>
                      <m:rPr/>
                      <w:rPr>
                        <w:rFonts w:hint="default" w:ascii="Cambria Math" w:hAnsi="Cambria Math" w:eastAsia="宋体"/>
                        <w:sz w:val="21"/>
                      </w:rPr>
                      <m:t>C</m:t>
                    </m:r>
                    <m:ctrlPr>
                      <w:rPr>
                        <w:rFonts w:hint="default" w:ascii="Cambria Math" w:hAnsi="Cambria Math" w:eastAsia="宋体"/>
                        <w:sz w:val="21"/>
                      </w:rPr>
                    </m:ctrlPr>
                  </m:e>
                </m:nary>
                <m:r>
                  <m:rPr/>
                  <w:rPr>
                    <w:rFonts w:hint="default" w:ascii="Cambria Math" w:hAnsi="Cambria Math" w:eastAsia="宋体"/>
                    <w:sz w:val="21"/>
                  </w:rPr>
                  <m:t>ost(</m:t>
                </m:r>
                <m:sSub>
                  <m:sSubPr>
                    <m:ctrlPr>
                      <w:rPr>
                        <w:rFonts w:hint="default" w:ascii="Cambria Math" w:hAnsi="Cambria Math" w:eastAsia="宋体"/>
                        <w:sz w:val="21"/>
                      </w:rPr>
                    </m:ctrlPr>
                  </m:sSubPr>
                  <m:e>
                    <m:r>
                      <m:rPr/>
                      <w:rPr>
                        <w:rFonts w:hint="default" w:ascii="Cambria Math" w:hAnsi="Cambria Math" w:eastAsia="宋体"/>
                        <w:sz w:val="21"/>
                      </w:rPr>
                      <m:t>t</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,π(</m:t>
                </m:r>
                <m:sSub>
                  <m:sSubPr>
                    <m:ctrlPr>
                      <w:rPr>
                        <w:rFonts w:hint="default" w:ascii="Cambria Math" w:hAnsi="Cambria Math" w:eastAsia="宋体"/>
                        <w:sz w:val="21"/>
                      </w:rPr>
                    </m:ctrlPr>
                  </m:sSubPr>
                  <m:e>
                    <m:r>
                      <m:rPr/>
                      <w:rPr>
                        <w:rFonts w:hint="default" w:ascii="Cambria Math" w:hAnsi="Cambria Math" w:eastAsia="宋体"/>
                        <w:sz w:val="21"/>
                      </w:rPr>
                      <m:t>t</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oMath>
            </m:oMathPara>
          </w:p>
        </w:tc>
        <w:tc>
          <w:tcPr>
            <w:tcW w:w="723" w:type="dxa"/>
            <w:noWrap/>
            <w:vAlign w:val="top"/>
          </w:tcPr>
          <w:p w14:paraId="11A4132F">
            <w:pPr>
              <w:keepNext w:val="0"/>
              <w:keepLines w:val="0"/>
              <w:suppressLineNumbers w:val="0"/>
              <w:spacing w:before="0" w:beforeAutospacing="0" w:after="0" w:afterAutospacing="0"/>
              <w:ind w:left="0" w:right="0" w:firstLine="0"/>
              <w:jc w:val="center"/>
              <w:rPr>
                <w:rFonts w:hint="default"/>
                <w:sz w:val="21"/>
                <w:szCs w:val="21"/>
              </w:rPr>
            </w:pPr>
          </w:p>
          <w:p w14:paraId="45593A89">
            <w:pPr>
              <w:keepNext w:val="0"/>
              <w:keepLines w:val="0"/>
              <w:suppressLineNumbers w:val="0"/>
              <w:spacing w:before="0" w:beforeAutospacing="0" w:after="0" w:afterAutospacing="0"/>
              <w:ind w:left="0" w:right="0" w:firstLine="0"/>
              <w:jc w:val="center"/>
              <w:rPr>
                <w:rFonts w:hint="default"/>
                <w:sz w:val="21"/>
                <w:szCs w:val="21"/>
              </w:rPr>
            </w:pPr>
            <w:r>
              <w:rPr>
                <w:rFonts w:hint="default"/>
                <w:sz w:val="21"/>
                <w:szCs w:val="21"/>
              </w:rPr>
              <w:t>(</w:t>
            </w:r>
            <w:r>
              <w:rPr>
                <w:rFonts w:hint="default"/>
                <w:sz w:val="21"/>
                <w:szCs w:val="21"/>
              </w:rPr>
              <w:fldChar w:fldCharType="begin"/>
            </w:r>
            <w:r>
              <w:rPr>
                <w:rFonts w:hint="default"/>
                <w:sz w:val="21"/>
                <w:szCs w:val="21"/>
              </w:rPr>
              <w:instrText xml:space="preserve"> SEQ 公式 \* ARABIC \s 1 </w:instrText>
            </w:r>
            <w:r>
              <w:rPr>
                <w:rFonts w:hint="default"/>
                <w:sz w:val="21"/>
                <w:szCs w:val="21"/>
              </w:rPr>
              <w:fldChar w:fldCharType="separate"/>
            </w:r>
            <w:r>
              <w:rPr>
                <w:rFonts w:hint="default"/>
                <w:sz w:val="21"/>
                <w:szCs w:val="21"/>
              </w:rPr>
              <w:t>7</w:t>
            </w:r>
            <w:r>
              <w:rPr>
                <w:rFonts w:hint="default"/>
                <w:sz w:val="21"/>
                <w:szCs w:val="21"/>
              </w:rPr>
              <w:fldChar w:fldCharType="end"/>
            </w:r>
            <w:r>
              <w:rPr>
                <w:rFonts w:hint="default"/>
                <w:sz w:val="21"/>
                <w:szCs w:val="21"/>
              </w:rPr>
              <w:t>)</w:t>
            </w:r>
          </w:p>
          <w:p w14:paraId="3DDB6E40">
            <w:pPr>
              <w:keepNext w:val="0"/>
              <w:keepLines w:val="0"/>
              <w:suppressLineNumbers w:val="0"/>
              <w:spacing w:before="0" w:beforeAutospacing="0" w:after="0" w:afterAutospacing="0"/>
              <w:ind w:left="0" w:right="0" w:firstLine="0"/>
              <w:jc w:val="center"/>
              <w:rPr>
                <w:rFonts w:hint="default"/>
                <w:sz w:val="21"/>
                <w:szCs w:val="21"/>
              </w:rPr>
            </w:pPr>
          </w:p>
          <w:p w14:paraId="662B4D79">
            <w:pPr>
              <w:keepNext w:val="0"/>
              <w:keepLines w:val="0"/>
              <w:suppressLineNumbers w:val="0"/>
              <w:spacing w:before="0" w:beforeAutospacing="0" w:after="0" w:afterAutospacing="0"/>
              <w:ind w:left="0" w:right="0" w:firstLine="0"/>
              <w:jc w:val="center"/>
              <w:rPr>
                <w:rFonts w:hint="default"/>
                <w:sz w:val="21"/>
                <w:szCs w:val="21"/>
              </w:rPr>
            </w:pPr>
          </w:p>
        </w:tc>
      </w:tr>
    </w:tbl>
    <w:p w14:paraId="4278CA02">
      <w:pPr>
        <w:spacing w:line="360" w:lineRule="auto"/>
        <w:ind w:firstLine="422" w:firstLineChars="200"/>
        <w:rPr>
          <w:rFonts w:hint="eastAsia" w:hAnsi="Cambria Math" w:eastAsia="宋体"/>
          <w:i w:val="0"/>
          <w:sz w:val="21"/>
          <w:lang w:eastAsia="zh-CN"/>
        </w:rPr>
      </w:pPr>
      <w:r>
        <w:rPr>
          <w:rFonts w:hint="eastAsia" w:ascii="Times New Roman" w:hAnsi="Times New Roman" w:eastAsia="宋体"/>
          <w:b/>
          <w:bCs/>
          <w:kern w:val="0"/>
          <w:sz w:val="21"/>
          <w:szCs w:val="21"/>
        </w:rPr>
        <w:t>目标二：</w:t>
      </w:r>
      <w:r>
        <w:rPr>
          <w:rFonts w:hint="eastAsia" w:ascii="Times New Roman" w:hAnsi="Times New Roman" w:eastAsia="宋体"/>
          <w:bCs w:val="0"/>
          <w:kern w:val="0"/>
          <w:sz w:val="21"/>
          <w:szCs w:val="21"/>
        </w:rPr>
        <w:t>最大化总体服务质量（Overall Quality of Service, OQS），该目标进一步分解为多个子指标，核心是最大化任务的加权完成率，其中权重由任务的重要性</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oMath>
      <w:r>
        <w:rPr>
          <w:rFonts w:hint="eastAsia" w:ascii="Times New Roman" w:hAnsi="Times New Roman" w:eastAsia="宋体"/>
          <w:bCs w:val="0"/>
          <w:kern w:val="0"/>
          <w:sz w:val="21"/>
          <w:szCs w:val="21"/>
        </w:rPr>
        <w:t>决定：</w:t>
      </w:r>
    </w:p>
    <w:tbl>
      <w:tblPr>
        <w:tblStyle w:val="12"/>
        <w:tblW w:w="82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572"/>
        <w:gridCol w:w="723"/>
      </w:tblGrid>
      <w:tr w14:paraId="0C4C5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7" w:hRule="exact"/>
          <w:jc w:val="center"/>
        </w:trPr>
        <w:tc>
          <w:tcPr>
            <w:tcW w:w="7572" w:type="dxa"/>
            <w:noWrap/>
            <w:vAlign w:val="center"/>
          </w:tcPr>
          <w:p w14:paraId="463149B6">
            <w:pPr>
              <w:spacing w:line="360" w:lineRule="auto"/>
              <w:rPr>
                <w:rFonts w:hint="default"/>
                <w:sz w:val="16"/>
                <w:szCs w:val="16"/>
                <w:lang w:val="en-US"/>
              </w:rPr>
            </w:pPr>
            <m:oMathPara>
              <m:oMath>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max</m:t>
                        </m:r>
                        <m:ctrlPr>
                          <w:rPr>
                            <w:rFonts w:ascii="Cambria Math" w:hAnsi="Cambria Math" w:eastAsia="宋体"/>
                            <w:sz w:val="21"/>
                          </w:rPr>
                        </m:ctrlPr>
                      </m:e>
                      <m:lim>
                        <m:r>
                          <m:rPr/>
                          <w:rPr>
                            <w:rFonts w:hint="default" w:ascii="Cambria Math" w:hAnsi="Cambria Math" w:eastAsia="宋体"/>
                            <w:sz w:val="21"/>
                          </w:rPr>
                          <m:t>π</m:t>
                        </m:r>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OQS</m:t>
                    </m:r>
                    <m:ctrlPr>
                      <w:rPr>
                        <w:rFonts w:hint="default" w:ascii="Cambria Math" w:hAnsi="Cambria Math" w:eastAsia="宋体"/>
                        <w:sz w:val="21"/>
                      </w:rPr>
                    </m:ctrlPr>
                  </m:e>
                </m:func>
                <m:r>
                  <m:rPr/>
                  <w:rPr>
                    <w:rFonts w:hint="default" w:ascii="Cambria Math" w:hAnsi="Cambria Math" w:eastAsia="宋体"/>
                    <w:sz w:val="21"/>
                  </w:rPr>
                  <m:t>(π)=</m:t>
                </m:r>
                <m:f>
                  <m:fPr>
                    <m:ctrlPr>
                      <w:rPr>
                        <w:rFonts w:hint="default" w:ascii="Cambria Math" w:hAnsi="Cambria Math" w:eastAsia="宋体"/>
                        <w:i/>
                        <w:sz w:val="21"/>
                      </w:rPr>
                    </m:ctrlPr>
                  </m:fPr>
                  <m:num>
                    <m:nary>
                      <m:naryPr>
                        <m:chr m:val="∑"/>
                        <m:limLoc m:val="undOvr"/>
                        <m:supHide m:val="1"/>
                        <m:ctrlPr>
                          <w:rPr>
                            <w:rFonts w:hint="default" w:ascii="Cambria Math" w:hAnsi="Cambria Math" w:eastAsia="宋体"/>
                            <w:i/>
                            <w:sz w:val="21"/>
                          </w:rPr>
                        </m:ctrlPr>
                      </m:naryPr>
                      <m:sub>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K</m:t>
                            </m:r>
                            <m:ctrlPr>
                              <w:rPr>
                                <w:rFonts w:ascii="Cambria Math" w:hAnsi="Cambria Math" w:eastAsia="宋体"/>
                                <w:sz w:val="21"/>
                              </w:rPr>
                            </m:ctrlPr>
                          </m:e>
                          <m:sub>
                            <m:r>
                              <m:rPr/>
                              <w:rPr>
                                <w:rFonts w:hint="default" w:ascii="Cambria Math" w:hAnsi="Cambria Math" w:eastAsia="宋体"/>
                                <w:sz w:val="21"/>
                              </w:rPr>
                              <m:t>completed</m:t>
                            </m:r>
                            <m:ctrlPr>
                              <w:rPr>
                                <w:rFonts w:ascii="Cambria Math" w:hAnsi="Cambria Math" w:eastAsia="宋体"/>
                                <w:sz w:val="21"/>
                              </w:rPr>
                            </m:ctrlPr>
                          </m:sub>
                        </m:sSub>
                        <m:ctrlPr>
                          <w:rPr>
                            <w:rFonts w:hint="default" w:ascii="Cambria Math" w:hAnsi="Cambria Math" w:eastAsia="宋体"/>
                            <w:sz w:val="21"/>
                          </w:rPr>
                        </m:ctrlPr>
                      </m:sub>
                      <m:sup>
                        <m:ctrlPr>
                          <w:rPr>
                            <w:rFonts w:hint="default"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e>
                    </m:nary>
                    <m:ctrlPr>
                      <w:rPr>
                        <w:rFonts w:hint="default" w:ascii="Cambria Math" w:hAnsi="Cambria Math" w:eastAsia="宋体"/>
                        <w:i/>
                        <w:sz w:val="21"/>
                      </w:rPr>
                    </m:ctrlPr>
                  </m:num>
                  <m:den>
                    <m:nary>
                      <m:naryPr>
                        <m:chr m:val="∑"/>
                        <m:limLoc m:val="undOvr"/>
                        <m:supHide m:val="1"/>
                        <m:ctrlPr>
                          <w:rPr>
                            <w:rFonts w:hint="default" w:ascii="Cambria Math" w:hAnsi="Cambria Math" w:eastAsia="宋体"/>
                            <w:i/>
                            <w:sz w:val="21"/>
                          </w:rPr>
                        </m:ctrlPr>
                      </m:naryPr>
                      <m:sub>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∈K</m:t>
                        </m:r>
                        <m:ctrlPr>
                          <w:rPr>
                            <w:rFonts w:hint="default" w:ascii="Cambria Math" w:hAnsi="Cambria Math" w:eastAsia="宋体"/>
                            <w:sz w:val="21"/>
                          </w:rPr>
                        </m:ctrlPr>
                      </m:sub>
                      <m:sup>
                        <m:ctrlPr>
                          <w:rPr>
                            <w:rFonts w:hint="default"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e>
                    </m:nary>
                    <m:ctrlPr>
                      <w:rPr>
                        <w:rFonts w:hint="default" w:ascii="Cambria Math" w:hAnsi="Cambria Math" w:eastAsia="宋体"/>
                        <w:i/>
                        <w:sz w:val="21"/>
                      </w:rPr>
                    </m:ctrlPr>
                  </m:den>
                </m:f>
              </m:oMath>
            </m:oMathPara>
          </w:p>
        </w:tc>
        <w:tc>
          <w:tcPr>
            <w:tcW w:w="723" w:type="dxa"/>
            <w:noWrap/>
            <w:vAlign w:val="top"/>
          </w:tcPr>
          <w:p w14:paraId="35A9872E">
            <w:pPr>
              <w:keepNext w:val="0"/>
              <w:keepLines w:val="0"/>
              <w:suppressLineNumbers w:val="0"/>
              <w:spacing w:before="0" w:beforeAutospacing="0" w:after="0" w:afterAutospacing="0"/>
              <w:ind w:left="0" w:right="0" w:firstLine="0"/>
              <w:jc w:val="center"/>
              <w:rPr>
                <w:rFonts w:hint="default"/>
                <w:sz w:val="21"/>
                <w:szCs w:val="21"/>
              </w:rPr>
            </w:pPr>
          </w:p>
          <w:p w14:paraId="7FB321C0">
            <w:pPr>
              <w:keepNext w:val="0"/>
              <w:keepLines w:val="0"/>
              <w:suppressLineNumbers w:val="0"/>
              <w:spacing w:before="0" w:beforeAutospacing="0" w:after="0" w:afterAutospacing="0"/>
              <w:ind w:left="0" w:right="0" w:firstLine="0"/>
              <w:jc w:val="center"/>
              <w:rPr>
                <w:rFonts w:hint="default"/>
                <w:sz w:val="21"/>
                <w:szCs w:val="21"/>
              </w:rPr>
            </w:pPr>
            <w:r>
              <w:rPr>
                <w:rFonts w:hint="default"/>
                <w:sz w:val="21"/>
                <w:szCs w:val="21"/>
              </w:rPr>
              <w:t>(</w:t>
            </w:r>
            <w:r>
              <w:rPr>
                <w:rFonts w:hint="default"/>
                <w:sz w:val="21"/>
                <w:szCs w:val="21"/>
              </w:rPr>
              <w:fldChar w:fldCharType="begin"/>
            </w:r>
            <w:r>
              <w:rPr>
                <w:rFonts w:hint="default"/>
                <w:sz w:val="21"/>
                <w:szCs w:val="21"/>
              </w:rPr>
              <w:instrText xml:space="preserve"> SEQ 公式 \* ARABIC \s 1 </w:instrText>
            </w:r>
            <w:r>
              <w:rPr>
                <w:rFonts w:hint="default"/>
                <w:sz w:val="21"/>
                <w:szCs w:val="21"/>
              </w:rPr>
              <w:fldChar w:fldCharType="separate"/>
            </w:r>
            <w:r>
              <w:rPr>
                <w:rFonts w:hint="default"/>
                <w:sz w:val="21"/>
                <w:szCs w:val="21"/>
              </w:rPr>
              <w:t>8</w:t>
            </w:r>
            <w:r>
              <w:rPr>
                <w:rFonts w:hint="default"/>
                <w:sz w:val="21"/>
                <w:szCs w:val="21"/>
              </w:rPr>
              <w:fldChar w:fldCharType="end"/>
            </w:r>
            <w:r>
              <w:rPr>
                <w:rFonts w:hint="default"/>
                <w:sz w:val="21"/>
                <w:szCs w:val="21"/>
              </w:rPr>
              <w:t>)</w:t>
            </w:r>
          </w:p>
          <w:p w14:paraId="014861FB">
            <w:pPr>
              <w:keepNext w:val="0"/>
              <w:keepLines w:val="0"/>
              <w:suppressLineNumbers w:val="0"/>
              <w:spacing w:before="0" w:beforeAutospacing="0" w:after="0" w:afterAutospacing="0"/>
              <w:ind w:left="0" w:right="0" w:firstLine="0"/>
              <w:jc w:val="center"/>
              <w:rPr>
                <w:rFonts w:hint="default"/>
                <w:sz w:val="21"/>
                <w:szCs w:val="21"/>
              </w:rPr>
            </w:pPr>
          </w:p>
          <w:p w14:paraId="4843C00C">
            <w:pPr>
              <w:keepNext w:val="0"/>
              <w:keepLines w:val="0"/>
              <w:suppressLineNumbers w:val="0"/>
              <w:spacing w:before="0" w:beforeAutospacing="0" w:after="0" w:afterAutospacing="0"/>
              <w:ind w:left="0" w:right="0" w:firstLine="0"/>
              <w:jc w:val="center"/>
              <w:rPr>
                <w:rFonts w:hint="default"/>
                <w:sz w:val="21"/>
                <w:szCs w:val="21"/>
              </w:rPr>
            </w:pPr>
          </w:p>
        </w:tc>
      </w:tr>
    </w:tbl>
    <w:p w14:paraId="6139272B">
      <w:pPr>
        <w:spacing w:line="360" w:lineRule="auto"/>
        <w:ind w:firstLine="420" w:firstLineChars="200"/>
        <w:rPr>
          <w:rFonts w:hint="eastAsia" w:ascii="Times New Roman" w:hAnsi="Times New Roman" w:eastAsia="宋体"/>
          <w:bCs w:val="0"/>
          <w:kern w:val="0"/>
          <w:sz w:val="21"/>
          <w:szCs w:val="21"/>
        </w:rPr>
      </w:pPr>
      <w:r>
        <w:rPr>
          <w:rFonts w:hint="eastAsia" w:ascii="Times New Roman" w:hAnsi="Times New Roman" w:eastAsia="宋体"/>
          <w:bCs w:val="0"/>
          <w:kern w:val="0"/>
          <w:sz w:val="21"/>
          <w:szCs w:val="21"/>
        </w:rPr>
        <w:t>这两个优化目标需要在满足以下一系列约束条件的前提下进行。资源容量约束要求在任何时刻</w:t>
      </w:r>
      <m:oMath>
        <m:r>
          <m:rPr/>
          <w:rPr>
            <w:rFonts w:hint="default" w:ascii="Cambria Math" w:hAnsi="Cambria Math" w:eastAsia="宋体"/>
            <w:sz w:val="21"/>
          </w:rPr>
          <m:t>t</m:t>
        </m:r>
      </m:oMath>
      <w:r>
        <w:rPr>
          <w:rFonts w:hint="eastAsia" w:ascii="Times New Roman" w:hAnsi="Times New Roman" w:eastAsia="宋体"/>
          <w:bCs w:val="0"/>
          <w:kern w:val="0"/>
          <w:sz w:val="21"/>
          <w:szCs w:val="21"/>
        </w:rPr>
        <w:t>，任何节点</w:t>
      </w:r>
      <m:oMath>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rFonts w:hint="eastAsia" w:ascii="Times New Roman" w:hAnsi="Times New Roman" w:eastAsia="宋体"/>
          <w:bCs w:val="0"/>
          <w:kern w:val="0"/>
          <w:sz w:val="21"/>
          <w:szCs w:val="21"/>
        </w:rPr>
        <w:t>上正在执行的所有任务的资源需求之和不能超过该节点的资源容量。时序约束要求对于存在依赖关系的任务（如工作流），后继任务必须在其所有前驱任务都完成之后才能开始执行。截止时间约束要求对于具有严格截止时间的实时控制任务，其完成时间必须早于其截止时间。</w:t>
      </w:r>
    </w:p>
    <w:p w14:paraId="458D67BE">
      <w:pPr>
        <w:spacing w:line="360" w:lineRule="auto"/>
        <w:ind w:firstLine="430" w:firstLineChars="205"/>
        <w:rPr>
          <w:rFonts w:hint="eastAsia" w:ascii="Times New Roman" w:hAnsi="Times New Roman" w:eastAsia="宋体"/>
          <w:bCs w:val="0"/>
          <w:kern w:val="0"/>
          <w:sz w:val="21"/>
          <w:szCs w:val="21"/>
        </w:rPr>
      </w:pPr>
      <w:r>
        <w:rPr>
          <w:rFonts w:hint="eastAsia" w:ascii="Times New Roman" w:hAnsi="Times New Roman" w:eastAsia="宋体"/>
          <w:bCs w:val="0"/>
          <w:kern w:val="0"/>
          <w:sz w:val="21"/>
          <w:szCs w:val="21"/>
        </w:rPr>
        <w:t>这是一个NP-hard的组合优化问题，且由于任务的随机到达和环境的动态性，无法通过离线的最优算法求解。因此，设计一个高效、自适应、分布式的在线启发式算法（即QASS）是解决此问题的关键。</w:t>
      </w:r>
    </w:p>
    <w:p w14:paraId="4E5C10A8">
      <w:pPr>
        <w:pStyle w:val="2"/>
        <w:spacing w:before="0" w:after="0" w:line="360" w:lineRule="auto"/>
        <w:ind w:firstLine="420" w:firstLineChars="0"/>
        <w:rPr>
          <w:rFonts w:hint="eastAsia" w:ascii="Times New Roman" w:hAnsi="Times New Roman" w:eastAsia="宋体" w:cs="宋体"/>
          <w:bCs w:val="0"/>
          <w:color w:val="000000"/>
          <w:kern w:val="0"/>
          <w:sz w:val="28"/>
          <w:szCs w:val="28"/>
          <w:lang w:val="en-US" w:eastAsia="zh-CN"/>
        </w:rPr>
      </w:pPr>
      <w:r>
        <w:rPr>
          <w:rFonts w:hint="eastAsia" w:ascii="Times New Roman" w:hAnsi="Times New Roman" w:eastAsia="宋体" w:cs="宋体"/>
          <w:bCs w:val="0"/>
          <w:color w:val="000000"/>
          <w:kern w:val="0"/>
          <w:sz w:val="28"/>
          <w:szCs w:val="28"/>
        </w:rPr>
        <w:t xml:space="preserve">4  </w:t>
      </w:r>
      <w:r>
        <w:rPr>
          <w:rFonts w:hint="eastAsia" w:ascii="Times New Roman" w:hAnsi="Times New Roman" w:eastAsia="宋体" w:cs="宋体"/>
          <w:bCs w:val="0"/>
          <w:color w:val="000000"/>
          <w:kern w:val="0"/>
          <w:sz w:val="28"/>
          <w:szCs w:val="28"/>
          <w:lang w:val="en-US" w:eastAsia="zh-CN"/>
        </w:rPr>
        <w:t>QASS模型设计</w:t>
      </w:r>
    </w:p>
    <w:p w14:paraId="3D0485AF">
      <w:pPr>
        <w:spacing w:line="360" w:lineRule="auto"/>
        <w:ind w:firstLine="430" w:firstLineChars="205"/>
        <w:rPr>
          <w:rFonts w:hint="eastAsia" w:cs="宋体"/>
          <w:kern w:val="0"/>
          <w:szCs w:val="21"/>
        </w:rPr>
      </w:pPr>
      <w:r>
        <w:rPr>
          <w:rFonts w:hint="eastAsia" w:cs="宋体"/>
          <w:kern w:val="0"/>
          <w:szCs w:val="21"/>
        </w:rPr>
        <w:t>QASS框架的核心思想是通过在一个完全去中心化的多代理系统中，模拟蜂群的智能协作行为，来实现对边缘资源的自适应、QoS感知型管理。本章将详细阐述QASS的总体架构，并深入剖析其三大核心组件——任务QoS需求代理（TQRA）、边缘节点QoS感知代理（RNQAA）和蜂群式协作调度（SCS）——的设计原理与算法实现。</w:t>
      </w:r>
    </w:p>
    <w:p w14:paraId="5606E906">
      <w:pPr>
        <w:pStyle w:val="2"/>
        <w:spacing w:before="0" w:after="0" w:line="360" w:lineRule="auto"/>
        <w:rPr>
          <w:rFonts w:hint="eastAsia" w:ascii="Times New Roman" w:hAnsi="Times New Roman" w:eastAsia="宋体"/>
          <w:bCs w:val="0"/>
          <w:kern w:val="0"/>
          <w:sz w:val="21"/>
          <w:szCs w:val="21"/>
        </w:rPr>
      </w:pPr>
      <w:r>
        <w:rPr>
          <w:rFonts w:hint="eastAsia" w:ascii="Times New Roman" w:hAnsi="Times New Roman" w:eastAsia="宋体"/>
          <w:bCs w:val="0"/>
          <w:kern w:val="0"/>
          <w:sz w:val="21"/>
          <w:szCs w:val="21"/>
          <w:lang w:val="en-US" w:eastAsia="zh-CN"/>
        </w:rPr>
        <w:t>4</w:t>
      </w:r>
      <w:r>
        <w:rPr>
          <w:rFonts w:hint="eastAsia" w:ascii="Times New Roman" w:hAnsi="Times New Roman" w:eastAsia="宋体"/>
          <w:bCs w:val="0"/>
          <w:kern w:val="0"/>
          <w:sz w:val="21"/>
          <w:szCs w:val="21"/>
        </w:rPr>
        <w:t>.</w:t>
      </w:r>
      <w:r>
        <w:rPr>
          <w:rFonts w:hint="eastAsia" w:ascii="Times New Roman" w:hAnsi="Times New Roman" w:eastAsia="宋体"/>
          <w:bCs w:val="0"/>
          <w:kern w:val="0"/>
          <w:sz w:val="21"/>
          <w:szCs w:val="21"/>
          <w:lang w:val="en-US" w:eastAsia="zh-CN"/>
        </w:rPr>
        <w:t>1</w:t>
      </w:r>
      <w:r>
        <w:rPr>
          <w:rFonts w:hint="eastAsia" w:ascii="Times New Roman" w:hAnsi="Times New Roman" w:eastAsia="宋体"/>
          <w:bCs w:val="0"/>
          <w:kern w:val="0"/>
          <w:sz w:val="21"/>
          <w:szCs w:val="21"/>
        </w:rPr>
        <w:t xml:space="preserve">  总体架构与工作流程</w:t>
      </w:r>
    </w:p>
    <w:p w14:paraId="6630385F">
      <w:pPr>
        <w:spacing w:line="360" w:lineRule="auto"/>
        <w:ind w:firstLine="430" w:firstLineChars="205"/>
        <w:rPr>
          <w:rFonts w:hint="eastAsia" w:cs="宋体"/>
          <w:kern w:val="0"/>
          <w:szCs w:val="21"/>
        </w:rPr>
      </w:pPr>
      <w:r>
        <w:rPr>
          <w:rFonts w:hint="eastAsia" w:cs="宋体"/>
          <w:kern w:val="0"/>
          <w:szCs w:val="21"/>
        </w:rPr>
        <w:t>QASS的架构是一个典型的去中心化多代理系统，其中不存在任何中央协调器或全局状态存储。每个边缘节点上均运行着一个轻量级自主代理，负责管理节点自身的资源、执行本地调度决策，并与其他节点的代理进行通信与协作。这一设计确保了系统的高度可扩展性与鲁棒性。</w:t>
      </w:r>
    </w:p>
    <w:p w14:paraId="4C6705CA">
      <w:pPr>
        <w:spacing w:line="360" w:lineRule="auto"/>
        <w:ind w:firstLine="430" w:firstLineChars="205"/>
        <w:rPr>
          <w:rFonts w:hint="eastAsia" w:cs="宋体"/>
          <w:kern w:val="0"/>
          <w:szCs w:val="21"/>
        </w:rPr>
      </w:pPr>
      <w:r>
        <w:rPr>
          <w:rFonts w:hint="eastAsia" w:cs="宋体"/>
          <w:kern w:val="0"/>
          <w:szCs w:val="21"/>
        </w:rPr>
        <w:t>QASS的核心工作流程可描述为一系列由事件驱动的、在各个代理之间异步发生的交互过程。当一个新任务</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rPr>
          <w:rFonts w:hint="eastAsia" w:cs="宋体"/>
          <w:kern w:val="0"/>
          <w:szCs w:val="21"/>
        </w:rPr>
        <w:t>到达系统时（通常到达某个边缘节点），一个专属的任务QoS需求代理（TQRA）实例被创建并与该任务绑定。TQRA根据任务的元数据（类别、预算、截止时间）初始化其QoS需求向量</w:t>
      </w:r>
      <m:oMath>
        <m:sSub>
          <m:sSubPr>
            <m:ctrlPr>
              <w:rPr>
                <w:rFonts w:hint="default" w:ascii="Cambria Math" w:hAnsi="Cambria Math"/>
                <w:sz w:val="21"/>
              </w:rPr>
            </m:ctrlPr>
          </m:sSubPr>
          <m:e>
            <m:r>
              <m:rPr>
                <m:sty m:val="b"/>
              </m:rPr>
              <w:rPr>
                <w:rFonts w:hint="default" w:ascii="Cambria Math" w:hAnsi="Cambria Math"/>
                <w:sz w:val="21"/>
              </w:rPr>
              <m:t>Q</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m:t>
        </m:r>
      </m:oMath>
      <w:r>
        <w:rPr>
          <w:rFonts w:hint="eastAsia" w:cs="宋体"/>
          <w:kern w:val="0"/>
          <w:szCs w:val="21"/>
        </w:rPr>
        <w:t>。随后，任务所到达的节点（称为“宿主节点”）的边缘节点QoS感知代理（RNQAA）首先尝试在本地满足该任务：它会评估自身的资源可用性与QoS感知指数，并为任务提供预期的执行时间和成本报价。</w:t>
      </w:r>
    </w:p>
    <w:p w14:paraId="7EAA7599">
      <w:pPr>
        <w:spacing w:line="360" w:lineRule="auto"/>
        <w:ind w:firstLine="430" w:firstLineChars="205"/>
        <w:rPr>
          <w:rFonts w:hint="eastAsia" w:cs="宋体"/>
          <w:kern w:val="0"/>
          <w:szCs w:val="21"/>
        </w:rPr>
      </w:pPr>
      <w:r>
        <w:rPr>
          <w:rFonts w:hint="eastAsia" w:cs="宋体"/>
          <w:kern w:val="0"/>
          <w:szCs w:val="21"/>
        </w:rPr>
        <w:t>与此同时，对于所有在队列中等待的任务，其TQRA会周期性地更新其QoS需求向量，特别是紧迫度</w:t>
      </w:r>
      <m:oMath>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m:t>
        </m:r>
      </m:oMath>
      <w:r>
        <w:rPr>
          <w:rFonts w:hint="eastAsia" w:cs="宋体"/>
          <w:kern w:val="0"/>
          <w:szCs w:val="21"/>
        </w:rPr>
        <w:t>和满意度</w:t>
      </w:r>
      <m:oMath>
        <m:r>
          <m:rPr/>
          <w:rPr>
            <w:rFonts w:hint="default" w:ascii="Cambria Math" w:hAnsi="Cambria Math"/>
            <w:sz w:val="21"/>
          </w:rPr>
          <m:t>S</m:t>
        </m:r>
        <m:sSub>
          <m:sSubPr>
            <m:ctrlPr>
              <w:rPr>
                <w:rFonts w:hint="default" w:ascii="Cambria Math" w:hAnsi="Cambria Math"/>
                <w:sz w:val="21"/>
              </w:rPr>
            </m:ctrlPr>
          </m:sSubPr>
          <m:e>
            <m:r>
              <m:rPr/>
              <w:rPr>
                <w:rFonts w:hint="default" w:ascii="Cambria Math" w:hAnsi="Cambria Math"/>
                <w:sz w:val="21"/>
              </w:rPr>
              <m:t>a</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m:t>
        </m:r>
      </m:oMath>
      <w:r>
        <w:rPr>
          <w:rFonts w:hint="eastAsia" w:cs="宋体"/>
          <w:kern w:val="0"/>
          <w:szCs w:val="21"/>
        </w:rPr>
        <w:t>，并重新计算其QoS需求强度</w:t>
      </w:r>
      <m:oMath>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m:t>
        </m:r>
      </m:oMath>
      <w:r>
        <w:rPr>
          <w:rFonts w:hint="eastAsia" w:cs="宋体"/>
          <w:kern w:val="0"/>
          <w:szCs w:val="21"/>
        </w:rPr>
        <w:t>。每个节点的RNQAA根据其队列中所有任务最新的QoS需求强度，动态地对本地等待队列进行重新排序，确保当前“最渴望”被服务的任务获得最高的执行优先级。</w:t>
      </w:r>
    </w:p>
    <w:p w14:paraId="676D5CD5">
      <w:pPr>
        <w:spacing w:line="360" w:lineRule="auto"/>
        <w:ind w:firstLine="430" w:firstLineChars="205"/>
        <w:rPr>
          <w:rFonts w:hint="eastAsia" w:cs="宋体"/>
          <w:kern w:val="0"/>
          <w:szCs w:val="21"/>
        </w:rPr>
      </w:pPr>
      <w:r>
        <w:rPr>
          <w:rFonts w:hint="eastAsia" w:cs="宋体"/>
          <w:kern w:val="0"/>
          <w:szCs w:val="21"/>
        </w:rPr>
        <w:t>当一个节点的RNQAA发现其自身的QoS感知指数</w:t>
      </w:r>
      <m:oMath>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(t)</m:t>
        </m:r>
      </m:oMath>
      <w:r>
        <w:rPr>
          <w:rFonts w:hint="eastAsia" w:cs="宋体"/>
          <w:kern w:val="0"/>
          <w:szCs w:val="21"/>
        </w:rPr>
        <w:t>超过预设阈值</w:t>
      </w:r>
      <m:oMath>
        <m:sSub>
          <m:sSubPr>
            <m:ctrlPr>
              <w:rPr>
                <w:rFonts w:hint="default" w:ascii="Cambria Math" w:hAnsi="Cambria Math"/>
                <w:sz w:val="21"/>
              </w:rPr>
            </m:ctrlPr>
          </m:sSubPr>
          <m:e>
            <m:r>
              <m:rPr/>
              <w:rPr>
                <w:rFonts w:hint="default" w:ascii="Cambria Math" w:hAnsi="Cambria Math"/>
                <w:sz w:val="21"/>
              </w:rPr>
              <m:t>θ</m:t>
            </m:r>
            <m:ctrlPr>
              <w:rPr>
                <w:rFonts w:ascii="Cambria Math" w:hAnsi="Cambria Math"/>
                <w:sz w:val="21"/>
              </w:rPr>
            </m:ctrlPr>
          </m:e>
          <m:sub>
            <m:r>
              <m:rPr/>
              <w:rPr>
                <w:rFonts w:hint="default" w:ascii="Cambria Math" w:hAnsi="Cambria Math"/>
                <w:sz w:val="21"/>
              </w:rPr>
              <m:t>help</m:t>
            </m:r>
            <m:ctrlPr>
              <w:rPr>
                <w:rFonts w:ascii="Cambria Math" w:hAnsi="Cambria Math"/>
                <w:sz w:val="21"/>
              </w:rPr>
            </m:ctrlPr>
          </m:sub>
        </m:sSub>
      </m:oMath>
      <w:r>
        <w:rPr>
          <w:rFonts w:hint="eastAsia" w:cs="宋体"/>
          <w:kern w:val="0"/>
          <w:szCs w:val="21"/>
        </w:rPr>
        <w:t>时，表明该节点正承受过大的QoS压力，此时将触发蜂群式协作调度（SCS）机制，主动向外寻求帮助。求助节点的SCS会为其队列中QoS需求强度最高的任务释放高浓度的数字信息素。网络中处于空闲或低负载状态的“侦察”节点在感知到这些信息素后，会主动与求助节点进行“协商”，并根据自身的资源情况和报价，决定是否接收（即“迁移”）一个或多个任务。</w:t>
      </w:r>
    </w:p>
    <w:p w14:paraId="50B370D3">
      <w:pPr>
        <w:spacing w:line="360" w:lineRule="auto"/>
        <w:jc w:val="center"/>
        <w:rPr>
          <w:rFonts w:hint="eastAsia" w:eastAsia="宋体" w:cs="宋体"/>
          <w:kern w:val="0"/>
          <w:szCs w:val="21"/>
          <w:lang w:eastAsia="zh-CN"/>
        </w:rPr>
      </w:pPr>
      <w:r>
        <w:rPr>
          <w:rFonts w:hint="eastAsia" w:eastAsia="宋体" w:cs="宋体"/>
          <w:kern w:val="0"/>
          <w:szCs w:val="21"/>
          <w:lang w:eastAsia="zh-CN"/>
        </w:rPr>
        <w:drawing>
          <wp:inline distT="0" distB="0" distL="114300" distR="114300">
            <wp:extent cx="3265170" cy="2438400"/>
            <wp:effectExtent l="0" t="0" r="11430" b="0"/>
            <wp:docPr id="14" name="图片 14" descr="585947482da7cd0115c338ce6adca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85947482da7cd0115c338ce6adca764"/>
                    <pic:cNvPicPr>
                      <a:picLocks noChangeAspect="1"/>
                    </pic:cNvPicPr>
                  </pic:nvPicPr>
                  <pic:blipFill>
                    <a:blip r:embed="rId7"/>
                    <a:stretch>
                      <a:fillRect/>
                    </a:stretch>
                  </pic:blipFill>
                  <pic:spPr>
                    <a:xfrm>
                      <a:off x="0" y="0"/>
                      <a:ext cx="3265170" cy="2438400"/>
                    </a:xfrm>
                    <a:prstGeom prst="rect">
                      <a:avLst/>
                    </a:prstGeom>
                  </pic:spPr>
                </pic:pic>
              </a:graphicData>
            </a:graphic>
          </wp:inline>
        </w:drawing>
      </w:r>
    </w:p>
    <w:p w14:paraId="34C9B038">
      <w:pPr>
        <w:spacing w:line="360" w:lineRule="auto"/>
        <w:ind w:firstLine="430" w:firstLineChars="205"/>
        <w:jc w:val="center"/>
        <w:rPr>
          <w:rFonts w:hint="eastAsia" w:eastAsia="宋体" w:cs="宋体"/>
          <w:kern w:val="0"/>
          <w:szCs w:val="21"/>
          <w:lang w:eastAsia="zh-CN"/>
        </w:rPr>
      </w:pPr>
      <w:r>
        <w:rPr>
          <w:rFonts w:hint="eastAsia" w:cs="宋体"/>
          <w:kern w:val="0"/>
          <w:szCs w:val="21"/>
          <w:lang w:val="en-US" w:eastAsia="zh-CN"/>
        </w:rPr>
        <w:t xml:space="preserve">图2 </w:t>
      </w:r>
      <w:r>
        <w:rPr>
          <w:rFonts w:hint="eastAsia" w:cs="宋体"/>
          <w:kern w:val="0"/>
          <w:szCs w:val="21"/>
        </w:rPr>
        <w:t>QASS模型</w:t>
      </w:r>
      <w:r>
        <w:rPr>
          <w:rFonts w:hint="eastAsia" w:cs="宋体"/>
          <w:kern w:val="0"/>
          <w:szCs w:val="21"/>
          <w:lang w:val="en-US" w:eastAsia="zh-CN"/>
        </w:rPr>
        <w:t>框架图</w:t>
      </w:r>
    </w:p>
    <w:p w14:paraId="7EA1AECB">
      <w:pPr>
        <w:pStyle w:val="2"/>
        <w:spacing w:before="0" w:after="0" w:line="360" w:lineRule="auto"/>
        <w:rPr>
          <w:rFonts w:hint="eastAsia" w:ascii="Times New Roman" w:hAnsi="Times New Roman" w:eastAsia="宋体"/>
          <w:bCs w:val="0"/>
          <w:kern w:val="0"/>
          <w:sz w:val="21"/>
          <w:szCs w:val="21"/>
        </w:rPr>
      </w:pPr>
      <w:r>
        <w:rPr>
          <w:rFonts w:hint="eastAsia" w:ascii="Times New Roman" w:hAnsi="Times New Roman" w:eastAsia="宋体"/>
          <w:bCs w:val="0"/>
          <w:kern w:val="0"/>
          <w:sz w:val="21"/>
          <w:szCs w:val="21"/>
          <w:lang w:val="en-US" w:eastAsia="zh-CN"/>
        </w:rPr>
        <w:t>4</w:t>
      </w:r>
      <w:r>
        <w:rPr>
          <w:rFonts w:hint="eastAsia" w:ascii="Times New Roman" w:hAnsi="Times New Roman" w:eastAsia="宋体"/>
          <w:bCs w:val="0"/>
          <w:kern w:val="0"/>
          <w:sz w:val="21"/>
          <w:szCs w:val="21"/>
        </w:rPr>
        <w:t>.</w:t>
      </w:r>
      <w:r>
        <w:rPr>
          <w:rFonts w:hint="eastAsia" w:ascii="Times New Roman" w:hAnsi="Times New Roman" w:eastAsia="宋体"/>
          <w:bCs w:val="0"/>
          <w:kern w:val="0"/>
          <w:sz w:val="21"/>
          <w:szCs w:val="21"/>
          <w:lang w:val="en-US" w:eastAsia="zh-CN"/>
        </w:rPr>
        <w:t>2</w:t>
      </w:r>
      <w:r>
        <w:rPr>
          <w:rFonts w:hint="eastAsia" w:ascii="Times New Roman" w:hAnsi="Times New Roman" w:eastAsia="宋体"/>
          <w:bCs w:val="0"/>
          <w:kern w:val="0"/>
          <w:sz w:val="21"/>
          <w:szCs w:val="21"/>
        </w:rPr>
        <w:t xml:space="preserve">  任务QoS需求代理（TQRA）</w:t>
      </w:r>
    </w:p>
    <w:p w14:paraId="20FF900F">
      <w:pPr>
        <w:spacing w:line="360" w:lineRule="auto"/>
        <w:ind w:firstLine="430" w:firstLineChars="205"/>
        <w:rPr>
          <w:rFonts w:hint="eastAsia" w:cs="宋体"/>
          <w:kern w:val="0"/>
          <w:szCs w:val="21"/>
        </w:rPr>
      </w:pPr>
      <w:r>
        <w:rPr>
          <w:rFonts w:hint="eastAsia" w:cs="宋体"/>
          <w:kern w:val="0"/>
          <w:szCs w:val="21"/>
        </w:rPr>
        <w:t>TQRA是QASS模型中任务个体的“代言人”，其核心职责在于精确、动态地量化任务的QoS状态，为所有上层调度决策提供基础输入。TQRA通过维护和更新第3.3节定义的QoS需求向量来实现这一功能。其算法逻辑十分轻量，主要包括初始化和周期性更新两个过程。在初始化阶段，TQRA根据任务的静态属性（类别、预算）设定重要性</w:t>
      </w:r>
      <m:oMath>
        <m:sSub>
          <m:sSubPr>
            <m:ctrlPr>
              <w:rPr>
                <w:rFonts w:hint="default" w:ascii="Cambria Math" w:hAnsi="Cambria Math"/>
                <w:sz w:val="21"/>
              </w:rPr>
            </m:ctrlPr>
          </m:sSub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rPr>
          <w:rFonts w:hint="eastAsia" w:cs="宋体"/>
          <w:kern w:val="0"/>
          <w:szCs w:val="21"/>
        </w:rPr>
        <w:t>，并将紧迫度和满意度初始化为预设值。在更新阶段，TQRA根据任务的到达时间、当前时间及截止时间，重新计算紧迫度</w:t>
      </w:r>
      <m:oMath>
        <m:sSub>
          <m:sSubPr>
            <m:ctrlPr>
              <w:rPr>
                <w:rFonts w:hint="default" w:ascii="Cambria Math" w:hAnsi="Cambria Math"/>
                <w:sz w:val="21"/>
              </w:rPr>
            </m:ctrlPr>
          </m:sSubPr>
          <m:e>
            <m:r>
              <m:rPr/>
              <w:rPr>
                <w:rFonts w:hint="default" w:ascii="Cambria Math" w:hAnsi="Cambria Math"/>
                <w:sz w:val="21"/>
              </w:rPr>
              <m:t>U</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m:t>
        </m:r>
      </m:oMath>
      <w:r>
        <w:rPr>
          <w:rFonts w:hint="eastAsia" w:cs="宋体"/>
          <w:kern w:val="0"/>
          <w:szCs w:val="21"/>
        </w:rPr>
        <w:t>和满意度</w:t>
      </w:r>
      <m:oMath>
        <m:r>
          <m:rPr/>
          <w:rPr>
            <w:rFonts w:hint="default" w:ascii="Cambria Math" w:hAnsi="Cambria Math"/>
            <w:sz w:val="21"/>
          </w:rPr>
          <m:t>S</m:t>
        </m:r>
        <m:sSub>
          <m:sSubPr>
            <m:ctrlPr>
              <w:rPr>
                <w:rFonts w:hint="default" w:ascii="Cambria Math" w:hAnsi="Cambria Math"/>
                <w:sz w:val="21"/>
              </w:rPr>
            </m:ctrlPr>
          </m:sSubPr>
          <m:e>
            <m:r>
              <m:rPr/>
              <w:rPr>
                <w:rFonts w:hint="default" w:ascii="Cambria Math" w:hAnsi="Cambria Math"/>
                <w:sz w:val="21"/>
              </w:rPr>
              <m:t>a</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m:t>
        </m:r>
      </m:oMath>
      <w:r>
        <w:rPr>
          <w:rFonts w:hint="eastAsia" w:cs="宋体"/>
          <w:kern w:val="0"/>
          <w:szCs w:val="21"/>
        </w:rPr>
        <w:t>，进而更新任务的QoS需求强度</w:t>
      </w:r>
      <m:oMath>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m:t>
        </m:r>
      </m:oMath>
      <w:r>
        <w:rPr>
          <w:rFonts w:hint="eastAsia" w:cs="宋体"/>
          <w:kern w:val="0"/>
          <w:szCs w:val="21"/>
        </w:rPr>
        <w:t>。</w:t>
      </w:r>
    </w:p>
    <w:p w14:paraId="35E0EDC9">
      <w:pPr>
        <w:spacing w:line="360" w:lineRule="auto"/>
        <w:ind w:firstLine="430" w:firstLineChars="205"/>
        <w:rPr>
          <w:rFonts w:hint="eastAsia" w:cs="宋体"/>
          <w:kern w:val="0"/>
          <w:szCs w:val="21"/>
        </w:rPr>
      </w:pPr>
      <w:r>
        <w:rPr>
          <w:rFonts w:hint="eastAsia" w:cs="宋体"/>
          <w:kern w:val="0"/>
          <w:szCs w:val="21"/>
        </w:rPr>
        <w:t>值得注意的是，TQRA的设计体现了一种“以任务为中心”的建模哲学。在传统调度模型中，任务通常被视为被动的、等待处理的数据对象；而在QASS中，每个任务均拥有一个能够“发声”的代理，持续向系统传达自身的状态与需求。这种将QoS状态计算逻辑封装于专属代理的设计，不仅使模型更具模块化和可理解性，也为未来扩展更复杂的QoS演化模型（如考虑任务间依赖关系对QoS的影响）奠定了良好的架构基础。</w:t>
      </w:r>
    </w:p>
    <w:p w14:paraId="23A37482">
      <w:pPr>
        <w:pStyle w:val="2"/>
        <w:spacing w:before="0" w:after="0" w:line="360" w:lineRule="auto"/>
        <w:rPr>
          <w:rFonts w:hint="eastAsia" w:ascii="Times New Roman" w:hAnsi="Times New Roman" w:eastAsia="宋体"/>
          <w:bCs w:val="0"/>
          <w:kern w:val="0"/>
          <w:sz w:val="21"/>
          <w:szCs w:val="21"/>
        </w:rPr>
      </w:pPr>
      <w:r>
        <w:rPr>
          <w:rFonts w:hint="eastAsia" w:ascii="Times New Roman" w:hAnsi="Times New Roman" w:eastAsia="宋体"/>
          <w:bCs w:val="0"/>
          <w:kern w:val="0"/>
          <w:sz w:val="21"/>
          <w:szCs w:val="21"/>
          <w:lang w:val="en-US" w:eastAsia="zh-CN"/>
        </w:rPr>
        <w:t>4</w:t>
      </w:r>
      <w:r>
        <w:rPr>
          <w:rFonts w:hint="eastAsia" w:ascii="Times New Roman" w:hAnsi="Times New Roman" w:eastAsia="宋体"/>
          <w:bCs w:val="0"/>
          <w:kern w:val="0"/>
          <w:sz w:val="21"/>
          <w:szCs w:val="21"/>
        </w:rPr>
        <w:t>.</w:t>
      </w:r>
      <w:r>
        <w:rPr>
          <w:rFonts w:hint="eastAsia" w:ascii="Times New Roman" w:hAnsi="Times New Roman" w:eastAsia="宋体"/>
          <w:bCs w:val="0"/>
          <w:kern w:val="0"/>
          <w:sz w:val="21"/>
          <w:szCs w:val="21"/>
          <w:lang w:val="en-US" w:eastAsia="zh-CN"/>
        </w:rPr>
        <w:t>3</w:t>
      </w:r>
      <w:r>
        <w:rPr>
          <w:rFonts w:hint="eastAsia" w:ascii="Times New Roman" w:hAnsi="Times New Roman" w:eastAsia="宋体"/>
          <w:bCs w:val="0"/>
          <w:kern w:val="0"/>
          <w:sz w:val="21"/>
          <w:szCs w:val="21"/>
        </w:rPr>
        <w:t xml:space="preserve">  边缘节点QoS感知代理（RNQAA）</w:t>
      </w:r>
    </w:p>
    <w:p w14:paraId="1FFA9D68">
      <w:pPr>
        <w:spacing w:line="360" w:lineRule="auto"/>
        <w:ind w:firstLine="430" w:firstLineChars="205"/>
        <w:rPr>
          <w:rFonts w:hint="eastAsia" w:cs="宋体"/>
          <w:kern w:val="0"/>
          <w:szCs w:val="21"/>
        </w:rPr>
      </w:pPr>
      <w:r>
        <w:rPr>
          <w:rFonts w:hint="eastAsia" w:cs="宋体"/>
          <w:kern w:val="0"/>
          <w:szCs w:val="21"/>
        </w:rPr>
        <w:t>RNQAA是赋予边缘节点“智能”与“自主性”的关键组件。它使节点能够超越被动任务执行者的角色，转变为一个主动感知自身状态并自适应调整其市场行为的经济实体。RNQAA的核心功能可概括为两个方面：计算QoS感知指数与执行自适应定价。</w:t>
      </w:r>
    </w:p>
    <w:p w14:paraId="70957B3D">
      <w:pPr>
        <w:spacing w:line="360" w:lineRule="auto"/>
        <w:ind w:firstLine="430" w:firstLineChars="205"/>
        <w:rPr>
          <w:rFonts w:hint="eastAsia" w:cs="宋体"/>
          <w:kern w:val="0"/>
          <w:szCs w:val="21"/>
        </w:rPr>
      </w:pPr>
      <w:r>
        <w:rPr>
          <w:rFonts w:hint="eastAsia" w:cs="宋体"/>
          <w:kern w:val="0"/>
          <w:szCs w:val="21"/>
        </w:rPr>
        <w:t>QoS感知指数的计算已在第3.4节中定义。RNQAA会以较短周期（例如每秒）执行该计算，以获得对自身状态的近乎实时的认知，该指数是其所有决策的出发点。一个高QoS感知指数意味着节点正面临双重压力：物理资源接近饱和，同时其承载的任务正变得越来越“焦急”。这两种压力的叠加，促使节点必须采取积极行动以缓解自身困境。</w:t>
      </w:r>
    </w:p>
    <w:p w14:paraId="01C97551">
      <w:pPr>
        <w:spacing w:line="360" w:lineRule="auto"/>
        <w:ind w:firstLine="430" w:firstLineChars="205"/>
        <w:rPr>
          <w:rFonts w:hint="eastAsia" w:cs="宋体"/>
          <w:kern w:val="0"/>
          <w:szCs w:val="21"/>
        </w:rPr>
      </w:pPr>
      <w:r>
        <w:rPr>
          <w:rFonts w:hint="eastAsia" w:cs="宋体"/>
          <w:kern w:val="0"/>
          <w:szCs w:val="21"/>
        </w:rPr>
        <w:t>自适应定价算法是RNQAA最核心的智能体现。与传统动态定价模型不同，QASS的定价策略旨在实现双重调节。一方面，它遵循基本市场规律，即资源越稀缺，价格越高；另一方面，它引入QoS压力作为反向调节因子，即节点越难以满足现有任务的QoS需求，就越倾向于降低价格以寻求外部帮助。该定价策略的核心思想可概括为：</w:t>
      </w:r>
      <w:r>
        <w:rPr>
          <w:rFonts w:hint="eastAsia" w:cs="宋体"/>
          <w:b/>
          <w:bCs/>
          <w:kern w:val="0"/>
          <w:szCs w:val="21"/>
        </w:rPr>
        <w:t>当节点游刃有余时，其服务价格较高；当其不堪重负时，则愿意以低价吸引援助</w:t>
      </w:r>
      <w:r>
        <w:rPr>
          <w:rFonts w:hint="eastAsia" w:cs="宋体"/>
          <w:kern w:val="0"/>
          <w:szCs w:val="21"/>
        </w:rPr>
        <w:t>。</w:t>
      </w:r>
    </w:p>
    <w:p w14:paraId="3E2DDBDE">
      <w:pPr>
        <w:spacing w:line="360" w:lineRule="auto"/>
        <w:ind w:firstLine="430" w:firstLineChars="205"/>
        <m:rPr/>
        <w:rPr>
          <w:rFonts w:hint="default" w:hAnsi="Cambria Math"/>
          <w:i w:val="0"/>
          <w:sz w:val="21"/>
        </w:rPr>
      </w:pPr>
      <w:r>
        <w:rPr>
          <w:rFonts w:hint="eastAsia" w:cs="宋体"/>
          <w:kern w:val="0"/>
          <w:szCs w:val="21"/>
        </w:rPr>
        <w:t>该定价策略的数学形式可表示为：</w:t>
      </w:r>
    </w:p>
    <w:tbl>
      <w:tblPr>
        <w:tblStyle w:val="12"/>
        <w:tblW w:w="82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572"/>
        <w:gridCol w:w="723"/>
      </w:tblGrid>
      <w:tr w14:paraId="43E1D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7" w:hRule="exact"/>
          <w:jc w:val="center"/>
        </w:trPr>
        <w:tc>
          <w:tcPr>
            <w:tcW w:w="7572" w:type="dxa"/>
            <w:noWrap/>
            <w:vAlign w:val="center"/>
          </w:tcPr>
          <w:p w14:paraId="74BEFEF7">
            <w:pPr>
              <w:spacing w:line="360" w:lineRule="auto"/>
              <w:rPr>
                <w:rFonts w:hint="default"/>
                <w:sz w:val="16"/>
                <w:szCs w:val="16"/>
                <w:lang w:val="en-US"/>
              </w:rPr>
            </w:pPr>
            <m:oMathPara>
              <m:oMath>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(t)=</m:t>
                </m:r>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base</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load</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Load</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(t))⋅</m:t>
                </m:r>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qos</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(t))</m:t>
                </m:r>
              </m:oMath>
            </m:oMathPara>
          </w:p>
        </w:tc>
        <w:tc>
          <w:tcPr>
            <w:tcW w:w="723" w:type="dxa"/>
            <w:noWrap/>
            <w:vAlign w:val="top"/>
          </w:tcPr>
          <w:p w14:paraId="25E8A2E0">
            <w:pPr>
              <w:keepNext w:val="0"/>
              <w:keepLines w:val="0"/>
              <w:suppressLineNumbers w:val="0"/>
              <w:spacing w:before="0" w:beforeAutospacing="0" w:after="0" w:afterAutospacing="0"/>
              <w:ind w:left="0" w:right="0" w:firstLine="0"/>
              <w:jc w:val="center"/>
              <w:rPr>
                <w:rFonts w:hint="default"/>
                <w:sz w:val="21"/>
                <w:szCs w:val="21"/>
              </w:rPr>
            </w:pPr>
          </w:p>
          <w:p w14:paraId="04DBFD51">
            <w:pPr>
              <w:keepNext w:val="0"/>
              <w:keepLines w:val="0"/>
              <w:suppressLineNumbers w:val="0"/>
              <w:spacing w:before="0" w:beforeAutospacing="0" w:after="0" w:afterAutospacing="0"/>
              <w:ind w:left="0" w:right="0" w:firstLine="0"/>
              <w:jc w:val="center"/>
              <w:rPr>
                <w:rFonts w:hint="default"/>
                <w:sz w:val="21"/>
                <w:szCs w:val="21"/>
              </w:rPr>
            </w:pPr>
            <w:r>
              <w:rPr>
                <w:rFonts w:hint="default"/>
                <w:sz w:val="21"/>
                <w:szCs w:val="21"/>
              </w:rPr>
              <w:t>(</w:t>
            </w:r>
            <w:r>
              <w:rPr>
                <w:rFonts w:hint="default"/>
                <w:sz w:val="21"/>
                <w:szCs w:val="21"/>
              </w:rPr>
              <w:fldChar w:fldCharType="begin"/>
            </w:r>
            <w:r>
              <w:rPr>
                <w:rFonts w:hint="default"/>
                <w:sz w:val="21"/>
                <w:szCs w:val="21"/>
              </w:rPr>
              <w:instrText xml:space="preserve"> SEQ 公式 \* ARABIC \s 1 </w:instrText>
            </w:r>
            <w:r>
              <w:rPr>
                <w:rFonts w:hint="default"/>
                <w:sz w:val="21"/>
                <w:szCs w:val="21"/>
              </w:rPr>
              <w:fldChar w:fldCharType="separate"/>
            </w:r>
            <w:r>
              <w:rPr>
                <w:rFonts w:hint="default"/>
                <w:sz w:val="21"/>
                <w:szCs w:val="21"/>
              </w:rPr>
              <w:t>9</w:t>
            </w:r>
            <w:r>
              <w:rPr>
                <w:rFonts w:hint="default"/>
                <w:sz w:val="21"/>
                <w:szCs w:val="21"/>
              </w:rPr>
              <w:fldChar w:fldCharType="end"/>
            </w:r>
            <w:r>
              <w:rPr>
                <w:rFonts w:hint="default"/>
                <w:sz w:val="21"/>
                <w:szCs w:val="21"/>
              </w:rPr>
              <w:t>)</w:t>
            </w:r>
          </w:p>
          <w:p w14:paraId="1F3E2124">
            <w:pPr>
              <w:keepNext w:val="0"/>
              <w:keepLines w:val="0"/>
              <w:suppressLineNumbers w:val="0"/>
              <w:spacing w:before="0" w:beforeAutospacing="0" w:after="0" w:afterAutospacing="0"/>
              <w:ind w:left="0" w:right="0" w:firstLine="0"/>
              <w:jc w:val="center"/>
              <w:rPr>
                <w:rFonts w:hint="default"/>
                <w:sz w:val="21"/>
                <w:szCs w:val="21"/>
              </w:rPr>
            </w:pPr>
          </w:p>
          <w:p w14:paraId="700CA7C1">
            <w:pPr>
              <w:keepNext w:val="0"/>
              <w:keepLines w:val="0"/>
              <w:suppressLineNumbers w:val="0"/>
              <w:spacing w:before="0" w:beforeAutospacing="0" w:after="0" w:afterAutospacing="0"/>
              <w:ind w:left="0" w:right="0" w:firstLine="0"/>
              <w:jc w:val="center"/>
              <w:rPr>
                <w:rFonts w:hint="default"/>
                <w:sz w:val="21"/>
                <w:szCs w:val="21"/>
              </w:rPr>
            </w:pPr>
          </w:p>
        </w:tc>
      </w:tr>
    </w:tbl>
    <w:p w14:paraId="27D5F0DB">
      <w:pPr>
        <w:spacing w:line="360" w:lineRule="auto"/>
        <w:rPr>
          <w:rFonts w:hint="eastAsia" w:hAnsi="Cambria Math" w:cs="宋体"/>
          <w:i w:val="0"/>
          <w:kern w:val="0"/>
          <w:sz w:val="21"/>
          <w:szCs w:val="21"/>
          <w:lang w:val="en-US" w:bidi="ar-SA"/>
        </w:rPr>
      </w:pPr>
      <w:r>
        <w:rPr>
          <w:rFonts w:hint="eastAsia" w:cs="宋体"/>
          <w:kern w:val="0"/>
          <w:szCs w:val="21"/>
        </w:rPr>
        <w:t>其中</w:t>
      </w:r>
      <m:oMath>
        <m:sSub>
          <m:sSubPr>
            <m:ctrlPr>
              <w:rPr>
                <w:rFonts w:hint="default" w:ascii="Cambria Math" w:hAnsi="Cambria Math"/>
                <w:sz w:val="21"/>
              </w:rPr>
            </m:ctrlPr>
          </m:sSubPr>
          <m:e>
            <m:r>
              <m:rPr/>
              <w:rPr>
                <w:rFonts w:hint="default" w:ascii="Cambria Math" w:hAnsi="Cambria Math"/>
                <w:sz w:val="21"/>
              </w:rPr>
              <m:t>P</m:t>
            </m:r>
            <m:ctrlPr>
              <w:rPr>
                <w:rFonts w:ascii="Cambria Math" w:hAnsi="Cambria Math"/>
                <w:sz w:val="21"/>
              </w:rPr>
            </m:ctrlPr>
          </m:e>
          <m:sub>
            <m:r>
              <m:rPr/>
              <w:rPr>
                <w:rFonts w:hint="default" w:ascii="Cambria Math" w:hAnsi="Cambria Math"/>
                <w:sz w:val="21"/>
              </w:rPr>
              <m:t>base</m:t>
            </m:r>
            <m:ctrlPr>
              <w:rPr>
                <w:rFonts w:ascii="Cambria Math" w:hAnsi="Cambria Math"/>
                <w:sz w:val="21"/>
              </w:rPr>
            </m:ctrlPr>
          </m:sub>
        </m:sSub>
        <m:r>
          <m:rPr>
            <m:sty m:val="p"/>
          </m:rPr>
          <w:rPr>
            <w:rFonts w:hint="eastAsia" w:ascii="Cambria Math" w:hAnsi="Cambria Math" w:cs="宋体"/>
            <w:kern w:val="0"/>
            <w:sz w:val="21"/>
            <w:szCs w:val="21"/>
            <w:lang w:val="en-US" w:bidi="ar-SA"/>
          </w:rPr>
          <m:t xml:space="preserve"> </m:t>
        </m:r>
      </m:oMath>
      <w:r>
        <w:rPr>
          <w:rFonts w:hint="eastAsia" w:cs="宋体"/>
          <w:kern w:val="0"/>
          <w:szCs w:val="21"/>
        </w:rPr>
        <w:t>为基础价格，</w:t>
      </w:r>
      <m:oMath>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load</m:t>
            </m:r>
            <m:ctrlPr>
              <w:rPr>
                <w:rFonts w:ascii="Cambria Math" w:hAnsi="Cambria Math"/>
                <w:sz w:val="21"/>
              </w:rPr>
            </m:ctrlPr>
          </m:sub>
        </m:sSub>
        <m:r>
          <m:rPr/>
          <w:rPr>
            <w:rFonts w:hint="default" w:ascii="Cambria Math" w:hAnsi="Cambria Math"/>
            <w:sz w:val="21"/>
          </w:rPr>
          <m:t>(⋅)</m:t>
        </m:r>
      </m:oMath>
      <w:r>
        <w:rPr>
          <w:rFonts w:hint="eastAsia" w:cs="宋体"/>
          <w:kern w:val="0"/>
          <w:szCs w:val="21"/>
        </w:rPr>
        <w:t>是关于负载的单调递增函数，体现资源稀缺性对价格的正向影响；</w:t>
      </w:r>
      <m:oMath>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qos</m:t>
            </m:r>
            <m:ctrlPr>
              <w:rPr>
                <w:rFonts w:ascii="Cambria Math" w:hAnsi="Cambria Math"/>
                <w:sz w:val="21"/>
              </w:rPr>
            </m:ctrlPr>
          </m:sub>
        </m:sSub>
        <m:r>
          <m:rPr/>
          <w:rPr>
            <w:rFonts w:hint="default" w:ascii="Cambria Math" w:hAnsi="Cambria Math"/>
            <w:sz w:val="21"/>
          </w:rPr>
          <m:t>(⋅)</m:t>
        </m:r>
      </m:oMath>
    </w:p>
    <w:p w14:paraId="6CC34390">
      <w:pPr>
        <w:spacing w:line="360" w:lineRule="auto"/>
        <w:rPr>
          <w:rFonts w:hint="eastAsia" w:cs="宋体"/>
          <w:kern w:val="0"/>
          <w:szCs w:val="21"/>
        </w:rPr>
      </w:pPr>
      <w:r>
        <w:rPr>
          <w:rFonts w:hint="eastAsia" w:cs="宋体"/>
          <w:kern w:val="0"/>
          <w:szCs w:val="21"/>
        </w:rPr>
        <w:t>是关于QoS感知指数的单调递减函数，扮演“求助信号”的角色。当</w:t>
      </w:r>
      <m:oMath>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(t)</m:t>
        </m:r>
      </m:oMath>
      <w:r>
        <w:rPr>
          <w:rFonts w:hint="eastAsia" w:cs="宋体"/>
          <w:kern w:val="0"/>
          <w:szCs w:val="21"/>
        </w:rPr>
        <w:t>超过某一阈值时，</w:t>
      </w:r>
      <m:oMath>
        <m:sSub>
          <m:sSubPr>
            <m:ctrlPr>
              <w:rPr>
                <w:rFonts w:hint="default" w:ascii="Cambria Math" w:hAnsi="Cambria Math"/>
                <w:sz w:val="21"/>
              </w:rPr>
            </m:ctrlPr>
          </m:sSubPr>
          <m:e>
            <m:r>
              <m:rPr/>
              <w:rPr>
                <w:rFonts w:hint="default" w:ascii="Cambria Math" w:hAnsi="Cambria Math"/>
                <w:sz w:val="21"/>
              </w:rPr>
              <m:t>f</m:t>
            </m:r>
            <m:ctrlPr>
              <w:rPr>
                <w:rFonts w:ascii="Cambria Math" w:hAnsi="Cambria Math"/>
                <w:sz w:val="21"/>
              </w:rPr>
            </m:ctrlPr>
          </m:e>
          <m:sub>
            <m:r>
              <m:rPr/>
              <w:rPr>
                <w:rFonts w:hint="default" w:ascii="Cambria Math" w:hAnsi="Cambria Math"/>
                <w:sz w:val="21"/>
              </w:rPr>
              <m:t>qos</m:t>
            </m:r>
            <m:ctrlPr>
              <w:rPr>
                <w:rFonts w:ascii="Cambria Math" w:hAnsi="Cambria Math"/>
                <w:sz w:val="21"/>
              </w:rPr>
            </m:ctrlPr>
          </m:sub>
        </m:sSub>
      </m:oMath>
      <w:r>
        <w:rPr>
          <w:rFonts w:hint="eastAsia" w:cs="宋体"/>
          <w:kern w:val="0"/>
          <w:szCs w:val="21"/>
        </w:rPr>
        <w:t>的值会急剧下降，甚至小于1，从而有效拉低节点的总体报价。这种低价策略对网络中其他逐利的、处于低负载状态的节点具有强大吸引力，从而自然地引导协作发生。该机制的精妙之处在于，它将QoS保障需求巧妙地编码为经济信号，使整个系统能够在无需中央指令的情况下，通过分布式“市场”机制自发实现资源的再分配。</w:t>
      </w:r>
    </w:p>
    <w:p w14:paraId="41301EF4">
      <w:pPr>
        <w:pStyle w:val="2"/>
        <w:spacing w:before="0" w:after="0" w:line="360" w:lineRule="auto"/>
        <w:rPr>
          <w:rFonts w:hint="eastAsia" w:ascii="Times New Roman" w:hAnsi="Times New Roman" w:eastAsia="宋体"/>
          <w:bCs w:val="0"/>
          <w:kern w:val="0"/>
          <w:sz w:val="21"/>
          <w:szCs w:val="21"/>
        </w:rPr>
      </w:pPr>
      <w:r>
        <w:rPr>
          <w:rFonts w:hint="eastAsia" w:ascii="Times New Roman" w:hAnsi="Times New Roman" w:eastAsia="宋体"/>
          <w:bCs w:val="0"/>
          <w:kern w:val="0"/>
          <w:sz w:val="21"/>
          <w:szCs w:val="21"/>
          <w:lang w:val="en-US" w:eastAsia="zh-CN"/>
        </w:rPr>
        <w:t>4</w:t>
      </w:r>
      <w:r>
        <w:rPr>
          <w:rFonts w:hint="eastAsia" w:ascii="Times New Roman" w:hAnsi="Times New Roman" w:eastAsia="宋体"/>
          <w:bCs w:val="0"/>
          <w:kern w:val="0"/>
          <w:sz w:val="21"/>
          <w:szCs w:val="21"/>
        </w:rPr>
        <w:t>.</w:t>
      </w:r>
      <w:r>
        <w:rPr>
          <w:rFonts w:hint="eastAsia" w:ascii="Times New Roman" w:hAnsi="Times New Roman" w:eastAsia="宋体"/>
          <w:bCs w:val="0"/>
          <w:kern w:val="0"/>
          <w:sz w:val="21"/>
          <w:szCs w:val="21"/>
          <w:lang w:val="en-US" w:eastAsia="zh-CN"/>
        </w:rPr>
        <w:t>4</w:t>
      </w:r>
      <w:r>
        <w:rPr>
          <w:rFonts w:hint="eastAsia" w:ascii="Times New Roman" w:hAnsi="Times New Roman" w:eastAsia="宋体"/>
          <w:bCs w:val="0"/>
          <w:kern w:val="0"/>
          <w:sz w:val="21"/>
          <w:szCs w:val="21"/>
        </w:rPr>
        <w:t xml:space="preserve">  蜂群式协作调度（SCS）</w:t>
      </w:r>
    </w:p>
    <w:p w14:paraId="1F77C0A4">
      <w:pPr>
        <w:spacing w:line="360" w:lineRule="auto"/>
        <w:ind w:firstLine="430" w:firstLineChars="205"/>
        <w:rPr>
          <w:rFonts w:hint="eastAsia" w:cs="宋体"/>
          <w:kern w:val="0"/>
          <w:szCs w:val="21"/>
        </w:rPr>
      </w:pPr>
      <w:r>
        <w:rPr>
          <w:rFonts w:hint="eastAsia" w:cs="宋体"/>
          <w:kern w:val="0"/>
          <w:szCs w:val="21"/>
        </w:rPr>
        <w:t>SCS是QASS框架中的去中心化协作引擎，通过模拟蜂群觅食的信息素通信机制，实现节点间的动态、按需负载均衡。整个过程完全自组织，不依赖任何中央协调器，因而在可扩展性和鲁棒性方面具有显著优势。SCS的工作机制可分为“信息素释放”与“信息素感知与跟随”两个阶段。</w:t>
      </w:r>
    </w:p>
    <w:p w14:paraId="0D9A414C">
      <w:pPr>
        <w:spacing w:line="360" w:lineRule="auto"/>
        <w:ind w:firstLine="430" w:firstLineChars="205"/>
        <w:rPr>
          <w:rFonts w:hint="eastAsia" w:cs="宋体"/>
          <w:kern w:val="0"/>
          <w:szCs w:val="21"/>
        </w:rPr>
      </w:pPr>
      <w:r>
        <w:rPr>
          <w:rFonts w:hint="eastAsia" w:cs="宋体"/>
          <w:kern w:val="0"/>
          <w:szCs w:val="21"/>
        </w:rPr>
        <w:t>信息素释放（Pheromone Releasing）：当节点</w:t>
      </w:r>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oMath>
      <w:r>
        <w:rPr>
          <w:rFonts w:hint="eastAsia" w:cs="宋体"/>
          <w:kern w:val="0"/>
          <w:szCs w:val="21"/>
        </w:rPr>
        <w:t>的RNQAA决定寻求帮助时，其SCS代理被激活。该代理遍历本地等待队列，选择QoS需求强度</w:t>
      </w:r>
      <m:oMath>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m:t>
        </m:r>
      </m:oMath>
      <w:r>
        <w:rPr>
          <w:rFonts w:hint="eastAsia" w:cs="宋体"/>
          <w:kern w:val="0"/>
          <w:szCs w:val="21"/>
        </w:rPr>
        <w:t>最高的若干个任务（即最“焦急”的任务），并为每个选定任务</w:t>
      </w:r>
      <m:oMath>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w:r>
        <w:rPr>
          <w:rFonts w:hint="eastAsia" w:cs="宋体"/>
          <w:kern w:val="0"/>
          <w:szCs w:val="21"/>
        </w:rPr>
        <w:t>生成一个“求助信标”（Help Beacon），以广播或多播形式发送至邻近节点。信标的核心内容为任务的数字信息素，其浓度</w:t>
      </w:r>
      <m:oMath>
        <m:sSub>
          <m:sSubPr>
            <m:ctrlPr>
              <w:rPr>
                <w:rFonts w:hint="default" w:ascii="Cambria Math" w:hAnsi="Cambria Math"/>
                <w:sz w:val="21"/>
              </w:rPr>
            </m:ctrlPr>
          </m:sSubPr>
          <m:e>
            <m:r>
              <m:rPr/>
              <w:rPr>
                <w:rFonts w:hint="default" w:ascii="Cambria Math" w:hAnsi="Cambria Math"/>
                <w:sz w:val="21"/>
              </w:rPr>
              <m:t>ρ</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m:t>
        </m:r>
      </m:oMath>
      <w:r>
        <w:rPr>
          <w:rFonts w:hint="eastAsia" w:cs="宋体"/>
          <w:kern w:val="0"/>
          <w:szCs w:val="21"/>
        </w:rPr>
        <w:t>与任务的QoS需求强度成正比：</w:t>
      </w:r>
    </w:p>
    <w:tbl>
      <w:tblPr>
        <w:tblStyle w:val="12"/>
        <w:tblW w:w="82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572"/>
        <w:gridCol w:w="723"/>
      </w:tblGrid>
      <w:tr w14:paraId="71283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7" w:hRule="exact"/>
          <w:jc w:val="center"/>
        </w:trPr>
        <w:tc>
          <w:tcPr>
            <w:tcW w:w="7572" w:type="dxa"/>
            <w:noWrap/>
            <w:vAlign w:val="center"/>
          </w:tcPr>
          <w:p w14:paraId="6E1C62DA">
            <w:pPr>
              <w:spacing w:line="360" w:lineRule="auto"/>
              <w:rPr>
                <w:rFonts w:hint="default"/>
                <w:sz w:val="16"/>
                <w:szCs w:val="16"/>
                <w:lang w:val="en-US"/>
              </w:rPr>
            </w:pPr>
            <m:oMathPara>
              <m:oMath>
                <m:sSub>
                  <m:sSubPr>
                    <m:ctrlPr>
                      <w:rPr>
                        <w:rFonts w:hint="default" w:ascii="Cambria Math" w:hAnsi="Cambria Math"/>
                        <w:sz w:val="21"/>
                      </w:rPr>
                    </m:ctrlPr>
                  </m:sSubPr>
                  <m:e>
                    <m:r>
                      <m:rPr/>
                      <w:rPr>
                        <w:rFonts w:hint="default" w:ascii="Cambria Math" w:hAnsi="Cambria Math"/>
                        <w:sz w:val="21"/>
                      </w:rPr>
                      <m:t>ρ</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(t)=γ⋅</m:t>
                </m:r>
                <m:sSub>
                  <m:sSubPr>
                    <m:ctrlPr>
                      <w:rPr>
                        <w:rFonts w:hint="default" w:ascii="Cambria Math" w:hAnsi="Cambria Math"/>
                        <w:sz w:val="21"/>
                      </w:rPr>
                    </m:ctrlPr>
                  </m:sSubPr>
                  <m:e>
                    <m:r>
                      <m:rPr/>
                      <w:rPr>
                        <w:rFonts w:hint="default" w:ascii="Cambria Math" w:hAnsi="Cambria Math"/>
                        <w:sz w:val="21"/>
                      </w:rPr>
                      <m:t>I</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(t)</m:t>
                </m:r>
              </m:oMath>
            </m:oMathPara>
          </w:p>
        </w:tc>
        <w:tc>
          <w:tcPr>
            <w:tcW w:w="723" w:type="dxa"/>
            <w:noWrap/>
            <w:vAlign w:val="top"/>
          </w:tcPr>
          <w:p w14:paraId="255FD973">
            <w:pPr>
              <w:keepNext w:val="0"/>
              <w:keepLines w:val="0"/>
              <w:suppressLineNumbers w:val="0"/>
              <w:spacing w:before="0" w:beforeAutospacing="0" w:after="0" w:afterAutospacing="0"/>
              <w:ind w:left="0" w:right="0" w:firstLine="0"/>
              <w:jc w:val="center"/>
              <w:rPr>
                <w:rFonts w:hint="default"/>
                <w:sz w:val="21"/>
                <w:szCs w:val="21"/>
              </w:rPr>
            </w:pPr>
          </w:p>
          <w:p w14:paraId="6A85E43C">
            <w:pPr>
              <w:keepNext w:val="0"/>
              <w:keepLines w:val="0"/>
              <w:suppressLineNumbers w:val="0"/>
              <w:spacing w:before="0" w:beforeAutospacing="0" w:after="0" w:afterAutospacing="0"/>
              <w:ind w:left="0" w:right="0" w:firstLine="0"/>
              <w:jc w:val="center"/>
              <w:rPr>
                <w:rFonts w:hint="default"/>
                <w:sz w:val="21"/>
                <w:szCs w:val="21"/>
              </w:rPr>
            </w:pPr>
            <w:r>
              <w:rPr>
                <w:rFonts w:hint="default"/>
                <w:sz w:val="21"/>
                <w:szCs w:val="21"/>
              </w:rPr>
              <w:t>(</w:t>
            </w:r>
            <w:r>
              <w:rPr>
                <w:rFonts w:hint="default"/>
                <w:sz w:val="21"/>
                <w:szCs w:val="21"/>
              </w:rPr>
              <w:fldChar w:fldCharType="begin"/>
            </w:r>
            <w:r>
              <w:rPr>
                <w:rFonts w:hint="default"/>
                <w:sz w:val="21"/>
                <w:szCs w:val="21"/>
              </w:rPr>
              <w:instrText xml:space="preserve"> SEQ 公式 \* ARABIC \s 1 </w:instrText>
            </w:r>
            <w:r>
              <w:rPr>
                <w:rFonts w:hint="default"/>
                <w:sz w:val="21"/>
                <w:szCs w:val="21"/>
              </w:rPr>
              <w:fldChar w:fldCharType="separate"/>
            </w:r>
            <w:r>
              <w:rPr>
                <w:rFonts w:hint="default"/>
                <w:sz w:val="21"/>
                <w:szCs w:val="21"/>
              </w:rPr>
              <w:t>10</w:t>
            </w:r>
            <w:r>
              <w:rPr>
                <w:rFonts w:hint="default"/>
                <w:sz w:val="21"/>
                <w:szCs w:val="21"/>
              </w:rPr>
              <w:fldChar w:fldCharType="end"/>
            </w:r>
            <w:r>
              <w:rPr>
                <w:rFonts w:hint="default"/>
                <w:sz w:val="21"/>
                <w:szCs w:val="21"/>
              </w:rPr>
              <w:t>)</w:t>
            </w:r>
          </w:p>
          <w:p w14:paraId="3614616D">
            <w:pPr>
              <w:keepNext w:val="0"/>
              <w:keepLines w:val="0"/>
              <w:suppressLineNumbers w:val="0"/>
              <w:spacing w:before="0" w:beforeAutospacing="0" w:after="0" w:afterAutospacing="0"/>
              <w:ind w:left="0" w:right="0" w:firstLine="0"/>
              <w:jc w:val="center"/>
              <w:rPr>
                <w:rFonts w:hint="default"/>
                <w:sz w:val="21"/>
                <w:szCs w:val="21"/>
              </w:rPr>
            </w:pPr>
          </w:p>
          <w:p w14:paraId="3CF7EF3A">
            <w:pPr>
              <w:keepNext w:val="0"/>
              <w:keepLines w:val="0"/>
              <w:suppressLineNumbers w:val="0"/>
              <w:spacing w:before="0" w:beforeAutospacing="0" w:after="0" w:afterAutospacing="0"/>
              <w:ind w:left="0" w:right="0" w:firstLine="0"/>
              <w:jc w:val="center"/>
              <w:rPr>
                <w:rFonts w:hint="default"/>
                <w:sz w:val="21"/>
                <w:szCs w:val="21"/>
              </w:rPr>
            </w:pPr>
          </w:p>
        </w:tc>
      </w:tr>
    </w:tbl>
    <w:p w14:paraId="26F93F86">
      <w:pPr>
        <w:spacing w:line="360" w:lineRule="auto"/>
        <w:rPr>
          <w:rFonts w:hint="eastAsia" w:cs="宋体"/>
          <w:kern w:val="0"/>
          <w:szCs w:val="21"/>
        </w:rPr>
      </w:pPr>
      <w:r>
        <w:rPr>
          <w:rFonts w:hint="eastAsia" w:cs="宋体"/>
          <w:kern w:val="0"/>
          <w:szCs w:val="21"/>
        </w:rPr>
        <w:t>其中</w:t>
      </w:r>
      <m:oMath>
        <m:r>
          <m:rPr/>
          <w:rPr>
            <w:rFonts w:hint="default" w:ascii="Cambria Math" w:hAnsi="Cambria Math"/>
            <w:sz w:val="21"/>
          </w:rPr>
          <m:t>γ</m:t>
        </m:r>
      </m:oMath>
      <w:r>
        <w:rPr>
          <w:rFonts w:hint="eastAsia" w:cs="宋体"/>
          <w:kern w:val="0"/>
          <w:szCs w:val="21"/>
        </w:rPr>
        <w:t>为信息素增益系数。信息素随时间推移和传播距离增加而自然“挥发”（衰减），以避免过时求助信号对系统造成持续干扰。这一挥发机制是蜂群智能的关键设计，确保系统的“记忆”为短期且与当前状态相关，防止历史信息误导当前决策。</w:t>
      </w:r>
    </w:p>
    <w:p w14:paraId="722CECA4">
      <w:pPr>
        <w:spacing w:line="360" w:lineRule="auto"/>
        <w:ind w:firstLine="430" w:firstLineChars="205"/>
        <w:rPr>
          <w:rFonts w:hint="eastAsia" w:cs="宋体"/>
          <w:kern w:val="0"/>
          <w:szCs w:val="21"/>
        </w:rPr>
      </w:pPr>
      <w:r>
        <w:rPr>
          <w:rFonts w:hint="eastAsia" w:cs="宋体"/>
          <w:kern w:val="0"/>
          <w:szCs w:val="21"/>
        </w:rPr>
        <w:t>信息素感知与跟随（Pheromone Sensing and Following）：网络中处于低负载状态的节点，其SCS代理扮演“侦察蜂”（Scout Bee）角色，持续监听求助信标。当侦察节点</w:t>
      </w:r>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s</m:t>
            </m:r>
            <m:ctrlPr>
              <w:rPr>
                <w:rFonts w:ascii="Cambria Math" w:hAnsi="Cambria Math"/>
                <w:sz w:val="21"/>
              </w:rPr>
            </m:ctrlPr>
          </m:sub>
        </m:sSub>
      </m:oMath>
      <w:r>
        <w:rPr>
          <w:rFonts w:hint="eastAsia" w:cs="宋体"/>
          <w:kern w:val="0"/>
          <w:szCs w:val="21"/>
        </w:rPr>
        <w:t>接收到来自不同源节点的多个信标时，它会根据信息素浓度、任务的资源需求及源节点报价进行快速本地决策，目标为最大化自身预期收益（即接收任务所得报酬减去执行成本）。通常，侦察节点优先被浓度最高（代表最紧急）且报价最具吸引力的求助信标所吸引。一旦决定提供帮助，侦察节点向求助节点发送“接收要约”（Acceptance Offer）。求助节点在收到一个或多个要约后，选择最优方案（如报价最低或预计完成时间最早），并正式启动任务迁移流程。通过这种基于局部信息的简单交互，系统级的负载均衡与QoS保障得以作为“涌现”行为自发实现。</w:t>
      </w:r>
    </w:p>
    <w:p w14:paraId="3FC5EE8D">
      <w:pPr>
        <w:pStyle w:val="2"/>
        <w:spacing w:before="0" w:after="0" w:line="360" w:lineRule="auto"/>
        <w:rPr>
          <w:rFonts w:hint="eastAsia" w:ascii="Times New Roman" w:hAnsi="Times New Roman" w:eastAsia="宋体" w:cs="宋体"/>
          <w:bCs w:val="0"/>
          <w:color w:val="000000"/>
          <w:kern w:val="0"/>
          <w:sz w:val="28"/>
          <w:szCs w:val="28"/>
        </w:rPr>
      </w:pPr>
      <w:r>
        <w:rPr>
          <w:rFonts w:hint="eastAsia" w:ascii="Times New Roman" w:hAnsi="Times New Roman" w:eastAsia="宋体" w:cs="宋体"/>
          <w:bCs w:val="0"/>
          <w:color w:val="000000"/>
          <w:kern w:val="0"/>
          <w:sz w:val="28"/>
          <w:szCs w:val="28"/>
          <w:lang w:val="en-US" w:eastAsia="zh-CN"/>
        </w:rPr>
        <w:t>5</w:t>
      </w:r>
      <w:r>
        <w:rPr>
          <w:rFonts w:hint="eastAsia" w:ascii="Times New Roman" w:hAnsi="Times New Roman" w:eastAsia="宋体" w:cs="宋体"/>
          <w:bCs w:val="0"/>
          <w:color w:val="000000"/>
          <w:kern w:val="0"/>
          <w:sz w:val="28"/>
          <w:szCs w:val="28"/>
        </w:rPr>
        <w:t xml:space="preserve">  实验设计与结果分析</w:t>
      </w:r>
    </w:p>
    <w:p w14:paraId="27B5B978">
      <w:pPr>
        <w:spacing w:line="360" w:lineRule="auto"/>
        <w:ind w:firstLine="430" w:firstLineChars="205"/>
        <w:rPr>
          <w:rFonts w:hint="eastAsia" w:cs="宋体"/>
          <w:kern w:val="0"/>
          <w:szCs w:val="21"/>
        </w:rPr>
      </w:pPr>
      <w:r>
        <w:rPr>
          <w:rFonts w:hint="eastAsia" w:cs="宋体"/>
          <w:kern w:val="0"/>
          <w:szCs w:val="21"/>
        </w:rPr>
        <w:t>为了对QASS模型的实际性能进行全面而深入的评估，并验证其在模拟边缘计算环境中的有效性和优越性，我们设计并实施了一系列综合性的仿真实验。本章将首先详细介绍实验环境的搭建、参数的具体设置、作为对比基准的策略以及我们采用的多维度评价指标。随后，我们将呈现详尽的实验结果，并从总体性能、分优先级服务保障能力、系统动态行为等多个角度，对QASS与基准策略的表现进行深入的对比分析与解读。</w:t>
      </w:r>
    </w:p>
    <w:p w14:paraId="24EA5EB8">
      <w:pPr>
        <w:pStyle w:val="2"/>
        <w:spacing w:before="0" w:after="0" w:line="360" w:lineRule="auto"/>
        <w:rPr>
          <w:rFonts w:hint="eastAsia" w:ascii="Times New Roman" w:hAnsi="Times New Roman" w:eastAsia="宋体"/>
          <w:bCs w:val="0"/>
          <w:kern w:val="0"/>
          <w:sz w:val="21"/>
          <w:szCs w:val="21"/>
        </w:rPr>
      </w:pPr>
      <w:r>
        <w:rPr>
          <w:rFonts w:hint="eastAsia" w:ascii="Times New Roman" w:hAnsi="Times New Roman" w:eastAsia="宋体"/>
          <w:bCs w:val="0"/>
          <w:kern w:val="0"/>
          <w:sz w:val="21"/>
          <w:szCs w:val="21"/>
          <w:lang w:val="en-US" w:eastAsia="zh-CN"/>
        </w:rPr>
        <w:t>5</w:t>
      </w:r>
      <w:r>
        <w:rPr>
          <w:rFonts w:hint="eastAsia" w:ascii="Times New Roman" w:hAnsi="Times New Roman" w:eastAsia="宋体"/>
          <w:bCs w:val="0"/>
          <w:kern w:val="0"/>
          <w:sz w:val="21"/>
          <w:szCs w:val="21"/>
        </w:rPr>
        <w:t>.</w:t>
      </w:r>
      <w:r>
        <w:rPr>
          <w:rFonts w:hint="eastAsia" w:ascii="Times New Roman" w:hAnsi="Times New Roman" w:eastAsia="宋体"/>
          <w:bCs w:val="0"/>
          <w:kern w:val="0"/>
          <w:sz w:val="21"/>
          <w:szCs w:val="21"/>
          <w:lang w:val="en-US" w:eastAsia="zh-CN"/>
        </w:rPr>
        <w:t>1</w:t>
      </w:r>
      <w:r>
        <w:rPr>
          <w:rFonts w:hint="eastAsia" w:ascii="Times New Roman" w:hAnsi="Times New Roman" w:eastAsia="宋体"/>
          <w:bCs w:val="0"/>
          <w:kern w:val="0"/>
          <w:sz w:val="21"/>
          <w:szCs w:val="21"/>
        </w:rPr>
        <w:t xml:space="preserve">  实验环境与参数设置</w:t>
      </w:r>
    </w:p>
    <w:p w14:paraId="47BEA9A6">
      <w:pPr>
        <w:spacing w:line="360" w:lineRule="auto"/>
        <w:ind w:firstLine="430" w:firstLineChars="205"/>
        <w:rPr>
          <w:rFonts w:hint="eastAsia" w:cs="宋体"/>
          <w:kern w:val="0"/>
          <w:szCs w:val="21"/>
        </w:rPr>
      </w:pPr>
      <w:r>
        <w:rPr>
          <w:rFonts w:hint="eastAsia" w:cs="宋体"/>
          <w:kern w:val="0"/>
          <w:szCs w:val="21"/>
        </w:rPr>
        <w:t>所有实验均在一个基于Python和SimPy构建的离散事件驱动仿真平台上进行。SimPy作为强大的仿真框架，能够精确模拟任务的随机到达、并发执行、资源排队以及节点间异步通信等复杂行为。仿真总时长设定为3600模拟秒（即1小时），以确保系统达到稳态并经历足够多的负载波动周期。每组实验均独立运行以保证结果的可复现性。</w:t>
      </w:r>
    </w:p>
    <w:p w14:paraId="440E2EAD">
      <w:pPr>
        <w:spacing w:line="360" w:lineRule="auto"/>
        <w:ind w:firstLine="430" w:firstLineChars="205"/>
        <w:rPr>
          <w:rFonts w:hint="eastAsia" w:cs="宋体"/>
          <w:kern w:val="0"/>
          <w:szCs w:val="21"/>
        </w:rPr>
      </w:pPr>
      <w:r>
        <w:rPr>
          <w:rFonts w:hint="eastAsia" w:cs="宋体"/>
          <w:kern w:val="0"/>
          <w:szCs w:val="21"/>
          <w:lang w:val="en-US" w:eastAsia="zh-CN"/>
        </w:rPr>
        <w:t>同时</w:t>
      </w:r>
      <w:r>
        <w:rPr>
          <w:rFonts w:hint="eastAsia" w:cs="宋体"/>
          <w:kern w:val="0"/>
          <w:szCs w:val="21"/>
        </w:rPr>
        <w:t>构建了一个包含6个异构边缘计算节点的模拟网络，其详细配置如表1所示。节点的资源容量与基础成本设定为不同值，以反映真实世界中边缘基础设施的多样性。例如，节点1和节点2模拟资源较为丰富的路边单元（RSU），而节点5和节点6则模拟资源受限的车载计算单元。系统总计算能力被设定为可处理约 70%~80% 的平均任务负载，这意味着在任务到达高峰期系统将处于资源紧张状态，从而能够有效考验不同调度策略在高压力下的表现。</w:t>
      </w:r>
    </w:p>
    <w:p w14:paraId="5164B190">
      <w:pPr>
        <w:spacing w:line="360" w:lineRule="auto"/>
        <w:jc w:val="center"/>
        <w:rPr>
          <w:rFonts w:hint="eastAsia" w:cs="宋体"/>
          <w:kern w:val="0"/>
          <w:szCs w:val="21"/>
        </w:rPr>
      </w:pPr>
      <w:r>
        <w:rPr>
          <w:rFonts w:hint="eastAsia" w:cs="宋体"/>
          <w:kern w:val="0"/>
          <w:szCs w:val="21"/>
          <w:lang w:val="en-US" w:eastAsia="zh-CN"/>
        </w:rPr>
        <w:t>表</w:t>
      </w:r>
      <w:r>
        <w:rPr>
          <w:rFonts w:hint="eastAsia" w:cs="宋体"/>
          <w:kern w:val="0"/>
          <w:szCs w:val="21"/>
        </w:rPr>
        <w:t>1异构边缘计算节点的模拟网络详细配置</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92"/>
        <w:gridCol w:w="1704"/>
        <w:gridCol w:w="1991"/>
        <w:gridCol w:w="2514"/>
        <w:gridCol w:w="2537"/>
      </w:tblGrid>
      <w:tr w14:paraId="4847F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09" w:hRule="atLeast"/>
          <w:jc w:val="center"/>
        </w:trPr>
        <w:tc>
          <w:tcPr>
            <w:tcW w:w="1092" w:type="dxa"/>
            <w:tcBorders>
              <w:top w:val="single" w:color="000000" w:sz="12" w:space="0"/>
              <w:bottom w:val="single" w:color="000000" w:sz="4" w:space="0"/>
              <w:tl2br w:val="nil"/>
            </w:tcBorders>
            <w:shd w:val="clear" w:color="auto" w:fill="FFFFFF"/>
            <w:tcMar>
              <w:top w:w="50" w:type="dxa"/>
              <w:left w:w="100" w:type="dxa"/>
              <w:bottom w:w="50" w:type="dxa"/>
              <w:right w:w="100" w:type="dxa"/>
            </w:tcMar>
            <w:vAlign w:val="center"/>
          </w:tcPr>
          <w:p w14:paraId="62E2DEB5">
            <w:pPr>
              <w:keepNext w:val="0"/>
              <w:keepLines w:val="0"/>
              <w:widowControl/>
              <w:suppressLineNumbers w:val="0"/>
              <w:jc w:val="left"/>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sz w:val="21"/>
                <w:szCs w:val="21"/>
              </w:rPr>
              <w:t>节点编号</w:t>
            </w:r>
          </w:p>
        </w:tc>
        <w:tc>
          <w:tcPr>
            <w:tcW w:w="1704" w:type="dxa"/>
            <w:tcBorders>
              <w:top w:val="single" w:color="000000" w:sz="12" w:space="0"/>
              <w:bottom w:val="single" w:color="000000" w:sz="4" w:space="0"/>
            </w:tcBorders>
            <w:shd w:val="clear" w:color="auto" w:fill="FFFFFF"/>
            <w:tcMar>
              <w:top w:w="50" w:type="dxa"/>
              <w:left w:w="100" w:type="dxa"/>
              <w:bottom w:w="50" w:type="dxa"/>
              <w:right w:w="100" w:type="dxa"/>
            </w:tcMar>
            <w:vAlign w:val="center"/>
          </w:tcPr>
          <w:p w14:paraId="16B988B6">
            <w:pPr>
              <w:keepNext w:val="0"/>
              <w:keepLines w:val="0"/>
              <w:widowControl/>
              <w:suppressLineNumbers w:val="0"/>
              <w:jc w:val="left"/>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kern w:val="0"/>
                <w:sz w:val="21"/>
                <w:szCs w:val="21"/>
                <w:lang w:val="en-US" w:eastAsia="zh-CN" w:bidi="ar"/>
              </w:rPr>
              <w:t>角色模拟</w:t>
            </w:r>
          </w:p>
        </w:tc>
        <w:tc>
          <w:tcPr>
            <w:tcW w:w="1991" w:type="dxa"/>
            <w:tcBorders>
              <w:top w:val="single" w:color="000000" w:sz="12" w:space="0"/>
              <w:bottom w:val="single" w:color="000000" w:sz="4" w:space="0"/>
            </w:tcBorders>
            <w:shd w:val="clear" w:color="auto" w:fill="FFFFFF"/>
            <w:tcMar>
              <w:top w:w="50" w:type="dxa"/>
              <w:left w:w="100" w:type="dxa"/>
              <w:bottom w:w="50" w:type="dxa"/>
              <w:right w:w="100" w:type="dxa"/>
            </w:tcMar>
            <w:vAlign w:val="center"/>
          </w:tcPr>
          <w:p w14:paraId="75F3143B">
            <w:pPr>
              <w:keepNext w:val="0"/>
              <w:keepLines w:val="0"/>
              <w:widowControl/>
              <w:suppressLineNumbers w:val="0"/>
              <w:jc w:val="left"/>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kern w:val="0"/>
                <w:sz w:val="21"/>
                <w:szCs w:val="21"/>
                <w:lang w:val="en-US" w:eastAsia="zh-CN" w:bidi="ar"/>
              </w:rPr>
              <w:t>计算容量 (SU)</w:t>
            </w:r>
          </w:p>
        </w:tc>
        <w:tc>
          <w:tcPr>
            <w:tcW w:w="2514" w:type="dxa"/>
            <w:tcBorders>
              <w:top w:val="single" w:color="000000" w:sz="12" w:space="0"/>
              <w:bottom w:val="single" w:color="000000" w:sz="4" w:space="0"/>
            </w:tcBorders>
            <w:shd w:val="clear" w:color="auto" w:fill="FFFFFF"/>
            <w:tcMar>
              <w:top w:w="50" w:type="dxa"/>
              <w:left w:w="100" w:type="dxa"/>
              <w:bottom w:w="50" w:type="dxa"/>
              <w:right w:w="100" w:type="dxa"/>
            </w:tcMar>
            <w:vAlign w:val="center"/>
          </w:tcPr>
          <w:p w14:paraId="34C5E1EB">
            <w:pPr>
              <w:keepNext w:val="0"/>
              <w:keepLines w:val="0"/>
              <w:widowControl/>
              <w:suppressLineNumbers w:val="0"/>
              <w:jc w:val="left"/>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kern w:val="0"/>
                <w:sz w:val="21"/>
                <w:szCs w:val="21"/>
                <w:lang w:val="en-US" w:eastAsia="zh-CN" w:bidi="ar"/>
              </w:rPr>
              <w:t>并发任务上限</w:t>
            </w:r>
          </w:p>
        </w:tc>
        <w:tc>
          <w:tcPr>
            <w:tcW w:w="2537" w:type="dxa"/>
            <w:tcBorders>
              <w:top w:val="single" w:color="000000" w:sz="12" w:space="0"/>
              <w:bottom w:val="single" w:color="000000" w:sz="4" w:space="0"/>
            </w:tcBorders>
            <w:shd w:val="clear" w:color="auto" w:fill="FFFFFF"/>
            <w:tcMar>
              <w:top w:w="50" w:type="dxa"/>
              <w:left w:w="100" w:type="dxa"/>
              <w:bottom w:w="50" w:type="dxa"/>
              <w:right w:w="100" w:type="dxa"/>
            </w:tcMar>
            <w:vAlign w:val="center"/>
          </w:tcPr>
          <w:p w14:paraId="0167E988">
            <w:pPr>
              <w:keepNext w:val="0"/>
              <w:keepLines w:val="0"/>
              <w:widowControl/>
              <w:suppressLineNumbers w:val="0"/>
              <w:jc w:val="left"/>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kern w:val="0"/>
                <w:sz w:val="21"/>
                <w:szCs w:val="21"/>
                <w:lang w:val="en-US" w:eastAsia="zh-CN" w:bidi="ar"/>
              </w:rPr>
              <w:t>基础成本系数</w:t>
            </w:r>
          </w:p>
        </w:tc>
      </w:tr>
      <w:tr w14:paraId="0E518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0" w:hRule="atLeast"/>
          <w:jc w:val="center"/>
        </w:trPr>
        <w:tc>
          <w:tcPr>
            <w:tcW w:w="1092" w:type="dxa"/>
            <w:tcBorders>
              <w:top w:val="single" w:color="000000" w:sz="4" w:space="0"/>
            </w:tcBorders>
            <w:shd w:val="clear" w:color="auto" w:fill="FFFFFF"/>
            <w:tcMar>
              <w:top w:w="50" w:type="dxa"/>
              <w:left w:w="100" w:type="dxa"/>
              <w:bottom w:w="50" w:type="dxa"/>
              <w:right w:w="100" w:type="dxa"/>
            </w:tcMar>
            <w:vAlign w:val="center"/>
          </w:tcPr>
          <w:p w14:paraId="634F639A">
            <w:pPr>
              <w:keepNext w:val="0"/>
              <w:keepLines w:val="0"/>
              <w:widowControl/>
              <w:suppressLineNumbers w:val="0"/>
              <w:jc w:val="left"/>
              <w:rPr>
                <w:rFonts w:hint="eastAsia" w:hAnsi="Cambria Math" w:eastAsia="宋体" w:cs="宋体"/>
                <w:b w:val="0"/>
                <w:i w:val="0"/>
                <w:iCs w:val="0"/>
                <w:caps w:val="0"/>
                <w:color w:val="000000"/>
                <w:spacing w:val="0"/>
                <w:kern w:val="0"/>
                <w:sz w:val="21"/>
                <w:szCs w:val="21"/>
                <w:lang w:val="en-US" w:eastAsia="zh-CN" w:bidi="ar"/>
              </w:rPr>
            </w:pPr>
            <m:oMathPara>
              <m:oMath>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1</m:t>
                    </m:r>
                    <m:ctrlPr>
                      <w:rPr>
                        <w:rFonts w:ascii="Cambria Math" w:hAnsi="Cambria Math" w:eastAsia="宋体"/>
                        <w:sz w:val="21"/>
                      </w:rPr>
                    </m:ctrlPr>
                  </m:sub>
                </m:sSub>
              </m:oMath>
            </m:oMathPara>
          </w:p>
        </w:tc>
        <w:tc>
          <w:tcPr>
            <w:tcW w:w="1704" w:type="dxa"/>
            <w:tcBorders>
              <w:top w:val="single" w:color="000000" w:sz="4" w:space="0"/>
            </w:tcBorders>
            <w:shd w:val="clear" w:color="auto" w:fill="FFFFFF"/>
            <w:tcMar>
              <w:top w:w="50" w:type="dxa"/>
              <w:left w:w="100" w:type="dxa"/>
              <w:bottom w:w="50" w:type="dxa"/>
              <w:right w:w="100" w:type="dxa"/>
            </w:tcMar>
            <w:vAlign w:val="center"/>
          </w:tcPr>
          <w:p w14:paraId="451D2561">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高性能RSU</w:t>
            </w:r>
          </w:p>
        </w:tc>
        <w:tc>
          <w:tcPr>
            <w:tcW w:w="1991" w:type="dxa"/>
            <w:tcBorders>
              <w:top w:val="single" w:color="000000" w:sz="4" w:space="0"/>
            </w:tcBorders>
            <w:shd w:val="clear" w:color="auto" w:fill="FFFFFF"/>
            <w:tcMar>
              <w:top w:w="50" w:type="dxa"/>
              <w:left w:w="100" w:type="dxa"/>
              <w:bottom w:w="50" w:type="dxa"/>
              <w:right w:w="100" w:type="dxa"/>
            </w:tcMar>
            <w:vAlign w:val="center"/>
          </w:tcPr>
          <w:p w14:paraId="57EB39AA">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eastAsia="zh-CN"/>
              </w:rPr>
            </w:pPr>
            <w:r>
              <w:rPr>
                <w:rFonts w:hint="eastAsia" w:ascii="宋体" w:hAnsi="宋体" w:cs="宋体"/>
                <w:b w:val="0"/>
                <w:i w:val="0"/>
                <w:iCs w:val="0"/>
                <w:caps w:val="0"/>
                <w:color w:val="000000"/>
                <w:spacing w:val="0"/>
                <w:sz w:val="21"/>
                <w:szCs w:val="21"/>
                <w:lang w:val="en-US" w:eastAsia="zh-CN"/>
              </w:rPr>
              <w:t>15</w:t>
            </w:r>
          </w:p>
        </w:tc>
        <w:tc>
          <w:tcPr>
            <w:tcW w:w="2514" w:type="dxa"/>
            <w:tcBorders>
              <w:top w:val="single" w:color="000000" w:sz="4" w:space="0"/>
            </w:tcBorders>
            <w:shd w:val="clear" w:color="auto" w:fill="FFFFFF"/>
            <w:tcMar>
              <w:top w:w="50" w:type="dxa"/>
              <w:left w:w="100" w:type="dxa"/>
              <w:bottom w:w="50" w:type="dxa"/>
              <w:right w:w="100" w:type="dxa"/>
            </w:tcMar>
            <w:vAlign w:val="center"/>
          </w:tcPr>
          <w:p w14:paraId="5C5E5A53">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cs="宋体"/>
                <w:b w:val="0"/>
                <w:i w:val="0"/>
                <w:iCs w:val="0"/>
                <w:caps w:val="0"/>
                <w:color w:val="000000"/>
                <w:spacing w:val="0"/>
                <w:kern w:val="0"/>
                <w:sz w:val="21"/>
                <w:szCs w:val="21"/>
                <w:lang w:val="en-US" w:eastAsia="zh-CN" w:bidi="ar"/>
              </w:rPr>
              <w:t>8</w:t>
            </w:r>
          </w:p>
        </w:tc>
        <w:tc>
          <w:tcPr>
            <w:tcW w:w="2537" w:type="dxa"/>
            <w:tcBorders>
              <w:top w:val="single" w:color="000000" w:sz="4" w:space="0"/>
            </w:tcBorders>
            <w:shd w:val="clear" w:color="auto" w:fill="FFFFFF"/>
            <w:tcMar>
              <w:top w:w="50" w:type="dxa"/>
              <w:left w:w="100" w:type="dxa"/>
              <w:bottom w:w="50" w:type="dxa"/>
              <w:right w:w="100" w:type="dxa"/>
            </w:tcMar>
            <w:vAlign w:val="center"/>
          </w:tcPr>
          <w:p w14:paraId="19AD7B67">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1.0</w:t>
            </w:r>
          </w:p>
        </w:tc>
      </w:tr>
      <w:tr w14:paraId="5E32C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jc w:val="center"/>
        </w:trPr>
        <w:tc>
          <w:tcPr>
            <w:tcW w:w="1092" w:type="dxa"/>
            <w:shd w:val="clear" w:color="auto" w:fill="FFFFFF"/>
            <w:tcMar>
              <w:top w:w="50" w:type="dxa"/>
              <w:left w:w="100" w:type="dxa"/>
              <w:bottom w:w="50" w:type="dxa"/>
              <w:right w:w="100" w:type="dxa"/>
            </w:tcMar>
            <w:vAlign w:val="center"/>
          </w:tcPr>
          <w:p w14:paraId="1AE8B10E">
            <w:pPr>
              <w:jc w:val="left"/>
              <w:rPr>
                <w:rFonts w:hint="eastAsia" w:ascii="宋体" w:hAnsi="宋体" w:eastAsia="宋体" w:cs="宋体"/>
                <w:b w:val="0"/>
                <w:i w:val="0"/>
                <w:iCs w:val="0"/>
                <w:caps w:val="0"/>
                <w:color w:val="000000"/>
                <w:spacing w:val="0"/>
                <w:sz w:val="21"/>
                <w:szCs w:val="21"/>
              </w:rPr>
            </w:pPr>
            <m:oMathPara>
              <m:oMath>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m:sty m:val="p"/>
                      </m:rPr>
                      <w:rPr>
                        <w:rFonts w:hint="default" w:ascii="Cambria Math" w:hAnsi="Cambria Math"/>
                        <w:sz w:val="21"/>
                        <w:lang w:val="en-US" w:eastAsia="zh-CN"/>
                      </w:rPr>
                      <m:t>2</m:t>
                    </m:r>
                    <m:ctrlPr>
                      <w:rPr>
                        <w:rFonts w:ascii="Cambria Math" w:hAnsi="Cambria Math" w:eastAsia="宋体"/>
                        <w:sz w:val="21"/>
                      </w:rPr>
                    </m:ctrlPr>
                  </m:sub>
                </m:sSub>
              </m:oMath>
            </m:oMathPara>
          </w:p>
        </w:tc>
        <w:tc>
          <w:tcPr>
            <w:tcW w:w="1704" w:type="dxa"/>
            <w:shd w:val="clear" w:color="auto" w:fill="FFFFFF"/>
            <w:tcMar>
              <w:top w:w="50" w:type="dxa"/>
              <w:left w:w="100" w:type="dxa"/>
              <w:bottom w:w="50" w:type="dxa"/>
              <w:right w:w="100" w:type="dxa"/>
            </w:tcMar>
            <w:vAlign w:val="center"/>
          </w:tcPr>
          <w:p w14:paraId="3961EAD5">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高性能RSU</w:t>
            </w:r>
          </w:p>
        </w:tc>
        <w:tc>
          <w:tcPr>
            <w:tcW w:w="1991" w:type="dxa"/>
            <w:shd w:val="clear" w:color="auto" w:fill="FFFFFF"/>
            <w:tcMar>
              <w:top w:w="50" w:type="dxa"/>
              <w:left w:w="100" w:type="dxa"/>
              <w:bottom w:w="50" w:type="dxa"/>
              <w:right w:w="100" w:type="dxa"/>
            </w:tcMar>
            <w:vAlign w:val="center"/>
          </w:tcPr>
          <w:p w14:paraId="06EBB3E6">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14</w:t>
            </w:r>
          </w:p>
        </w:tc>
        <w:tc>
          <w:tcPr>
            <w:tcW w:w="2514" w:type="dxa"/>
            <w:shd w:val="clear" w:color="auto" w:fill="FFFFFF"/>
            <w:tcMar>
              <w:top w:w="50" w:type="dxa"/>
              <w:left w:w="100" w:type="dxa"/>
              <w:bottom w:w="50" w:type="dxa"/>
              <w:right w:w="100" w:type="dxa"/>
            </w:tcMar>
            <w:vAlign w:val="center"/>
          </w:tcPr>
          <w:p w14:paraId="761B75EA">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cs="宋体"/>
                <w:b w:val="0"/>
                <w:i w:val="0"/>
                <w:iCs w:val="0"/>
                <w:caps w:val="0"/>
                <w:color w:val="000000"/>
                <w:spacing w:val="0"/>
                <w:kern w:val="0"/>
                <w:sz w:val="21"/>
                <w:szCs w:val="21"/>
                <w:lang w:val="en-US" w:eastAsia="zh-CN" w:bidi="ar"/>
              </w:rPr>
              <w:t>7</w:t>
            </w:r>
          </w:p>
        </w:tc>
        <w:tc>
          <w:tcPr>
            <w:tcW w:w="2537" w:type="dxa"/>
            <w:shd w:val="clear" w:color="auto" w:fill="FFFFFF"/>
            <w:tcMar>
              <w:top w:w="50" w:type="dxa"/>
              <w:left w:w="100" w:type="dxa"/>
              <w:bottom w:w="50" w:type="dxa"/>
              <w:right w:w="100" w:type="dxa"/>
            </w:tcMar>
            <w:vAlign w:val="center"/>
          </w:tcPr>
          <w:p w14:paraId="6AE05204">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1.1</w:t>
            </w:r>
          </w:p>
        </w:tc>
      </w:tr>
      <w:tr w14:paraId="29180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3" w:hRule="atLeast"/>
          <w:jc w:val="center"/>
        </w:trPr>
        <w:tc>
          <w:tcPr>
            <w:tcW w:w="1092" w:type="dxa"/>
            <w:shd w:val="clear" w:color="auto" w:fill="FFFFFF"/>
            <w:tcMar>
              <w:top w:w="50" w:type="dxa"/>
              <w:left w:w="100" w:type="dxa"/>
              <w:bottom w:w="50" w:type="dxa"/>
              <w:right w:w="100" w:type="dxa"/>
            </w:tcMar>
            <w:vAlign w:val="center"/>
          </w:tcPr>
          <w:p w14:paraId="26159AE2">
            <w:pPr>
              <w:jc w:val="left"/>
              <w:rPr>
                <w:rFonts w:hint="eastAsia" w:ascii="宋体" w:hAnsi="宋体" w:eastAsia="宋体" w:cs="宋体"/>
                <w:b w:val="0"/>
                <w:i w:val="0"/>
                <w:iCs w:val="0"/>
                <w:caps w:val="0"/>
                <w:color w:val="000000"/>
                <w:spacing w:val="0"/>
                <w:sz w:val="21"/>
                <w:szCs w:val="21"/>
              </w:rPr>
            </w:pPr>
            <m:oMathPara>
              <m:oMath>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m:sty m:val="p"/>
                      </m:rPr>
                      <w:rPr>
                        <w:rFonts w:hint="default" w:ascii="Cambria Math" w:hAnsi="Cambria Math"/>
                        <w:sz w:val="21"/>
                        <w:lang w:val="en-US" w:eastAsia="zh-CN"/>
                      </w:rPr>
                      <m:t>3</m:t>
                    </m:r>
                    <m:ctrlPr>
                      <w:rPr>
                        <w:rFonts w:ascii="Cambria Math" w:hAnsi="Cambria Math" w:eastAsia="宋体"/>
                        <w:sz w:val="21"/>
                      </w:rPr>
                    </m:ctrlPr>
                  </m:sub>
                </m:sSub>
              </m:oMath>
            </m:oMathPara>
          </w:p>
        </w:tc>
        <w:tc>
          <w:tcPr>
            <w:tcW w:w="1704" w:type="dxa"/>
            <w:shd w:val="clear" w:color="auto" w:fill="FFFFFF"/>
            <w:tcMar>
              <w:top w:w="50" w:type="dxa"/>
              <w:left w:w="100" w:type="dxa"/>
              <w:bottom w:w="50" w:type="dxa"/>
              <w:right w:w="100" w:type="dxa"/>
            </w:tcMar>
            <w:vAlign w:val="center"/>
          </w:tcPr>
          <w:p w14:paraId="497691EA">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标准边缘服务器</w:t>
            </w:r>
          </w:p>
        </w:tc>
        <w:tc>
          <w:tcPr>
            <w:tcW w:w="1991" w:type="dxa"/>
            <w:shd w:val="clear" w:color="auto" w:fill="FFFFFF"/>
            <w:tcMar>
              <w:top w:w="50" w:type="dxa"/>
              <w:left w:w="100" w:type="dxa"/>
              <w:bottom w:w="50" w:type="dxa"/>
              <w:right w:w="100" w:type="dxa"/>
            </w:tcMar>
            <w:vAlign w:val="center"/>
          </w:tcPr>
          <w:p w14:paraId="0F68EE50">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12</w:t>
            </w:r>
          </w:p>
        </w:tc>
        <w:tc>
          <w:tcPr>
            <w:tcW w:w="2514" w:type="dxa"/>
            <w:shd w:val="clear" w:color="auto" w:fill="FFFFFF"/>
            <w:tcMar>
              <w:top w:w="50" w:type="dxa"/>
              <w:left w:w="100" w:type="dxa"/>
              <w:bottom w:w="50" w:type="dxa"/>
              <w:right w:w="100" w:type="dxa"/>
            </w:tcMar>
            <w:vAlign w:val="center"/>
          </w:tcPr>
          <w:p w14:paraId="00A12544">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cs="宋体"/>
                <w:b w:val="0"/>
                <w:i w:val="0"/>
                <w:iCs w:val="0"/>
                <w:caps w:val="0"/>
                <w:color w:val="000000"/>
                <w:spacing w:val="0"/>
                <w:kern w:val="0"/>
                <w:sz w:val="21"/>
                <w:szCs w:val="21"/>
                <w:lang w:val="en-US" w:eastAsia="zh-CN" w:bidi="ar"/>
              </w:rPr>
              <w:t>6</w:t>
            </w:r>
          </w:p>
        </w:tc>
        <w:tc>
          <w:tcPr>
            <w:tcW w:w="2537" w:type="dxa"/>
            <w:shd w:val="clear" w:color="auto" w:fill="FFFFFF"/>
            <w:tcMar>
              <w:top w:w="50" w:type="dxa"/>
              <w:left w:w="100" w:type="dxa"/>
              <w:bottom w:w="50" w:type="dxa"/>
              <w:right w:w="100" w:type="dxa"/>
            </w:tcMar>
            <w:vAlign w:val="center"/>
          </w:tcPr>
          <w:p w14:paraId="7A57F767">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0.9</w:t>
            </w:r>
          </w:p>
        </w:tc>
      </w:tr>
      <w:tr w14:paraId="3055F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3" w:hRule="atLeast"/>
          <w:jc w:val="center"/>
        </w:trPr>
        <w:tc>
          <w:tcPr>
            <w:tcW w:w="1092" w:type="dxa"/>
            <w:shd w:val="clear" w:color="auto" w:fill="FFFFFF"/>
            <w:tcMar>
              <w:top w:w="50" w:type="dxa"/>
              <w:left w:w="100" w:type="dxa"/>
              <w:bottom w:w="50" w:type="dxa"/>
              <w:right w:w="100" w:type="dxa"/>
            </w:tcMar>
            <w:vAlign w:val="center"/>
          </w:tcPr>
          <w:p w14:paraId="661B9A08">
            <w:pPr>
              <w:jc w:val="left"/>
              <w:rPr>
                <w:rFonts w:hint="eastAsia" w:ascii="宋体" w:hAnsi="宋体" w:eastAsia="宋体" w:cs="宋体"/>
                <w:b w:val="0"/>
                <w:i w:val="0"/>
                <w:iCs w:val="0"/>
                <w:caps w:val="0"/>
                <w:color w:val="000000"/>
                <w:spacing w:val="0"/>
                <w:sz w:val="21"/>
                <w:szCs w:val="21"/>
              </w:rPr>
            </w:pPr>
            <m:oMathPara>
              <m:oMath>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m:sty m:val="p"/>
                      </m:rPr>
                      <w:rPr>
                        <w:rFonts w:hint="default" w:ascii="Cambria Math" w:hAnsi="Cambria Math"/>
                        <w:sz w:val="21"/>
                        <w:lang w:val="en-US" w:eastAsia="zh-CN"/>
                      </w:rPr>
                      <m:t>4</m:t>
                    </m:r>
                    <m:ctrlPr>
                      <w:rPr>
                        <w:rFonts w:ascii="Cambria Math" w:hAnsi="Cambria Math" w:eastAsia="宋体"/>
                        <w:sz w:val="21"/>
                      </w:rPr>
                    </m:ctrlPr>
                  </m:sub>
                </m:sSub>
              </m:oMath>
            </m:oMathPara>
          </w:p>
        </w:tc>
        <w:tc>
          <w:tcPr>
            <w:tcW w:w="1704" w:type="dxa"/>
            <w:shd w:val="clear" w:color="auto" w:fill="FFFFFF"/>
            <w:tcMar>
              <w:top w:w="50" w:type="dxa"/>
              <w:left w:w="100" w:type="dxa"/>
              <w:bottom w:w="50" w:type="dxa"/>
              <w:right w:w="100" w:type="dxa"/>
            </w:tcMar>
            <w:vAlign w:val="center"/>
          </w:tcPr>
          <w:p w14:paraId="7EEC8560">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标准边缘服务器</w:t>
            </w:r>
          </w:p>
        </w:tc>
        <w:tc>
          <w:tcPr>
            <w:tcW w:w="1991" w:type="dxa"/>
            <w:shd w:val="clear" w:color="auto" w:fill="FFFFFF"/>
            <w:tcMar>
              <w:top w:w="50" w:type="dxa"/>
              <w:left w:w="100" w:type="dxa"/>
              <w:bottom w:w="50" w:type="dxa"/>
              <w:right w:w="100" w:type="dxa"/>
            </w:tcMar>
            <w:vAlign w:val="center"/>
          </w:tcPr>
          <w:p w14:paraId="522CB6EA">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11</w:t>
            </w:r>
          </w:p>
        </w:tc>
        <w:tc>
          <w:tcPr>
            <w:tcW w:w="2514" w:type="dxa"/>
            <w:shd w:val="clear" w:color="auto" w:fill="FFFFFF"/>
            <w:tcMar>
              <w:top w:w="50" w:type="dxa"/>
              <w:left w:w="100" w:type="dxa"/>
              <w:bottom w:w="50" w:type="dxa"/>
              <w:right w:w="100" w:type="dxa"/>
            </w:tcMar>
            <w:vAlign w:val="center"/>
          </w:tcPr>
          <w:p w14:paraId="3509726C">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cs="宋体"/>
                <w:b w:val="0"/>
                <w:i w:val="0"/>
                <w:iCs w:val="0"/>
                <w:caps w:val="0"/>
                <w:color w:val="000000"/>
                <w:spacing w:val="0"/>
                <w:kern w:val="0"/>
                <w:sz w:val="21"/>
                <w:szCs w:val="21"/>
                <w:lang w:val="en-US" w:eastAsia="zh-CN" w:bidi="ar"/>
              </w:rPr>
              <w:t>6</w:t>
            </w:r>
          </w:p>
        </w:tc>
        <w:tc>
          <w:tcPr>
            <w:tcW w:w="2537" w:type="dxa"/>
            <w:shd w:val="clear" w:color="auto" w:fill="FFFFFF"/>
            <w:tcMar>
              <w:top w:w="50" w:type="dxa"/>
              <w:left w:w="100" w:type="dxa"/>
              <w:bottom w:w="50" w:type="dxa"/>
              <w:right w:w="100" w:type="dxa"/>
            </w:tcMar>
            <w:vAlign w:val="center"/>
          </w:tcPr>
          <w:p w14:paraId="206132CE">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1.0</w:t>
            </w:r>
          </w:p>
        </w:tc>
      </w:tr>
      <w:tr w14:paraId="05E02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7" w:hRule="atLeast"/>
          <w:jc w:val="center"/>
        </w:trPr>
        <w:tc>
          <w:tcPr>
            <w:tcW w:w="1092" w:type="dxa"/>
            <w:shd w:val="clear" w:color="auto" w:fill="FFFFFF"/>
            <w:tcMar>
              <w:top w:w="50" w:type="dxa"/>
              <w:left w:w="100" w:type="dxa"/>
              <w:bottom w:w="50" w:type="dxa"/>
              <w:right w:w="100" w:type="dxa"/>
            </w:tcMar>
            <w:vAlign w:val="center"/>
          </w:tcPr>
          <w:p w14:paraId="6CA37BCD">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m:oMathPara>
              <m:oMath>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m:sty m:val="p"/>
                      </m:rPr>
                      <w:rPr>
                        <w:rFonts w:hint="default" w:ascii="Cambria Math" w:hAnsi="Cambria Math"/>
                        <w:sz w:val="21"/>
                        <w:lang w:val="en-US" w:eastAsia="zh-CN"/>
                      </w:rPr>
                      <m:t>5</m:t>
                    </m:r>
                    <m:ctrlPr>
                      <w:rPr>
                        <w:rFonts w:ascii="Cambria Math" w:hAnsi="Cambria Math" w:eastAsia="宋体"/>
                        <w:sz w:val="21"/>
                      </w:rPr>
                    </m:ctrlPr>
                  </m:sub>
                </m:sSub>
              </m:oMath>
            </m:oMathPara>
          </w:p>
        </w:tc>
        <w:tc>
          <w:tcPr>
            <w:tcW w:w="1704" w:type="dxa"/>
            <w:shd w:val="clear" w:color="auto" w:fill="FFFFFF"/>
            <w:tcMar>
              <w:top w:w="50" w:type="dxa"/>
              <w:left w:w="100" w:type="dxa"/>
              <w:bottom w:w="50" w:type="dxa"/>
              <w:right w:w="100" w:type="dxa"/>
            </w:tcMar>
            <w:vAlign w:val="center"/>
          </w:tcPr>
          <w:p w14:paraId="2A13E448">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车载计算单元</w:t>
            </w:r>
          </w:p>
        </w:tc>
        <w:tc>
          <w:tcPr>
            <w:tcW w:w="1991" w:type="dxa"/>
            <w:shd w:val="clear" w:color="auto" w:fill="FFFFFF"/>
            <w:tcMar>
              <w:top w:w="50" w:type="dxa"/>
              <w:left w:w="100" w:type="dxa"/>
              <w:bottom w:w="50" w:type="dxa"/>
              <w:right w:w="100" w:type="dxa"/>
            </w:tcMar>
            <w:vAlign w:val="center"/>
          </w:tcPr>
          <w:p w14:paraId="38659D86">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cs="宋体"/>
                <w:b w:val="0"/>
                <w:i w:val="0"/>
                <w:iCs w:val="0"/>
                <w:caps w:val="0"/>
                <w:color w:val="000000"/>
                <w:spacing w:val="0"/>
                <w:kern w:val="0"/>
                <w:sz w:val="21"/>
                <w:szCs w:val="21"/>
                <w:lang w:val="en-US" w:eastAsia="zh-CN" w:bidi="ar"/>
              </w:rPr>
              <w:t>9</w:t>
            </w:r>
          </w:p>
        </w:tc>
        <w:tc>
          <w:tcPr>
            <w:tcW w:w="2514" w:type="dxa"/>
            <w:shd w:val="clear" w:color="auto" w:fill="FFFFFF"/>
            <w:tcMar>
              <w:top w:w="50" w:type="dxa"/>
              <w:left w:w="100" w:type="dxa"/>
              <w:bottom w:w="50" w:type="dxa"/>
              <w:right w:w="100" w:type="dxa"/>
            </w:tcMar>
            <w:vAlign w:val="center"/>
          </w:tcPr>
          <w:p w14:paraId="635544BD">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cs="宋体"/>
                <w:b w:val="0"/>
                <w:i w:val="0"/>
                <w:iCs w:val="0"/>
                <w:caps w:val="0"/>
                <w:color w:val="000000"/>
                <w:spacing w:val="0"/>
                <w:kern w:val="0"/>
                <w:sz w:val="21"/>
                <w:szCs w:val="21"/>
                <w:lang w:val="en-US" w:eastAsia="zh-CN" w:bidi="ar"/>
              </w:rPr>
              <w:t>5</w:t>
            </w:r>
          </w:p>
        </w:tc>
        <w:tc>
          <w:tcPr>
            <w:tcW w:w="2537" w:type="dxa"/>
            <w:shd w:val="clear" w:color="auto" w:fill="FFFFFF"/>
            <w:tcMar>
              <w:top w:w="50" w:type="dxa"/>
              <w:left w:w="100" w:type="dxa"/>
              <w:bottom w:w="50" w:type="dxa"/>
              <w:right w:w="100" w:type="dxa"/>
            </w:tcMar>
            <w:vAlign w:val="center"/>
          </w:tcPr>
          <w:p w14:paraId="49B81401">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0.8</w:t>
            </w:r>
          </w:p>
        </w:tc>
      </w:tr>
      <w:tr w14:paraId="0E3DA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jc w:val="center"/>
        </w:trPr>
        <w:tc>
          <w:tcPr>
            <w:tcW w:w="1092" w:type="dxa"/>
            <w:shd w:val="clear" w:color="auto" w:fill="FFFFFF"/>
            <w:tcMar>
              <w:top w:w="50" w:type="dxa"/>
              <w:left w:w="100" w:type="dxa"/>
              <w:bottom w:w="50" w:type="dxa"/>
              <w:right w:w="100" w:type="dxa"/>
            </w:tcMar>
            <w:vAlign w:val="center"/>
          </w:tcPr>
          <w:p w14:paraId="1EC7A0D2">
            <w:pPr>
              <w:jc w:val="left"/>
              <w:rPr>
                <w:rFonts w:hint="eastAsia" w:ascii="宋体" w:hAnsi="宋体" w:eastAsia="宋体" w:cs="宋体"/>
                <w:b w:val="0"/>
                <w:i w:val="0"/>
                <w:iCs w:val="0"/>
                <w:caps w:val="0"/>
                <w:color w:val="000000"/>
                <w:spacing w:val="0"/>
                <w:sz w:val="21"/>
                <w:szCs w:val="21"/>
              </w:rPr>
            </w:pPr>
            <m:oMathPara>
              <m:oMath>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m:sty m:val="p"/>
                      </m:rPr>
                      <w:rPr>
                        <w:rFonts w:hint="default" w:ascii="Cambria Math" w:hAnsi="Cambria Math"/>
                        <w:sz w:val="21"/>
                        <w:lang w:val="en-US" w:eastAsia="zh-CN"/>
                      </w:rPr>
                      <m:t>6</m:t>
                    </m:r>
                    <m:ctrlPr>
                      <w:rPr>
                        <w:rFonts w:ascii="Cambria Math" w:hAnsi="Cambria Math" w:eastAsia="宋体"/>
                        <w:sz w:val="21"/>
                      </w:rPr>
                    </m:ctrlPr>
                  </m:sub>
                </m:sSub>
              </m:oMath>
            </m:oMathPara>
          </w:p>
        </w:tc>
        <w:tc>
          <w:tcPr>
            <w:tcW w:w="1704" w:type="dxa"/>
            <w:shd w:val="clear" w:color="auto" w:fill="FFFFFF"/>
            <w:tcMar>
              <w:top w:w="50" w:type="dxa"/>
              <w:left w:w="100" w:type="dxa"/>
              <w:bottom w:w="50" w:type="dxa"/>
              <w:right w:w="100" w:type="dxa"/>
            </w:tcMar>
            <w:vAlign w:val="center"/>
          </w:tcPr>
          <w:p w14:paraId="7D5EF73E">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kern w:val="0"/>
                <w:sz w:val="21"/>
                <w:szCs w:val="21"/>
                <w:lang w:val="en-US" w:eastAsia="zh-CN" w:bidi="ar"/>
              </w:rPr>
              <w:t>车载计算单元</w:t>
            </w:r>
          </w:p>
        </w:tc>
        <w:tc>
          <w:tcPr>
            <w:tcW w:w="1991" w:type="dxa"/>
            <w:shd w:val="clear" w:color="auto" w:fill="FFFFFF"/>
            <w:tcMar>
              <w:top w:w="50" w:type="dxa"/>
              <w:left w:w="100" w:type="dxa"/>
              <w:bottom w:w="50" w:type="dxa"/>
              <w:right w:w="100" w:type="dxa"/>
            </w:tcMar>
            <w:vAlign w:val="center"/>
          </w:tcPr>
          <w:p w14:paraId="69D047DC">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cs="宋体"/>
                <w:b w:val="0"/>
                <w:i w:val="0"/>
                <w:iCs w:val="0"/>
                <w:caps w:val="0"/>
                <w:color w:val="000000"/>
                <w:spacing w:val="0"/>
                <w:kern w:val="0"/>
                <w:sz w:val="21"/>
                <w:szCs w:val="21"/>
                <w:lang w:val="en-US" w:eastAsia="zh-CN" w:bidi="ar"/>
              </w:rPr>
              <w:t>8</w:t>
            </w:r>
          </w:p>
        </w:tc>
        <w:tc>
          <w:tcPr>
            <w:tcW w:w="2514" w:type="dxa"/>
            <w:shd w:val="clear" w:color="auto" w:fill="FFFFFF"/>
            <w:tcMar>
              <w:top w:w="50" w:type="dxa"/>
              <w:left w:w="100" w:type="dxa"/>
              <w:bottom w:w="50" w:type="dxa"/>
              <w:right w:w="100" w:type="dxa"/>
            </w:tcMar>
            <w:vAlign w:val="center"/>
          </w:tcPr>
          <w:p w14:paraId="2FBD06BA">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cs="宋体"/>
                <w:b w:val="0"/>
                <w:i w:val="0"/>
                <w:iCs w:val="0"/>
                <w:caps w:val="0"/>
                <w:color w:val="000000"/>
                <w:spacing w:val="0"/>
                <w:kern w:val="0"/>
                <w:sz w:val="21"/>
                <w:szCs w:val="21"/>
                <w:lang w:val="en-US" w:eastAsia="zh-CN" w:bidi="ar"/>
              </w:rPr>
              <w:t>4</w:t>
            </w:r>
          </w:p>
        </w:tc>
        <w:tc>
          <w:tcPr>
            <w:tcW w:w="2537" w:type="dxa"/>
            <w:shd w:val="clear" w:color="auto" w:fill="FFFFFF"/>
            <w:tcMar>
              <w:top w:w="50" w:type="dxa"/>
              <w:left w:w="100" w:type="dxa"/>
              <w:bottom w:w="50" w:type="dxa"/>
              <w:right w:w="100" w:type="dxa"/>
            </w:tcMar>
            <w:vAlign w:val="center"/>
          </w:tcPr>
          <w:p w14:paraId="200EEE97">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0.85</w:t>
            </w:r>
          </w:p>
        </w:tc>
      </w:tr>
    </w:tbl>
    <w:p w14:paraId="3EA10A46">
      <w:pPr>
        <w:spacing w:line="360" w:lineRule="auto"/>
        <w:ind w:firstLine="430" w:firstLineChars="205"/>
        <w:rPr>
          <w:rFonts w:hint="eastAsia" w:cs="宋体"/>
          <w:kern w:val="0"/>
          <w:szCs w:val="21"/>
        </w:rPr>
      </w:pPr>
      <w:r>
        <w:rPr>
          <w:rFonts w:hint="eastAsia" w:cs="宋体"/>
          <w:kern w:val="0"/>
          <w:szCs w:val="21"/>
          <w:lang w:val="en-US" w:eastAsia="zh-CN"/>
        </w:rPr>
        <w:t>最后</w:t>
      </w:r>
      <w:r>
        <w:rPr>
          <w:rFonts w:hint="eastAsia" w:cs="宋体"/>
          <w:kern w:val="0"/>
          <w:szCs w:val="21"/>
        </w:rPr>
        <w:t>设计了一个动态任务生成器，在1小时仿真时间内共生成 4751 个任务。任务的到达遵循非齐次泊松过程，平均到达率为每秒 1.3 个任务，并在特定时间段（如仿真 900~1800 秒区间）模拟任务突发以测试系统弹性。任务的优先级分布设定为：实时控制任务（紧急）占 21%（988 个），其截止时间严格限定为 5~15 秒；关键感知任务（高价值）占 26%（1254 个），截止时间为 30~60 秒；后台分析任务（普通）占 53%（2507个），截止时间较为宽松，为 120~300 秒。该混合负载设定旨在模拟自动驾驶等复杂边缘应用中真实的任务构成。</w:t>
      </w:r>
    </w:p>
    <w:p w14:paraId="6B27199E">
      <w:pPr>
        <w:pStyle w:val="2"/>
        <w:spacing w:before="0" w:after="0" w:line="360" w:lineRule="auto"/>
        <w:rPr>
          <w:rFonts w:hint="eastAsia" w:ascii="Times New Roman" w:hAnsi="Times New Roman" w:eastAsia="宋体"/>
          <w:bCs w:val="0"/>
          <w:kern w:val="0"/>
          <w:sz w:val="21"/>
          <w:szCs w:val="21"/>
        </w:rPr>
      </w:pPr>
      <w:r>
        <w:rPr>
          <w:rFonts w:hint="eastAsia" w:ascii="Times New Roman" w:hAnsi="Times New Roman" w:eastAsia="宋体"/>
          <w:bCs w:val="0"/>
          <w:kern w:val="0"/>
          <w:sz w:val="21"/>
          <w:szCs w:val="21"/>
          <w:lang w:val="en-US" w:eastAsia="zh-CN"/>
        </w:rPr>
        <w:t>5</w:t>
      </w:r>
      <w:r>
        <w:rPr>
          <w:rFonts w:hint="eastAsia" w:ascii="Times New Roman" w:hAnsi="Times New Roman" w:eastAsia="宋体"/>
          <w:bCs w:val="0"/>
          <w:kern w:val="0"/>
          <w:sz w:val="21"/>
          <w:szCs w:val="21"/>
        </w:rPr>
        <w:t>.</w:t>
      </w:r>
      <w:r>
        <w:rPr>
          <w:rFonts w:hint="eastAsia" w:ascii="Times New Roman" w:hAnsi="Times New Roman" w:eastAsia="宋体"/>
          <w:bCs w:val="0"/>
          <w:kern w:val="0"/>
          <w:sz w:val="21"/>
          <w:szCs w:val="21"/>
          <w:lang w:val="en-US" w:eastAsia="zh-CN"/>
        </w:rPr>
        <w:t>2</w:t>
      </w:r>
      <w:r>
        <w:rPr>
          <w:rFonts w:hint="eastAsia" w:ascii="Times New Roman" w:hAnsi="Times New Roman" w:eastAsia="宋体"/>
          <w:bCs w:val="0"/>
          <w:kern w:val="0"/>
          <w:sz w:val="21"/>
          <w:szCs w:val="21"/>
        </w:rPr>
        <w:t xml:space="preserve">  对比策略与评价指标</w:t>
      </w:r>
    </w:p>
    <w:p w14:paraId="5137F29F">
      <w:pPr>
        <w:spacing w:line="360" w:lineRule="auto"/>
        <w:ind w:firstLine="430" w:firstLineChars="205"/>
        <w:rPr>
          <w:rFonts w:hint="eastAsia" w:cs="宋体"/>
          <w:kern w:val="0"/>
          <w:szCs w:val="21"/>
        </w:rPr>
      </w:pPr>
      <w:r>
        <w:rPr>
          <w:rFonts w:hint="eastAsia" w:cs="宋体"/>
          <w:kern w:val="0"/>
          <w:szCs w:val="21"/>
        </w:rPr>
        <w:t>为了清晰地展示QASS模型的优势，我们选择了两种在文献和实践中被广泛应用的资源调度策略作为基准进行对比。</w:t>
      </w:r>
    </w:p>
    <w:p w14:paraId="04448C8B">
      <w:pPr>
        <w:spacing w:line="360" w:lineRule="auto"/>
        <w:ind w:firstLine="430" w:firstLineChars="205"/>
        <w:rPr>
          <w:rFonts w:hint="eastAsia" w:cs="宋体"/>
          <w:kern w:val="0"/>
          <w:szCs w:val="21"/>
        </w:rPr>
      </w:pPr>
      <w:r>
        <w:rPr>
          <w:rFonts w:hint="eastAsia" w:cs="宋体"/>
          <w:kern w:val="0"/>
          <w:szCs w:val="21"/>
        </w:rPr>
        <w:t>固定定价（Fixed Pricing, FP）是一种最简单的基准策略。所有边缘节点对其计算资源设定一个固定的、不随时间变化的价格。任务在选择执行节点时，会简单地选择能够满足其资源需求且当前报价最低的节点。任务的调度顺序遵循先到先服务（FIFO）原则，不考虑任务的优先级差异。这代表了一种纯粹追求最低成本的调度思想，也是许多简单边缘系统的默认策略。</w:t>
      </w:r>
    </w:p>
    <w:p w14:paraId="6E687FAE">
      <w:pPr>
        <w:spacing w:line="360" w:lineRule="auto"/>
        <w:ind w:firstLine="430" w:firstLineChars="205"/>
        <w:rPr>
          <w:rFonts w:hint="eastAsia" w:cs="宋体"/>
          <w:kern w:val="0"/>
          <w:szCs w:val="21"/>
        </w:rPr>
      </w:pPr>
      <w:r>
        <w:rPr>
          <w:rFonts w:hint="eastAsia" w:cs="宋体"/>
          <w:kern w:val="0"/>
          <w:szCs w:val="21"/>
        </w:rPr>
        <w:t>动态定价（Dynamic Pricing, DP）是一种更为高级的基准策略，它引入了基于负载的定价机制。每个节点的价格会根据其当前的资源利用率动态调整，即负载越高，价格越贵。这种策略旨在通过价格信号实现负载均衡——当某个节点变得拥挤时，其价格上升会自然地将新任务引导到其他更空闲、更便宜的节点上。这是许多云服务提供商（如AWS Spot Instances）采用的经典模型。</w:t>
      </w:r>
    </w:p>
    <w:p w14:paraId="033313F5">
      <w:pPr>
        <w:spacing w:line="360" w:lineRule="auto"/>
        <w:ind w:firstLine="430" w:firstLineChars="205"/>
        <w:rPr>
          <w:rFonts w:hint="eastAsia" w:cs="宋体"/>
          <w:kern w:val="0"/>
          <w:szCs w:val="21"/>
        </w:rPr>
      </w:pPr>
      <w:r>
        <w:rPr>
          <w:rFonts w:hint="eastAsia" w:cs="宋体"/>
          <w:kern w:val="0"/>
          <w:szCs w:val="21"/>
        </w:rPr>
        <w:t>我们采用了一套全面的、多维度的评价指标来对这三种策略进行评估。核心性能指标包括任务完成率（成功完成的任务数占总任务数的比例）和任务失败率（因超时而失败的任务数比例）。经济性指标为总计算成本（所有完成任务的成本之和），以服务单位（SU）计。QoS相关指标包括平均响应时间（任务从到达系统到完成执行的平均时长）和分优先级SLA合规率（在规定SLA时限内完成的任务比例）。协作机制指标为任务迁移次数，该指标专门用于衡量QASS的蜂群协作机制的活跃程度。</w:t>
      </w:r>
    </w:p>
    <w:p w14:paraId="3D78EC3E">
      <w:pPr>
        <w:pStyle w:val="2"/>
        <w:spacing w:before="0" w:after="0" w:line="360" w:lineRule="auto"/>
        <w:rPr>
          <w:rFonts w:hint="eastAsia" w:ascii="Times New Roman" w:hAnsi="Times New Roman" w:eastAsia="宋体"/>
          <w:bCs w:val="0"/>
          <w:kern w:val="0"/>
          <w:sz w:val="21"/>
          <w:szCs w:val="21"/>
        </w:rPr>
      </w:pPr>
      <w:r>
        <w:rPr>
          <w:rFonts w:hint="eastAsia" w:ascii="Times New Roman" w:hAnsi="Times New Roman" w:eastAsia="宋体"/>
          <w:bCs w:val="0"/>
          <w:kern w:val="0"/>
          <w:sz w:val="21"/>
          <w:szCs w:val="21"/>
          <w:lang w:val="en-US" w:eastAsia="zh-CN"/>
        </w:rPr>
        <w:t>5</w:t>
      </w:r>
      <w:r>
        <w:rPr>
          <w:rFonts w:hint="eastAsia" w:ascii="Times New Roman" w:hAnsi="Times New Roman" w:eastAsia="宋体"/>
          <w:bCs w:val="0"/>
          <w:kern w:val="0"/>
          <w:sz w:val="21"/>
          <w:szCs w:val="21"/>
        </w:rPr>
        <w:t>.</w:t>
      </w:r>
      <w:r>
        <w:rPr>
          <w:rFonts w:hint="eastAsia" w:ascii="Times New Roman" w:hAnsi="Times New Roman" w:eastAsia="宋体"/>
          <w:bCs w:val="0"/>
          <w:kern w:val="0"/>
          <w:sz w:val="21"/>
          <w:szCs w:val="21"/>
          <w:lang w:val="en-US" w:eastAsia="zh-CN"/>
        </w:rPr>
        <w:t>3</w:t>
      </w:r>
      <w:r>
        <w:rPr>
          <w:rFonts w:hint="eastAsia" w:ascii="Times New Roman" w:hAnsi="Times New Roman" w:eastAsia="宋体"/>
          <w:bCs w:val="0"/>
          <w:kern w:val="0"/>
          <w:sz w:val="21"/>
          <w:szCs w:val="21"/>
        </w:rPr>
        <w:t xml:space="preserve">  实验结果与深入分析</w:t>
      </w:r>
    </w:p>
    <w:p w14:paraId="6EA7530B">
      <w:pPr>
        <w:spacing w:line="360" w:lineRule="auto"/>
        <w:ind w:firstLine="430" w:firstLineChars="205"/>
        <w:rPr>
          <w:rFonts w:hint="eastAsia" w:cs="宋体"/>
          <w:kern w:val="0"/>
          <w:szCs w:val="21"/>
        </w:rPr>
      </w:pPr>
      <w:r>
        <w:rPr>
          <w:rFonts w:hint="eastAsia" w:cs="宋体"/>
          <w:kern w:val="0"/>
          <w:szCs w:val="21"/>
        </w:rPr>
        <w:t>总体实验结果（如表</w:t>
      </w:r>
      <w:r>
        <w:rPr>
          <w:rFonts w:hint="eastAsia" w:cs="宋体"/>
          <w:kern w:val="0"/>
          <w:szCs w:val="21"/>
          <w:lang w:val="en-US" w:eastAsia="zh-CN"/>
        </w:rPr>
        <w:t>2</w:t>
      </w:r>
      <w:r>
        <w:rPr>
          <w:rFonts w:hint="eastAsia" w:cs="宋体"/>
          <w:kern w:val="0"/>
          <w:szCs w:val="21"/>
        </w:rPr>
        <w:t>所示）表明，QASS在保障系统可靠性方面取得了显著优势。其任务完成率达到97.20%，分别较FP和DP策略高出7.32和4.46个百分点。这一宏观指标的提升伴随着任务失败率的急剧下降：QASS的任务失败率仅为2.44%，相较于FP（9.77%）和DP（6.90%）分别降低了75.0%和64.6%。在延迟敏感的边缘计算场景中，任务失败往往意味着服务中断甚至安全事故，因此失败率是衡量调度策略有效性的核心标准。该结果充分证明了QASS通过其QoS感知与协作机制，在保障边缘业务连续性和可靠性方面的卓越能力。</w:t>
      </w:r>
    </w:p>
    <w:p w14:paraId="3E4742A5">
      <w:pPr>
        <w:spacing w:line="360" w:lineRule="auto"/>
        <w:jc w:val="center"/>
        <w:rPr>
          <w:rFonts w:hint="eastAsia" w:cs="宋体"/>
          <w:kern w:val="0"/>
          <w:szCs w:val="21"/>
        </w:rPr>
      </w:pPr>
      <w:r>
        <w:rPr>
          <w:rFonts w:hint="eastAsia" w:cs="宋体"/>
          <w:kern w:val="0"/>
          <w:szCs w:val="21"/>
          <w:lang w:val="en-US" w:eastAsia="zh-CN"/>
        </w:rPr>
        <w:t>表2</w:t>
      </w:r>
      <w:r>
        <w:rPr>
          <w:rFonts w:hint="eastAsia" w:cs="宋体"/>
          <w:kern w:val="0"/>
          <w:szCs w:val="21"/>
        </w:rPr>
        <w:t>边缘计算网络中三种调度策略的总体性能指标对比</w:t>
      </w:r>
    </w:p>
    <w:tbl>
      <w:tblPr>
        <w:tblStyle w:val="11"/>
        <w:tblW w:w="94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49"/>
        <w:gridCol w:w="1479"/>
        <w:gridCol w:w="1507"/>
        <w:gridCol w:w="1541"/>
        <w:gridCol w:w="1389"/>
        <w:gridCol w:w="2047"/>
      </w:tblGrid>
      <w:tr w14:paraId="58286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09" w:hRule="atLeast"/>
          <w:jc w:val="center"/>
        </w:trPr>
        <w:tc>
          <w:tcPr>
            <w:tcW w:w="1449" w:type="dxa"/>
            <w:tcBorders>
              <w:top w:val="single" w:color="000000" w:sz="12" w:space="0"/>
              <w:bottom w:val="single" w:color="000000" w:sz="4" w:space="0"/>
              <w:tl2br w:val="nil"/>
            </w:tcBorders>
            <w:shd w:val="clear" w:color="auto" w:fill="FFFFFF"/>
            <w:tcMar>
              <w:top w:w="50" w:type="dxa"/>
              <w:left w:w="100" w:type="dxa"/>
              <w:bottom w:w="50" w:type="dxa"/>
              <w:right w:w="100" w:type="dxa"/>
            </w:tcMar>
            <w:vAlign w:val="center"/>
          </w:tcPr>
          <w:p w14:paraId="6A4D8ECF">
            <w:pPr>
              <w:keepNext w:val="0"/>
              <w:keepLines w:val="0"/>
              <w:widowControl/>
              <w:suppressLineNumbers w:val="0"/>
              <w:jc w:val="left"/>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sz w:val="21"/>
                <w:szCs w:val="21"/>
              </w:rPr>
              <w:t>指标</w:t>
            </w:r>
          </w:p>
        </w:tc>
        <w:tc>
          <w:tcPr>
            <w:tcW w:w="1479" w:type="dxa"/>
            <w:tcBorders>
              <w:top w:val="single" w:color="000000" w:sz="12" w:space="0"/>
              <w:bottom w:val="single" w:color="000000" w:sz="4" w:space="0"/>
            </w:tcBorders>
            <w:shd w:val="clear" w:color="auto" w:fill="FFFFFF"/>
            <w:tcMar>
              <w:top w:w="50" w:type="dxa"/>
              <w:left w:w="100" w:type="dxa"/>
              <w:bottom w:w="50" w:type="dxa"/>
              <w:right w:w="100" w:type="dxa"/>
            </w:tcMar>
            <w:vAlign w:val="center"/>
          </w:tcPr>
          <w:p w14:paraId="6860D10F">
            <w:pPr>
              <w:keepNext w:val="0"/>
              <w:keepLines w:val="0"/>
              <w:widowControl/>
              <w:suppressLineNumbers w:val="0"/>
              <w:jc w:val="left"/>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kern w:val="0"/>
                <w:sz w:val="21"/>
                <w:szCs w:val="21"/>
                <w:lang w:val="en-US" w:eastAsia="zh-CN" w:bidi="ar"/>
              </w:rPr>
              <w:t>固定定价(FP)</w:t>
            </w:r>
          </w:p>
        </w:tc>
        <w:tc>
          <w:tcPr>
            <w:tcW w:w="1507" w:type="dxa"/>
            <w:tcBorders>
              <w:top w:val="single" w:color="000000" w:sz="12" w:space="0"/>
              <w:bottom w:val="single" w:color="000000" w:sz="4" w:space="0"/>
            </w:tcBorders>
            <w:shd w:val="clear" w:color="auto" w:fill="FFFFFF"/>
            <w:tcMar>
              <w:top w:w="50" w:type="dxa"/>
              <w:left w:w="100" w:type="dxa"/>
              <w:bottom w:w="50" w:type="dxa"/>
              <w:right w:w="100" w:type="dxa"/>
            </w:tcMar>
            <w:vAlign w:val="center"/>
          </w:tcPr>
          <w:p w14:paraId="2C2BEBC2">
            <w:pPr>
              <w:keepNext w:val="0"/>
              <w:keepLines w:val="0"/>
              <w:widowControl/>
              <w:suppressLineNumbers w:val="0"/>
              <w:jc w:val="left"/>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kern w:val="0"/>
                <w:sz w:val="21"/>
                <w:szCs w:val="21"/>
                <w:lang w:val="en-US" w:eastAsia="zh-CN" w:bidi="ar"/>
              </w:rPr>
              <w:t>动态定价(DP)</w:t>
            </w:r>
          </w:p>
        </w:tc>
        <w:tc>
          <w:tcPr>
            <w:tcW w:w="1541" w:type="dxa"/>
            <w:tcBorders>
              <w:top w:val="single" w:color="000000" w:sz="12" w:space="0"/>
              <w:bottom w:val="single" w:color="000000" w:sz="4" w:space="0"/>
            </w:tcBorders>
            <w:shd w:val="clear" w:color="auto" w:fill="FFFFFF"/>
            <w:tcMar>
              <w:top w:w="50" w:type="dxa"/>
              <w:left w:w="100" w:type="dxa"/>
              <w:bottom w:w="50" w:type="dxa"/>
              <w:right w:w="100" w:type="dxa"/>
            </w:tcMar>
            <w:vAlign w:val="center"/>
          </w:tcPr>
          <w:p w14:paraId="29A5BB9B">
            <w:pPr>
              <w:keepNext w:val="0"/>
              <w:keepLines w:val="0"/>
              <w:widowControl/>
              <w:suppressLineNumbers w:val="0"/>
              <w:jc w:val="left"/>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kern w:val="0"/>
                <w:sz w:val="21"/>
                <w:szCs w:val="21"/>
                <w:lang w:val="en-US" w:eastAsia="zh-CN" w:bidi="ar"/>
              </w:rPr>
              <w:t>QASS</w:t>
            </w:r>
          </w:p>
        </w:tc>
        <w:tc>
          <w:tcPr>
            <w:tcW w:w="1389" w:type="dxa"/>
            <w:tcBorders>
              <w:top w:val="single" w:color="000000" w:sz="12" w:space="0"/>
              <w:bottom w:val="single" w:color="000000" w:sz="4" w:space="0"/>
            </w:tcBorders>
            <w:shd w:val="clear" w:color="auto" w:fill="FFFFFF"/>
            <w:tcMar>
              <w:top w:w="50" w:type="dxa"/>
              <w:left w:w="100" w:type="dxa"/>
              <w:bottom w:w="50" w:type="dxa"/>
              <w:right w:w="100" w:type="dxa"/>
            </w:tcMar>
            <w:vAlign w:val="center"/>
          </w:tcPr>
          <w:p w14:paraId="23B42C00">
            <w:pPr>
              <w:keepNext w:val="0"/>
              <w:keepLines w:val="0"/>
              <w:widowControl/>
              <w:suppressLineNumbers w:val="0"/>
              <w:jc w:val="left"/>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kern w:val="0"/>
                <w:sz w:val="21"/>
                <w:szCs w:val="21"/>
                <w:lang w:val="en-US" w:eastAsia="zh-CN" w:bidi="ar"/>
              </w:rPr>
              <w:t>QASS vs FP</w:t>
            </w:r>
          </w:p>
        </w:tc>
        <w:tc>
          <w:tcPr>
            <w:tcW w:w="2047" w:type="dxa"/>
            <w:tcBorders>
              <w:top w:val="single" w:color="000000" w:sz="12" w:space="0"/>
              <w:bottom w:val="single" w:color="000000" w:sz="4" w:space="0"/>
            </w:tcBorders>
            <w:shd w:val="clear" w:color="auto" w:fill="FFFFFF"/>
            <w:tcMar>
              <w:top w:w="50" w:type="dxa"/>
              <w:left w:w="100" w:type="dxa"/>
              <w:bottom w:w="50" w:type="dxa"/>
              <w:right w:w="100" w:type="dxa"/>
            </w:tcMar>
            <w:vAlign w:val="center"/>
          </w:tcPr>
          <w:p w14:paraId="4D78A975">
            <w:pPr>
              <w:keepNext w:val="0"/>
              <w:keepLines w:val="0"/>
              <w:widowControl/>
              <w:suppressLineNumbers w:val="0"/>
              <w:jc w:val="left"/>
              <w:rPr>
                <w:rFonts w:hint="eastAsia" w:ascii="宋体" w:hAnsi="宋体" w:eastAsia="宋体" w:cs="宋体"/>
                <w:b w:val="0"/>
                <w:bCs/>
                <w:i w:val="0"/>
                <w:iCs w:val="0"/>
                <w:caps w:val="0"/>
                <w:color w:val="000000"/>
                <w:spacing w:val="0"/>
                <w:kern w:val="0"/>
                <w:sz w:val="21"/>
                <w:szCs w:val="21"/>
                <w:lang w:val="en-US" w:eastAsia="zh-CN" w:bidi="ar"/>
              </w:rPr>
            </w:pPr>
            <w:r>
              <w:rPr>
                <w:rFonts w:hint="eastAsia" w:ascii="宋体" w:hAnsi="宋体" w:eastAsia="宋体" w:cs="宋体"/>
                <w:b w:val="0"/>
                <w:bCs/>
                <w:i w:val="0"/>
                <w:iCs w:val="0"/>
                <w:caps w:val="0"/>
                <w:color w:val="000000"/>
                <w:spacing w:val="0"/>
                <w:kern w:val="0"/>
                <w:sz w:val="21"/>
                <w:szCs w:val="21"/>
                <w:lang w:val="en-US" w:eastAsia="zh-CN" w:bidi="ar"/>
              </w:rPr>
              <w:t>QASS vs DP</w:t>
            </w:r>
          </w:p>
        </w:tc>
      </w:tr>
      <w:tr w14:paraId="128B9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0" w:hRule="atLeast"/>
          <w:jc w:val="center"/>
        </w:trPr>
        <w:tc>
          <w:tcPr>
            <w:tcW w:w="1449" w:type="dxa"/>
            <w:tcBorders>
              <w:top w:val="single" w:color="000000" w:sz="4" w:space="0"/>
            </w:tcBorders>
            <w:shd w:val="clear" w:color="auto" w:fill="FFFFFF"/>
            <w:tcMar>
              <w:top w:w="50" w:type="dxa"/>
              <w:left w:w="100" w:type="dxa"/>
              <w:bottom w:w="50" w:type="dxa"/>
              <w:right w:w="100" w:type="dxa"/>
            </w:tcMar>
            <w:vAlign w:val="center"/>
          </w:tcPr>
          <w:p w14:paraId="12DFA1A5">
            <w:pPr>
              <w:keepNext w:val="0"/>
              <w:keepLines w:val="0"/>
              <w:widowControl/>
              <w:suppressLineNumbers w:val="0"/>
              <w:jc w:val="left"/>
              <w:rPr>
                <w:rFonts w:hint="eastAsia" w:hAnsi="Cambria Math" w:eastAsia="宋体" w:cs="宋体"/>
                <w:b w:val="0"/>
                <w:i w:val="0"/>
                <w:iCs w:val="0"/>
                <w:caps w:val="0"/>
                <w:color w:val="000000"/>
                <w:spacing w:val="0"/>
                <w:kern w:val="0"/>
                <w:sz w:val="21"/>
                <w:szCs w:val="21"/>
                <w:lang w:val="en-US" w:eastAsia="zh-CN" w:bidi="ar"/>
              </w:rPr>
            </w:pPr>
            <w:r>
              <w:rPr>
                <w:rFonts w:hint="eastAsia" w:hAnsi="Cambria Math" w:eastAsia="宋体" w:cs="宋体"/>
                <w:b w:val="0"/>
                <w:i w:val="0"/>
                <w:iCs w:val="0"/>
                <w:caps w:val="0"/>
                <w:color w:val="000000"/>
                <w:spacing w:val="0"/>
                <w:kern w:val="0"/>
                <w:sz w:val="21"/>
                <w:szCs w:val="21"/>
                <w:lang w:val="en-US" w:eastAsia="zh-CN" w:bidi="ar"/>
              </w:rPr>
              <w:t>任务完成率</w:t>
            </w:r>
          </w:p>
        </w:tc>
        <w:tc>
          <w:tcPr>
            <w:tcW w:w="1479" w:type="dxa"/>
            <w:tcBorders>
              <w:top w:val="single" w:color="000000" w:sz="4" w:space="0"/>
            </w:tcBorders>
            <w:shd w:val="clear" w:color="auto" w:fill="FFFFFF"/>
            <w:tcMar>
              <w:top w:w="50" w:type="dxa"/>
              <w:left w:w="100" w:type="dxa"/>
              <w:bottom w:w="50" w:type="dxa"/>
              <w:right w:w="100" w:type="dxa"/>
            </w:tcMar>
            <w:vAlign w:val="center"/>
          </w:tcPr>
          <w:p w14:paraId="6A78496A">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sz w:val="21"/>
                <w:szCs w:val="21"/>
              </w:rPr>
              <w:t>89.88%</w:t>
            </w:r>
          </w:p>
        </w:tc>
        <w:tc>
          <w:tcPr>
            <w:tcW w:w="1507" w:type="dxa"/>
            <w:tcBorders>
              <w:top w:val="single" w:color="000000" w:sz="4" w:space="0"/>
            </w:tcBorders>
            <w:shd w:val="clear" w:color="auto" w:fill="FFFFFF"/>
            <w:tcMar>
              <w:top w:w="50" w:type="dxa"/>
              <w:left w:w="100" w:type="dxa"/>
              <w:bottom w:w="50" w:type="dxa"/>
              <w:right w:w="100" w:type="dxa"/>
            </w:tcMar>
            <w:vAlign w:val="center"/>
          </w:tcPr>
          <w:p w14:paraId="77643868">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eastAsia="zh-CN"/>
              </w:rPr>
            </w:pPr>
            <w:r>
              <w:rPr>
                <w:rFonts w:hint="eastAsia" w:ascii="宋体" w:hAnsi="宋体" w:cs="宋体"/>
                <w:b w:val="0"/>
                <w:i w:val="0"/>
                <w:iCs w:val="0"/>
                <w:caps w:val="0"/>
                <w:color w:val="000000"/>
                <w:spacing w:val="0"/>
                <w:sz w:val="21"/>
                <w:szCs w:val="21"/>
                <w:lang w:val="en-US" w:eastAsia="zh-CN"/>
              </w:rPr>
              <w:t>92.74%</w:t>
            </w:r>
          </w:p>
        </w:tc>
        <w:tc>
          <w:tcPr>
            <w:tcW w:w="1541" w:type="dxa"/>
            <w:tcBorders>
              <w:top w:val="single" w:color="000000" w:sz="4" w:space="0"/>
            </w:tcBorders>
            <w:shd w:val="clear" w:color="auto" w:fill="FFFFFF"/>
            <w:tcMar>
              <w:top w:w="50" w:type="dxa"/>
              <w:left w:w="100" w:type="dxa"/>
              <w:bottom w:w="50" w:type="dxa"/>
              <w:right w:w="100" w:type="dxa"/>
            </w:tcMar>
            <w:vAlign w:val="center"/>
          </w:tcPr>
          <w:p w14:paraId="691A7FB4">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cs="宋体"/>
                <w:b w:val="0"/>
                <w:i w:val="0"/>
                <w:iCs w:val="0"/>
                <w:caps w:val="0"/>
                <w:color w:val="000000"/>
                <w:spacing w:val="0"/>
                <w:kern w:val="0"/>
                <w:sz w:val="21"/>
                <w:szCs w:val="21"/>
                <w:lang w:val="en-US" w:eastAsia="zh-CN" w:bidi="ar"/>
              </w:rPr>
              <w:t>97.20%</w:t>
            </w:r>
          </w:p>
        </w:tc>
        <w:tc>
          <w:tcPr>
            <w:tcW w:w="1389" w:type="dxa"/>
            <w:tcBorders>
              <w:top w:val="single" w:color="000000" w:sz="4" w:space="0"/>
            </w:tcBorders>
            <w:shd w:val="clear" w:color="auto" w:fill="FFFFFF"/>
            <w:tcMar>
              <w:top w:w="50" w:type="dxa"/>
              <w:left w:w="100" w:type="dxa"/>
              <w:bottom w:w="50" w:type="dxa"/>
              <w:right w:w="100" w:type="dxa"/>
            </w:tcMar>
            <w:vAlign w:val="center"/>
          </w:tcPr>
          <w:p w14:paraId="283890A5">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+7.32pp</w:t>
            </w:r>
          </w:p>
        </w:tc>
        <w:tc>
          <w:tcPr>
            <w:tcW w:w="2047" w:type="dxa"/>
            <w:tcBorders>
              <w:top w:val="single" w:color="000000" w:sz="4" w:space="0"/>
            </w:tcBorders>
            <w:shd w:val="clear" w:color="auto" w:fill="FFFFFF"/>
            <w:tcMar>
              <w:top w:w="50" w:type="dxa"/>
              <w:left w:w="100" w:type="dxa"/>
              <w:bottom w:w="50" w:type="dxa"/>
              <w:right w:w="100" w:type="dxa"/>
            </w:tcMar>
            <w:vAlign w:val="center"/>
          </w:tcPr>
          <w:p w14:paraId="0F2E9A45">
            <w:pPr>
              <w:keepNext w:val="0"/>
              <w:keepLines w:val="0"/>
              <w:widowControl/>
              <w:suppressLineNumbers w:val="0"/>
              <w:jc w:val="left"/>
              <w:rPr>
                <w:rFonts w:hint="eastAsia" w:ascii="宋体" w:hAnsi="宋体" w:cs="宋体"/>
                <w:b w:val="0"/>
                <w:i w:val="0"/>
                <w:iCs w:val="0"/>
                <w:caps w:val="0"/>
                <w:color w:val="000000"/>
                <w:spacing w:val="0"/>
                <w:kern w:val="0"/>
                <w:sz w:val="21"/>
                <w:szCs w:val="21"/>
                <w:lang w:val="en-US" w:eastAsia="zh-CN" w:bidi="ar"/>
              </w:rPr>
            </w:pPr>
            <w:r>
              <w:rPr>
                <w:rFonts w:hint="eastAsia" w:ascii="宋体" w:hAnsi="宋体" w:cs="宋体"/>
                <w:b w:val="0"/>
                <w:i w:val="0"/>
                <w:iCs w:val="0"/>
                <w:caps w:val="0"/>
                <w:color w:val="000000"/>
                <w:spacing w:val="0"/>
                <w:kern w:val="0"/>
                <w:sz w:val="21"/>
                <w:szCs w:val="21"/>
                <w:lang w:val="en-US" w:eastAsia="zh-CN" w:bidi="ar"/>
              </w:rPr>
              <w:t>+4.46pp</w:t>
            </w:r>
          </w:p>
        </w:tc>
      </w:tr>
      <w:tr w14:paraId="16E3C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jc w:val="center"/>
        </w:trPr>
        <w:tc>
          <w:tcPr>
            <w:tcW w:w="1449" w:type="dxa"/>
            <w:shd w:val="clear" w:color="auto" w:fill="FFFFFF"/>
            <w:tcMar>
              <w:top w:w="50" w:type="dxa"/>
              <w:left w:w="100" w:type="dxa"/>
              <w:bottom w:w="50" w:type="dxa"/>
              <w:right w:w="100" w:type="dxa"/>
            </w:tcMar>
            <w:vAlign w:val="center"/>
          </w:tcPr>
          <w:p w14:paraId="6A2F4816">
            <w:pPr>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sz w:val="21"/>
                <w:szCs w:val="21"/>
              </w:rPr>
              <w:t>任务失败率</w:t>
            </w:r>
          </w:p>
        </w:tc>
        <w:tc>
          <w:tcPr>
            <w:tcW w:w="1479" w:type="dxa"/>
            <w:shd w:val="clear" w:color="auto" w:fill="FFFFFF"/>
            <w:tcMar>
              <w:top w:w="50" w:type="dxa"/>
              <w:left w:w="100" w:type="dxa"/>
              <w:bottom w:w="50" w:type="dxa"/>
              <w:right w:w="100" w:type="dxa"/>
            </w:tcMar>
            <w:vAlign w:val="center"/>
          </w:tcPr>
          <w:p w14:paraId="01406F18">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sz w:val="21"/>
                <w:szCs w:val="21"/>
              </w:rPr>
              <w:t>9.77%</w:t>
            </w:r>
          </w:p>
        </w:tc>
        <w:tc>
          <w:tcPr>
            <w:tcW w:w="1507" w:type="dxa"/>
            <w:shd w:val="clear" w:color="auto" w:fill="FFFFFF"/>
            <w:tcMar>
              <w:top w:w="50" w:type="dxa"/>
              <w:left w:w="100" w:type="dxa"/>
              <w:bottom w:w="50" w:type="dxa"/>
              <w:right w:w="100" w:type="dxa"/>
            </w:tcMar>
            <w:vAlign w:val="center"/>
          </w:tcPr>
          <w:p w14:paraId="0710071E">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6.90%</w:t>
            </w:r>
          </w:p>
        </w:tc>
        <w:tc>
          <w:tcPr>
            <w:tcW w:w="1541" w:type="dxa"/>
            <w:shd w:val="clear" w:color="auto" w:fill="FFFFFF"/>
            <w:tcMar>
              <w:top w:w="50" w:type="dxa"/>
              <w:left w:w="100" w:type="dxa"/>
              <w:bottom w:w="50" w:type="dxa"/>
              <w:right w:w="100" w:type="dxa"/>
            </w:tcMar>
            <w:vAlign w:val="center"/>
          </w:tcPr>
          <w:p w14:paraId="5E04D3EE">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cs="宋体"/>
                <w:b w:val="0"/>
                <w:i w:val="0"/>
                <w:iCs w:val="0"/>
                <w:caps w:val="0"/>
                <w:color w:val="000000"/>
                <w:spacing w:val="0"/>
                <w:kern w:val="0"/>
                <w:sz w:val="21"/>
                <w:szCs w:val="21"/>
                <w:lang w:val="en-US" w:eastAsia="zh-CN" w:bidi="ar"/>
              </w:rPr>
              <w:t>2.44%</w:t>
            </w:r>
          </w:p>
        </w:tc>
        <w:tc>
          <w:tcPr>
            <w:tcW w:w="1389" w:type="dxa"/>
            <w:shd w:val="clear" w:color="auto" w:fill="FFFFFF"/>
            <w:tcMar>
              <w:top w:w="50" w:type="dxa"/>
              <w:left w:w="100" w:type="dxa"/>
              <w:bottom w:w="50" w:type="dxa"/>
              <w:right w:w="100" w:type="dxa"/>
            </w:tcMar>
            <w:vAlign w:val="center"/>
          </w:tcPr>
          <w:p w14:paraId="49C0D8B6">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-75.0%</w:t>
            </w:r>
          </w:p>
        </w:tc>
        <w:tc>
          <w:tcPr>
            <w:tcW w:w="2047" w:type="dxa"/>
            <w:shd w:val="clear" w:color="auto" w:fill="FFFFFF"/>
            <w:tcMar>
              <w:top w:w="50" w:type="dxa"/>
              <w:left w:w="100" w:type="dxa"/>
              <w:bottom w:w="50" w:type="dxa"/>
              <w:right w:w="100" w:type="dxa"/>
            </w:tcMar>
            <w:vAlign w:val="center"/>
          </w:tcPr>
          <w:p w14:paraId="69D72928">
            <w:pPr>
              <w:keepNext w:val="0"/>
              <w:keepLines w:val="0"/>
              <w:widowControl/>
              <w:suppressLineNumbers w:val="0"/>
              <w:jc w:val="left"/>
              <w:rPr>
                <w:rFonts w:hint="eastAsia" w:ascii="宋体" w:hAnsi="宋体" w:cs="宋体"/>
                <w:b w:val="0"/>
                <w:i w:val="0"/>
                <w:iCs w:val="0"/>
                <w:caps w:val="0"/>
                <w:color w:val="000000"/>
                <w:spacing w:val="0"/>
                <w:kern w:val="0"/>
                <w:sz w:val="21"/>
                <w:szCs w:val="21"/>
                <w:lang w:val="en-US" w:eastAsia="zh-CN" w:bidi="ar"/>
              </w:rPr>
            </w:pPr>
            <w:r>
              <w:rPr>
                <w:rFonts w:hint="eastAsia" w:ascii="宋体" w:hAnsi="宋体" w:cs="宋体"/>
                <w:b w:val="0"/>
                <w:i w:val="0"/>
                <w:iCs w:val="0"/>
                <w:caps w:val="0"/>
                <w:color w:val="000000"/>
                <w:spacing w:val="0"/>
                <w:kern w:val="0"/>
                <w:sz w:val="21"/>
                <w:szCs w:val="21"/>
                <w:lang w:val="en-US" w:eastAsia="zh-CN" w:bidi="ar"/>
              </w:rPr>
              <w:t>-64.6%</w:t>
            </w:r>
          </w:p>
        </w:tc>
      </w:tr>
      <w:tr w14:paraId="04B46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3" w:hRule="atLeast"/>
          <w:jc w:val="center"/>
        </w:trPr>
        <w:tc>
          <w:tcPr>
            <w:tcW w:w="1449" w:type="dxa"/>
            <w:shd w:val="clear" w:color="auto" w:fill="FFFFFF"/>
            <w:tcMar>
              <w:top w:w="50" w:type="dxa"/>
              <w:left w:w="100" w:type="dxa"/>
              <w:bottom w:w="50" w:type="dxa"/>
              <w:right w:w="100" w:type="dxa"/>
            </w:tcMar>
            <w:vAlign w:val="center"/>
          </w:tcPr>
          <w:p w14:paraId="411D7E8C">
            <w:pPr>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sz w:val="21"/>
                <w:szCs w:val="21"/>
              </w:rPr>
              <w:t>总计算成本 (SU)</w:t>
            </w:r>
          </w:p>
        </w:tc>
        <w:tc>
          <w:tcPr>
            <w:tcW w:w="1479" w:type="dxa"/>
            <w:shd w:val="clear" w:color="auto" w:fill="FFFFFF"/>
            <w:tcMar>
              <w:top w:w="50" w:type="dxa"/>
              <w:left w:w="100" w:type="dxa"/>
              <w:bottom w:w="50" w:type="dxa"/>
              <w:right w:w="100" w:type="dxa"/>
            </w:tcMar>
            <w:vAlign w:val="center"/>
          </w:tcPr>
          <w:p w14:paraId="57AC1A56">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sz w:val="21"/>
                <w:szCs w:val="21"/>
              </w:rPr>
              <w:t>21,582</w:t>
            </w:r>
          </w:p>
        </w:tc>
        <w:tc>
          <w:tcPr>
            <w:tcW w:w="1507" w:type="dxa"/>
            <w:shd w:val="clear" w:color="auto" w:fill="FFFFFF"/>
            <w:tcMar>
              <w:top w:w="50" w:type="dxa"/>
              <w:left w:w="100" w:type="dxa"/>
              <w:bottom w:w="50" w:type="dxa"/>
              <w:right w:w="100" w:type="dxa"/>
            </w:tcMar>
            <w:vAlign w:val="center"/>
          </w:tcPr>
          <w:p w14:paraId="2F39538C">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28,996</w:t>
            </w:r>
          </w:p>
        </w:tc>
        <w:tc>
          <w:tcPr>
            <w:tcW w:w="1541" w:type="dxa"/>
            <w:shd w:val="clear" w:color="auto" w:fill="FFFFFF"/>
            <w:tcMar>
              <w:top w:w="50" w:type="dxa"/>
              <w:left w:w="100" w:type="dxa"/>
              <w:bottom w:w="50" w:type="dxa"/>
              <w:right w:w="100" w:type="dxa"/>
            </w:tcMar>
            <w:vAlign w:val="center"/>
          </w:tcPr>
          <w:p w14:paraId="0FECF6A3">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cs="宋体"/>
                <w:b w:val="0"/>
                <w:i w:val="0"/>
                <w:iCs w:val="0"/>
                <w:caps w:val="0"/>
                <w:color w:val="000000"/>
                <w:spacing w:val="0"/>
                <w:kern w:val="0"/>
                <w:sz w:val="21"/>
                <w:szCs w:val="21"/>
                <w:lang w:val="en-US" w:eastAsia="zh-CN" w:bidi="ar"/>
              </w:rPr>
              <w:t>25,095</w:t>
            </w:r>
          </w:p>
        </w:tc>
        <w:tc>
          <w:tcPr>
            <w:tcW w:w="1389" w:type="dxa"/>
            <w:shd w:val="clear" w:color="auto" w:fill="FFFFFF"/>
            <w:tcMar>
              <w:top w:w="50" w:type="dxa"/>
              <w:left w:w="100" w:type="dxa"/>
              <w:bottom w:w="50" w:type="dxa"/>
              <w:right w:w="100" w:type="dxa"/>
            </w:tcMar>
            <w:vAlign w:val="center"/>
          </w:tcPr>
          <w:p w14:paraId="4590F700">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+16.3%</w:t>
            </w:r>
          </w:p>
        </w:tc>
        <w:tc>
          <w:tcPr>
            <w:tcW w:w="2047" w:type="dxa"/>
            <w:shd w:val="clear" w:color="auto" w:fill="FFFFFF"/>
            <w:tcMar>
              <w:top w:w="50" w:type="dxa"/>
              <w:left w:w="100" w:type="dxa"/>
              <w:bottom w:w="50" w:type="dxa"/>
              <w:right w:w="100" w:type="dxa"/>
            </w:tcMar>
            <w:vAlign w:val="center"/>
          </w:tcPr>
          <w:p w14:paraId="7F20A133">
            <w:pPr>
              <w:keepNext w:val="0"/>
              <w:keepLines w:val="0"/>
              <w:widowControl/>
              <w:suppressLineNumbers w:val="0"/>
              <w:jc w:val="left"/>
              <w:rPr>
                <w:rFonts w:hint="eastAsia" w:ascii="宋体" w:hAnsi="宋体" w:cs="宋体"/>
                <w:b w:val="0"/>
                <w:i w:val="0"/>
                <w:iCs w:val="0"/>
                <w:caps w:val="0"/>
                <w:color w:val="000000"/>
                <w:spacing w:val="0"/>
                <w:kern w:val="0"/>
                <w:sz w:val="21"/>
                <w:szCs w:val="21"/>
                <w:lang w:val="en-US" w:eastAsia="zh-CN" w:bidi="ar"/>
              </w:rPr>
            </w:pPr>
            <w:r>
              <w:rPr>
                <w:rFonts w:hint="eastAsia" w:ascii="宋体" w:hAnsi="宋体" w:cs="宋体"/>
                <w:b w:val="0"/>
                <w:i w:val="0"/>
                <w:iCs w:val="0"/>
                <w:caps w:val="0"/>
                <w:color w:val="000000"/>
                <w:spacing w:val="0"/>
                <w:kern w:val="0"/>
                <w:sz w:val="21"/>
                <w:szCs w:val="21"/>
                <w:lang w:val="en-US" w:eastAsia="zh-CN" w:bidi="ar"/>
              </w:rPr>
              <w:t>-13.5%</w:t>
            </w:r>
          </w:p>
        </w:tc>
      </w:tr>
      <w:tr w14:paraId="23FAD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3" w:hRule="atLeast"/>
          <w:jc w:val="center"/>
        </w:trPr>
        <w:tc>
          <w:tcPr>
            <w:tcW w:w="1449" w:type="dxa"/>
            <w:shd w:val="clear" w:color="auto" w:fill="FFFFFF"/>
            <w:tcMar>
              <w:top w:w="50" w:type="dxa"/>
              <w:left w:w="100" w:type="dxa"/>
              <w:bottom w:w="50" w:type="dxa"/>
              <w:right w:w="100" w:type="dxa"/>
            </w:tcMar>
            <w:vAlign w:val="center"/>
          </w:tcPr>
          <w:p w14:paraId="2A1085A5">
            <w:pPr>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sz w:val="21"/>
                <w:szCs w:val="21"/>
              </w:rPr>
              <w:t>平均响应时间 (秒)</w:t>
            </w:r>
          </w:p>
        </w:tc>
        <w:tc>
          <w:tcPr>
            <w:tcW w:w="1479" w:type="dxa"/>
            <w:shd w:val="clear" w:color="auto" w:fill="FFFFFF"/>
            <w:tcMar>
              <w:top w:w="50" w:type="dxa"/>
              <w:left w:w="100" w:type="dxa"/>
              <w:bottom w:w="50" w:type="dxa"/>
              <w:right w:w="100" w:type="dxa"/>
            </w:tcMar>
            <w:vAlign w:val="center"/>
          </w:tcPr>
          <w:p w14:paraId="187BCC82">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sz w:val="21"/>
                <w:szCs w:val="21"/>
              </w:rPr>
              <w:t>43.41</w:t>
            </w:r>
          </w:p>
        </w:tc>
        <w:tc>
          <w:tcPr>
            <w:tcW w:w="1507" w:type="dxa"/>
            <w:shd w:val="clear" w:color="auto" w:fill="FFFFFF"/>
            <w:tcMar>
              <w:top w:w="50" w:type="dxa"/>
              <w:left w:w="100" w:type="dxa"/>
              <w:bottom w:w="50" w:type="dxa"/>
              <w:right w:w="100" w:type="dxa"/>
            </w:tcMar>
            <w:vAlign w:val="center"/>
          </w:tcPr>
          <w:p w14:paraId="5AB78610">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46.20</w:t>
            </w:r>
          </w:p>
        </w:tc>
        <w:tc>
          <w:tcPr>
            <w:tcW w:w="1541" w:type="dxa"/>
            <w:shd w:val="clear" w:color="auto" w:fill="FFFFFF"/>
            <w:tcMar>
              <w:top w:w="50" w:type="dxa"/>
              <w:left w:w="100" w:type="dxa"/>
              <w:bottom w:w="50" w:type="dxa"/>
              <w:right w:w="100" w:type="dxa"/>
            </w:tcMar>
            <w:vAlign w:val="center"/>
          </w:tcPr>
          <w:p w14:paraId="1E63064C">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cs="宋体"/>
                <w:b w:val="0"/>
                <w:i w:val="0"/>
                <w:iCs w:val="0"/>
                <w:caps w:val="0"/>
                <w:color w:val="000000"/>
                <w:spacing w:val="0"/>
                <w:kern w:val="0"/>
                <w:sz w:val="21"/>
                <w:szCs w:val="21"/>
                <w:lang w:val="en-US" w:eastAsia="zh-CN" w:bidi="ar"/>
              </w:rPr>
              <w:t>59.78</w:t>
            </w:r>
          </w:p>
        </w:tc>
        <w:tc>
          <w:tcPr>
            <w:tcW w:w="1389" w:type="dxa"/>
            <w:shd w:val="clear" w:color="auto" w:fill="FFFFFF"/>
            <w:tcMar>
              <w:top w:w="50" w:type="dxa"/>
              <w:left w:w="100" w:type="dxa"/>
              <w:bottom w:w="50" w:type="dxa"/>
              <w:right w:w="100" w:type="dxa"/>
            </w:tcMar>
            <w:vAlign w:val="center"/>
          </w:tcPr>
          <w:p w14:paraId="7420C25A">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+37.7%</w:t>
            </w:r>
          </w:p>
        </w:tc>
        <w:tc>
          <w:tcPr>
            <w:tcW w:w="2047" w:type="dxa"/>
            <w:shd w:val="clear" w:color="auto" w:fill="FFFFFF"/>
            <w:tcMar>
              <w:top w:w="50" w:type="dxa"/>
              <w:left w:w="100" w:type="dxa"/>
              <w:bottom w:w="50" w:type="dxa"/>
              <w:right w:w="100" w:type="dxa"/>
            </w:tcMar>
            <w:vAlign w:val="center"/>
          </w:tcPr>
          <w:p w14:paraId="1A926489">
            <w:pPr>
              <w:keepNext w:val="0"/>
              <w:keepLines w:val="0"/>
              <w:widowControl/>
              <w:suppressLineNumbers w:val="0"/>
              <w:jc w:val="left"/>
              <w:rPr>
                <w:rFonts w:hint="eastAsia" w:ascii="宋体" w:hAnsi="宋体" w:cs="宋体"/>
                <w:b w:val="0"/>
                <w:i w:val="0"/>
                <w:iCs w:val="0"/>
                <w:caps w:val="0"/>
                <w:color w:val="000000"/>
                <w:spacing w:val="0"/>
                <w:kern w:val="0"/>
                <w:sz w:val="21"/>
                <w:szCs w:val="21"/>
                <w:lang w:val="en-US" w:eastAsia="zh-CN" w:bidi="ar"/>
              </w:rPr>
            </w:pPr>
            <w:r>
              <w:rPr>
                <w:rFonts w:hint="eastAsia" w:ascii="宋体" w:hAnsi="宋体" w:cs="宋体"/>
                <w:b w:val="0"/>
                <w:i w:val="0"/>
                <w:iCs w:val="0"/>
                <w:caps w:val="0"/>
                <w:color w:val="000000"/>
                <w:spacing w:val="0"/>
                <w:kern w:val="0"/>
                <w:sz w:val="21"/>
                <w:szCs w:val="21"/>
                <w:lang w:val="en-US" w:eastAsia="zh-CN" w:bidi="ar"/>
              </w:rPr>
              <w:t>+29.4%</w:t>
            </w:r>
          </w:p>
        </w:tc>
      </w:tr>
      <w:tr w14:paraId="307AC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7" w:hRule="atLeast"/>
          <w:jc w:val="center"/>
        </w:trPr>
        <w:tc>
          <w:tcPr>
            <w:tcW w:w="1449" w:type="dxa"/>
            <w:shd w:val="clear" w:color="auto" w:fill="FFFFFF"/>
            <w:tcMar>
              <w:top w:w="50" w:type="dxa"/>
              <w:left w:w="100" w:type="dxa"/>
              <w:bottom w:w="50" w:type="dxa"/>
              <w:right w:w="100" w:type="dxa"/>
            </w:tcMar>
            <w:vAlign w:val="center"/>
          </w:tcPr>
          <w:p w14:paraId="6725269C">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sz w:val="21"/>
                <w:szCs w:val="21"/>
              </w:rPr>
              <w:t>SLA合规率</w:t>
            </w:r>
          </w:p>
        </w:tc>
        <w:tc>
          <w:tcPr>
            <w:tcW w:w="1479" w:type="dxa"/>
            <w:shd w:val="clear" w:color="auto" w:fill="FFFFFF"/>
            <w:tcMar>
              <w:top w:w="50" w:type="dxa"/>
              <w:left w:w="100" w:type="dxa"/>
              <w:bottom w:w="50" w:type="dxa"/>
              <w:right w:w="100" w:type="dxa"/>
            </w:tcMar>
            <w:vAlign w:val="center"/>
          </w:tcPr>
          <w:p w14:paraId="1D9B3C6C">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sz w:val="21"/>
                <w:szCs w:val="21"/>
              </w:rPr>
              <w:t>86.05%</w:t>
            </w:r>
          </w:p>
        </w:tc>
        <w:tc>
          <w:tcPr>
            <w:tcW w:w="1507" w:type="dxa"/>
            <w:shd w:val="clear" w:color="auto" w:fill="FFFFFF"/>
            <w:tcMar>
              <w:top w:w="50" w:type="dxa"/>
              <w:left w:w="100" w:type="dxa"/>
              <w:bottom w:w="50" w:type="dxa"/>
              <w:right w:w="100" w:type="dxa"/>
            </w:tcMar>
            <w:vAlign w:val="center"/>
          </w:tcPr>
          <w:p w14:paraId="7C2A9E3E">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cs="宋体"/>
                <w:b w:val="0"/>
                <w:i w:val="0"/>
                <w:iCs w:val="0"/>
                <w:caps w:val="0"/>
                <w:color w:val="000000"/>
                <w:spacing w:val="0"/>
                <w:kern w:val="0"/>
                <w:sz w:val="21"/>
                <w:szCs w:val="21"/>
                <w:lang w:val="en-US" w:eastAsia="zh-CN" w:bidi="ar"/>
              </w:rPr>
              <w:t>83.94%</w:t>
            </w:r>
          </w:p>
        </w:tc>
        <w:tc>
          <w:tcPr>
            <w:tcW w:w="1541" w:type="dxa"/>
            <w:shd w:val="clear" w:color="auto" w:fill="FFFFFF"/>
            <w:tcMar>
              <w:top w:w="50" w:type="dxa"/>
              <w:left w:w="100" w:type="dxa"/>
              <w:bottom w:w="50" w:type="dxa"/>
              <w:right w:w="100" w:type="dxa"/>
            </w:tcMar>
            <w:vAlign w:val="center"/>
          </w:tcPr>
          <w:p w14:paraId="01745770">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cs="宋体"/>
                <w:b w:val="0"/>
                <w:i w:val="0"/>
                <w:iCs w:val="0"/>
                <w:caps w:val="0"/>
                <w:color w:val="000000"/>
                <w:spacing w:val="0"/>
                <w:kern w:val="0"/>
                <w:sz w:val="21"/>
                <w:szCs w:val="21"/>
                <w:lang w:val="en-US" w:eastAsia="zh-CN" w:bidi="ar"/>
              </w:rPr>
              <w:t>71.46%</w:t>
            </w:r>
          </w:p>
        </w:tc>
        <w:tc>
          <w:tcPr>
            <w:tcW w:w="1389" w:type="dxa"/>
            <w:shd w:val="clear" w:color="auto" w:fill="FFFFFF"/>
            <w:tcMar>
              <w:top w:w="50" w:type="dxa"/>
              <w:left w:w="100" w:type="dxa"/>
              <w:bottom w:w="50" w:type="dxa"/>
              <w:right w:w="100" w:type="dxa"/>
            </w:tcMar>
            <w:vAlign w:val="center"/>
          </w:tcPr>
          <w:p w14:paraId="117DA787">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-14.59pp</w:t>
            </w:r>
          </w:p>
        </w:tc>
        <w:tc>
          <w:tcPr>
            <w:tcW w:w="2047" w:type="dxa"/>
            <w:shd w:val="clear" w:color="auto" w:fill="FFFFFF"/>
            <w:tcMar>
              <w:top w:w="50" w:type="dxa"/>
              <w:left w:w="100" w:type="dxa"/>
              <w:bottom w:w="50" w:type="dxa"/>
              <w:right w:w="100" w:type="dxa"/>
            </w:tcMar>
            <w:vAlign w:val="center"/>
          </w:tcPr>
          <w:p w14:paraId="41466AB5">
            <w:pPr>
              <w:keepNext w:val="0"/>
              <w:keepLines w:val="0"/>
              <w:widowControl/>
              <w:suppressLineNumbers w:val="0"/>
              <w:jc w:val="left"/>
              <w:rPr>
                <w:rFonts w:hint="eastAsia" w:ascii="宋体" w:hAnsi="宋体" w:cs="宋体"/>
                <w:b w:val="0"/>
                <w:i w:val="0"/>
                <w:iCs w:val="0"/>
                <w:caps w:val="0"/>
                <w:color w:val="000000"/>
                <w:spacing w:val="0"/>
                <w:kern w:val="0"/>
                <w:sz w:val="21"/>
                <w:szCs w:val="21"/>
                <w:lang w:val="en-US" w:eastAsia="zh-CN" w:bidi="ar"/>
              </w:rPr>
            </w:pPr>
            <w:r>
              <w:rPr>
                <w:rFonts w:hint="eastAsia" w:ascii="宋体" w:hAnsi="宋体" w:cs="宋体"/>
                <w:b w:val="0"/>
                <w:i w:val="0"/>
                <w:iCs w:val="0"/>
                <w:caps w:val="0"/>
                <w:color w:val="000000"/>
                <w:spacing w:val="0"/>
                <w:kern w:val="0"/>
                <w:sz w:val="21"/>
                <w:szCs w:val="21"/>
                <w:lang w:val="en-US" w:eastAsia="zh-CN" w:bidi="ar"/>
              </w:rPr>
              <w:t>-12.48pp</w:t>
            </w:r>
          </w:p>
        </w:tc>
      </w:tr>
      <w:tr w14:paraId="7B3C3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jc w:val="center"/>
        </w:trPr>
        <w:tc>
          <w:tcPr>
            <w:tcW w:w="1449" w:type="dxa"/>
            <w:shd w:val="clear" w:color="auto" w:fill="FFFFFF"/>
            <w:tcMar>
              <w:top w:w="50" w:type="dxa"/>
              <w:left w:w="100" w:type="dxa"/>
              <w:bottom w:w="50" w:type="dxa"/>
              <w:right w:w="100" w:type="dxa"/>
            </w:tcMar>
            <w:vAlign w:val="center"/>
          </w:tcPr>
          <w:p w14:paraId="1F96F3D9">
            <w:pPr>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sz w:val="21"/>
                <w:szCs w:val="21"/>
              </w:rPr>
              <w:t>任务迁移次数</w:t>
            </w:r>
          </w:p>
        </w:tc>
        <w:tc>
          <w:tcPr>
            <w:tcW w:w="1479" w:type="dxa"/>
            <w:shd w:val="clear" w:color="auto" w:fill="FFFFFF"/>
            <w:tcMar>
              <w:top w:w="50" w:type="dxa"/>
              <w:left w:w="100" w:type="dxa"/>
              <w:bottom w:w="50" w:type="dxa"/>
              <w:right w:w="100" w:type="dxa"/>
            </w:tcMar>
            <w:vAlign w:val="center"/>
          </w:tcPr>
          <w:p w14:paraId="79355809">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sz w:val="21"/>
                <w:szCs w:val="21"/>
              </w:rPr>
              <w:t>0</w:t>
            </w:r>
          </w:p>
        </w:tc>
        <w:tc>
          <w:tcPr>
            <w:tcW w:w="1507" w:type="dxa"/>
            <w:shd w:val="clear" w:color="auto" w:fill="FFFFFF"/>
            <w:tcMar>
              <w:top w:w="50" w:type="dxa"/>
              <w:left w:w="100" w:type="dxa"/>
              <w:bottom w:w="50" w:type="dxa"/>
              <w:right w:w="100" w:type="dxa"/>
            </w:tcMar>
            <w:vAlign w:val="center"/>
          </w:tcPr>
          <w:p w14:paraId="0608C990">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cs="宋体"/>
                <w:b w:val="0"/>
                <w:i w:val="0"/>
                <w:iCs w:val="0"/>
                <w:caps w:val="0"/>
                <w:color w:val="000000"/>
                <w:spacing w:val="0"/>
                <w:kern w:val="0"/>
                <w:sz w:val="21"/>
                <w:szCs w:val="21"/>
                <w:lang w:val="en-US" w:eastAsia="zh-CN" w:bidi="ar"/>
              </w:rPr>
              <w:t>0</w:t>
            </w:r>
          </w:p>
        </w:tc>
        <w:tc>
          <w:tcPr>
            <w:tcW w:w="1541" w:type="dxa"/>
            <w:shd w:val="clear" w:color="auto" w:fill="FFFFFF"/>
            <w:tcMar>
              <w:top w:w="50" w:type="dxa"/>
              <w:left w:w="100" w:type="dxa"/>
              <w:bottom w:w="50" w:type="dxa"/>
              <w:right w:w="100" w:type="dxa"/>
            </w:tcMar>
            <w:vAlign w:val="center"/>
          </w:tcPr>
          <w:p w14:paraId="0609F954">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cs="宋体"/>
                <w:b w:val="0"/>
                <w:i w:val="0"/>
                <w:iCs w:val="0"/>
                <w:caps w:val="0"/>
                <w:color w:val="000000"/>
                <w:spacing w:val="0"/>
                <w:kern w:val="0"/>
                <w:sz w:val="21"/>
                <w:szCs w:val="21"/>
                <w:lang w:val="en-US" w:eastAsia="zh-CN" w:bidi="ar"/>
              </w:rPr>
              <w:t>220</w:t>
            </w:r>
          </w:p>
        </w:tc>
        <w:tc>
          <w:tcPr>
            <w:tcW w:w="1389" w:type="dxa"/>
            <w:shd w:val="clear" w:color="auto" w:fill="FFFFFF"/>
            <w:tcMar>
              <w:top w:w="50" w:type="dxa"/>
              <w:left w:w="100" w:type="dxa"/>
              <w:bottom w:w="50" w:type="dxa"/>
              <w:right w:w="100" w:type="dxa"/>
            </w:tcMar>
            <w:vAlign w:val="center"/>
          </w:tcPr>
          <w:p w14:paraId="644854E6">
            <w:pPr>
              <w:keepNext w:val="0"/>
              <w:keepLines w:val="0"/>
              <w:widowControl/>
              <w:suppressLineNumbers w:val="0"/>
              <w:jc w:val="center"/>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w:t>
            </w:r>
          </w:p>
        </w:tc>
        <w:tc>
          <w:tcPr>
            <w:tcW w:w="2047" w:type="dxa"/>
            <w:shd w:val="clear" w:color="auto" w:fill="FFFFFF"/>
            <w:tcMar>
              <w:top w:w="50" w:type="dxa"/>
              <w:left w:w="100" w:type="dxa"/>
              <w:bottom w:w="50" w:type="dxa"/>
              <w:right w:w="100" w:type="dxa"/>
            </w:tcMar>
            <w:vAlign w:val="center"/>
          </w:tcPr>
          <w:p w14:paraId="6E643843">
            <w:pPr>
              <w:keepNext w:val="0"/>
              <w:keepLines w:val="0"/>
              <w:widowControl/>
              <w:suppressLineNumbers w:val="0"/>
              <w:jc w:val="center"/>
              <w:rPr>
                <w:rFonts w:hint="eastAsia" w:ascii="宋体" w:hAnsi="宋体" w:cs="宋体"/>
                <w:b w:val="0"/>
                <w:i w:val="0"/>
                <w:iCs w:val="0"/>
                <w:caps w:val="0"/>
                <w:color w:val="000000"/>
                <w:spacing w:val="0"/>
                <w:kern w:val="0"/>
                <w:sz w:val="21"/>
                <w:szCs w:val="21"/>
                <w:lang w:val="en-US" w:eastAsia="zh-CN" w:bidi="ar"/>
              </w:rPr>
            </w:pPr>
            <w:r>
              <w:rPr>
                <w:rFonts w:hint="eastAsia" w:ascii="宋体" w:hAnsi="宋体" w:cs="宋体"/>
                <w:b w:val="0"/>
                <w:i w:val="0"/>
                <w:iCs w:val="0"/>
                <w:caps w:val="0"/>
                <w:color w:val="000000"/>
                <w:spacing w:val="0"/>
                <w:kern w:val="0"/>
                <w:sz w:val="21"/>
                <w:szCs w:val="21"/>
                <w:lang w:val="en-US" w:eastAsia="zh-CN" w:bidi="ar"/>
              </w:rPr>
              <w:t>—</w:t>
            </w:r>
          </w:p>
        </w:tc>
      </w:tr>
    </w:tbl>
    <w:p w14:paraId="5802212A">
      <w:pPr>
        <w:spacing w:line="360" w:lineRule="auto"/>
        <w:ind w:firstLine="420" w:firstLineChars="200"/>
        <w:rPr>
          <w:rFonts w:ascii="宋体" w:hAnsi="宋体" w:eastAsia="宋体" w:cs="宋体"/>
          <w:sz w:val="24"/>
          <w:szCs w:val="24"/>
        </w:rPr>
      </w:pPr>
      <w:r>
        <w:rPr>
          <w:rFonts w:hint="eastAsia" w:cs="宋体"/>
          <w:kern w:val="0"/>
          <w:szCs w:val="21"/>
        </w:rPr>
        <w:t>在经济性方面</w:t>
      </w:r>
      <w:r>
        <w:rPr>
          <w:rFonts w:hint="eastAsia" w:cs="宋体"/>
          <w:kern w:val="0"/>
          <w:szCs w:val="21"/>
          <w:lang w:eastAsia="zh-CN"/>
        </w:rPr>
        <w:t>（</w:t>
      </w:r>
      <w:r>
        <w:rPr>
          <w:rFonts w:hint="eastAsia" w:cs="宋体"/>
          <w:kern w:val="0"/>
          <w:szCs w:val="21"/>
          <w:lang w:val="en-US" w:eastAsia="zh-CN"/>
        </w:rPr>
        <w:t>如图3c所示</w:t>
      </w:r>
      <w:r>
        <w:rPr>
          <w:rFonts w:hint="eastAsia" w:cs="宋体"/>
          <w:kern w:val="0"/>
          <w:szCs w:val="21"/>
          <w:lang w:eastAsia="zh-CN"/>
        </w:rPr>
        <w:t>）</w:t>
      </w:r>
      <w:r>
        <w:rPr>
          <w:rFonts w:hint="eastAsia" w:cs="宋体"/>
          <w:kern w:val="0"/>
          <w:szCs w:val="21"/>
        </w:rPr>
        <w:t>，QASS同样表现优异。尽管为保障QoS而触发了220次任务迁移（引入一定通信开销），其总计算成本（25,095 SU）仍显著低于DP策略（28,996 SU），成本节约达13.5%。这表明，QASS的QoS感知定价机制比单纯基于负载的定价更能发现全局成本洼地，避免了局部节点因资源争用而支付过高代价。虽然其成本高于最廉价的FP策略（21,582 SU），但考虑到可靠性方面的巨大提升——每额外花费1 SU成本即可挽回约0.2个原本会失败的任务——这种适度的成本增加完全在可接受范围内，体现了成本与服务质量之间的明智权衡。</w:t>
      </w:r>
    </w:p>
    <w:p w14:paraId="157444CD">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191000" cy="3554095"/>
            <wp:effectExtent l="0" t="0" r="0" b="1905"/>
            <wp:docPr id="2" name="图片 2" descr="7cba741c-706c-4c0c-8bee-b1cbbca7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cba741c-706c-4c0c-8bee-b1cbbca78048"/>
                    <pic:cNvPicPr>
                      <a:picLocks noChangeAspect="1"/>
                    </pic:cNvPicPr>
                  </pic:nvPicPr>
                  <pic:blipFill>
                    <a:blip r:embed="rId8"/>
                    <a:stretch>
                      <a:fillRect/>
                    </a:stretch>
                  </pic:blipFill>
                  <pic:spPr>
                    <a:xfrm>
                      <a:off x="0" y="0"/>
                      <a:ext cx="4191000" cy="3554095"/>
                    </a:xfrm>
                    <a:prstGeom prst="rect">
                      <a:avLst/>
                    </a:prstGeom>
                  </pic:spPr>
                </pic:pic>
              </a:graphicData>
            </a:graphic>
          </wp:inline>
        </w:drawing>
      </w:r>
    </w:p>
    <w:p w14:paraId="61BB64CF">
      <w:pPr>
        <w:spacing w:line="360" w:lineRule="auto"/>
        <w:ind w:firstLine="430" w:firstLineChars="205"/>
        <w:jc w:val="center"/>
        <w:rPr>
          <w:rFonts w:hint="eastAsia" w:cs="宋体"/>
          <w:kern w:val="0"/>
          <w:szCs w:val="21"/>
        </w:rPr>
      </w:pPr>
      <w:r>
        <w:rPr>
          <w:rFonts w:hint="eastAsia" w:cs="宋体"/>
          <w:kern w:val="0"/>
          <w:szCs w:val="21"/>
          <w:lang w:val="en-US" w:eastAsia="zh-CN"/>
        </w:rPr>
        <w:t>图3</w:t>
      </w:r>
      <w:r>
        <w:rPr>
          <w:rFonts w:hint="eastAsia" w:cs="宋体"/>
          <w:kern w:val="0"/>
          <w:szCs w:val="21"/>
        </w:rPr>
        <w:t>三种调度策略总体性能对比</w:t>
      </w:r>
    </w:p>
    <w:p w14:paraId="191CB35C">
      <w:pPr>
        <w:spacing w:line="360" w:lineRule="auto"/>
        <w:ind w:firstLine="430" w:firstLineChars="205"/>
        <w:rPr>
          <w:rFonts w:hint="eastAsia" w:cs="宋体"/>
          <w:kern w:val="0"/>
          <w:szCs w:val="21"/>
        </w:rPr>
      </w:pPr>
      <w:r>
        <w:rPr>
          <w:rFonts w:hint="eastAsia" w:cs="宋体"/>
          <w:kern w:val="0"/>
          <w:szCs w:val="21"/>
        </w:rPr>
        <w:t>为了深入探究QASS模型成功的内在原因，我们对不同优先级任务的性能表现进行了分析。分优先级任务的完成率（如图</w:t>
      </w:r>
      <w:r>
        <w:rPr>
          <w:rFonts w:hint="eastAsia" w:cs="宋体"/>
          <w:kern w:val="0"/>
          <w:szCs w:val="21"/>
          <w:lang w:val="en-US" w:eastAsia="zh-CN"/>
        </w:rPr>
        <w:t>4</w:t>
      </w:r>
      <w:r>
        <w:rPr>
          <w:rFonts w:hint="eastAsia" w:cs="宋体"/>
          <w:kern w:val="0"/>
          <w:szCs w:val="21"/>
        </w:rPr>
        <w:t>和表</w:t>
      </w:r>
      <w:r>
        <w:rPr>
          <w:rFonts w:hint="eastAsia" w:cs="宋体"/>
          <w:kern w:val="0"/>
          <w:szCs w:val="21"/>
          <w:lang w:val="en-US" w:eastAsia="zh-CN"/>
        </w:rPr>
        <w:t>3</w:t>
      </w:r>
      <w:r>
        <w:rPr>
          <w:rFonts w:hint="eastAsia" w:cs="宋体"/>
          <w:kern w:val="0"/>
          <w:szCs w:val="21"/>
        </w:rPr>
        <w:t>所示）进一步揭示了QASS的核心价值。对于实时控制任务（紧急），即对自动驾驶等应用安全至关重要的任务，QASS的完成率达到了96.46%，而FP和DP策略分别仅为72.27%和73.68%。这意味着，在基准策略下会因超时而失败的大量紧急任务，在QASS系统中得到了及时“拯救”，完成率提升超过24个百分点。同样，对于关键感知任务，QASS的完成率也达到96.65%，远高于FP的87.08%。这种对高优先级业务的强有力保障，是传统的“QoS中立”调度器无法提供的，也是QASS在实际应用中的关键差异化优势。</w:t>
      </w:r>
    </w:p>
    <w:p w14:paraId="443BF31E">
      <w:pPr>
        <w:spacing w:line="360" w:lineRule="auto"/>
        <w:jc w:val="center"/>
        <w:rPr>
          <w:rFonts w:hint="eastAsia" w:cs="宋体"/>
          <w:kern w:val="0"/>
          <w:szCs w:val="21"/>
        </w:rPr>
      </w:pPr>
      <w:r>
        <w:rPr>
          <w:rFonts w:hint="eastAsia" w:cs="宋体"/>
          <w:kern w:val="0"/>
          <w:szCs w:val="21"/>
          <w:lang w:val="en-US" w:eastAsia="zh-CN"/>
        </w:rPr>
        <w:t>表3</w:t>
      </w:r>
      <w:r>
        <w:rPr>
          <w:rFonts w:hint="eastAsia" w:cs="宋体"/>
          <w:kern w:val="0"/>
          <w:szCs w:val="21"/>
        </w:rPr>
        <w:t>：三种策略在不同优先级任务上的完成率对比</w:t>
      </w:r>
    </w:p>
    <w:tbl>
      <w:tblPr>
        <w:tblStyle w:val="11"/>
        <w:tblW w:w="736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49"/>
        <w:gridCol w:w="1479"/>
        <w:gridCol w:w="1507"/>
        <w:gridCol w:w="1541"/>
        <w:gridCol w:w="1389"/>
      </w:tblGrid>
      <w:tr w14:paraId="5EE49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09" w:hRule="atLeast"/>
          <w:jc w:val="center"/>
        </w:trPr>
        <w:tc>
          <w:tcPr>
            <w:tcW w:w="1449" w:type="dxa"/>
            <w:tcBorders>
              <w:top w:val="single" w:color="000000" w:sz="12" w:space="0"/>
              <w:bottom w:val="single" w:color="000000" w:sz="4" w:space="0"/>
              <w:tl2br w:val="nil"/>
            </w:tcBorders>
            <w:shd w:val="clear" w:color="auto" w:fill="FFFFFF"/>
            <w:tcMar>
              <w:top w:w="50" w:type="dxa"/>
              <w:left w:w="100" w:type="dxa"/>
              <w:bottom w:w="50" w:type="dxa"/>
              <w:right w:w="100" w:type="dxa"/>
            </w:tcMar>
            <w:vAlign w:val="center"/>
          </w:tcPr>
          <w:p w14:paraId="2BDB79AE">
            <w:pPr>
              <w:keepNext w:val="0"/>
              <w:keepLines w:val="0"/>
              <w:widowControl/>
              <w:suppressLineNumbers w:val="0"/>
              <w:jc w:val="left"/>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sz w:val="21"/>
                <w:szCs w:val="21"/>
              </w:rPr>
              <w:t>任务类型</w:t>
            </w:r>
          </w:p>
        </w:tc>
        <w:tc>
          <w:tcPr>
            <w:tcW w:w="1479" w:type="dxa"/>
            <w:tcBorders>
              <w:top w:val="single" w:color="000000" w:sz="12" w:space="0"/>
              <w:bottom w:val="single" w:color="000000" w:sz="4" w:space="0"/>
            </w:tcBorders>
            <w:shd w:val="clear" w:color="auto" w:fill="FFFFFF"/>
            <w:tcMar>
              <w:top w:w="50" w:type="dxa"/>
              <w:left w:w="100" w:type="dxa"/>
              <w:bottom w:w="50" w:type="dxa"/>
              <w:right w:w="100" w:type="dxa"/>
            </w:tcMar>
            <w:vAlign w:val="center"/>
          </w:tcPr>
          <w:p w14:paraId="4D283C89">
            <w:pPr>
              <w:keepNext w:val="0"/>
              <w:keepLines w:val="0"/>
              <w:widowControl/>
              <w:suppressLineNumbers w:val="0"/>
              <w:jc w:val="left"/>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kern w:val="0"/>
                <w:sz w:val="21"/>
                <w:szCs w:val="21"/>
                <w:lang w:val="en-US" w:eastAsia="zh-CN" w:bidi="ar"/>
              </w:rPr>
              <w:t>总数</w:t>
            </w:r>
          </w:p>
        </w:tc>
        <w:tc>
          <w:tcPr>
            <w:tcW w:w="1507" w:type="dxa"/>
            <w:tcBorders>
              <w:top w:val="single" w:color="000000" w:sz="12" w:space="0"/>
              <w:bottom w:val="single" w:color="000000" w:sz="4" w:space="0"/>
            </w:tcBorders>
            <w:shd w:val="clear" w:color="auto" w:fill="FFFFFF"/>
            <w:tcMar>
              <w:top w:w="50" w:type="dxa"/>
              <w:left w:w="100" w:type="dxa"/>
              <w:bottom w:w="50" w:type="dxa"/>
              <w:right w:w="100" w:type="dxa"/>
            </w:tcMar>
            <w:vAlign w:val="center"/>
          </w:tcPr>
          <w:p w14:paraId="2D6C8CC1">
            <w:pPr>
              <w:keepNext w:val="0"/>
              <w:keepLines w:val="0"/>
              <w:widowControl/>
              <w:suppressLineNumbers w:val="0"/>
              <w:jc w:val="left"/>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kern w:val="0"/>
                <w:sz w:val="21"/>
                <w:szCs w:val="21"/>
                <w:lang w:val="en-US" w:eastAsia="zh-CN" w:bidi="ar"/>
              </w:rPr>
              <w:t>FP完成率</w:t>
            </w:r>
          </w:p>
        </w:tc>
        <w:tc>
          <w:tcPr>
            <w:tcW w:w="1541" w:type="dxa"/>
            <w:tcBorders>
              <w:top w:val="single" w:color="000000" w:sz="12" w:space="0"/>
              <w:bottom w:val="single" w:color="000000" w:sz="4" w:space="0"/>
            </w:tcBorders>
            <w:shd w:val="clear" w:color="auto" w:fill="FFFFFF"/>
            <w:tcMar>
              <w:top w:w="50" w:type="dxa"/>
              <w:left w:w="100" w:type="dxa"/>
              <w:bottom w:w="50" w:type="dxa"/>
              <w:right w:w="100" w:type="dxa"/>
            </w:tcMar>
            <w:vAlign w:val="center"/>
          </w:tcPr>
          <w:p w14:paraId="76199087">
            <w:pPr>
              <w:keepNext w:val="0"/>
              <w:keepLines w:val="0"/>
              <w:widowControl/>
              <w:suppressLineNumbers w:val="0"/>
              <w:jc w:val="left"/>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kern w:val="0"/>
                <w:sz w:val="21"/>
                <w:szCs w:val="21"/>
                <w:lang w:val="en-US" w:eastAsia="zh-CN" w:bidi="ar"/>
              </w:rPr>
              <w:t>DP完成率</w:t>
            </w:r>
          </w:p>
        </w:tc>
        <w:tc>
          <w:tcPr>
            <w:tcW w:w="1389" w:type="dxa"/>
            <w:tcBorders>
              <w:top w:val="single" w:color="000000" w:sz="12" w:space="0"/>
              <w:bottom w:val="single" w:color="000000" w:sz="4" w:space="0"/>
            </w:tcBorders>
            <w:shd w:val="clear" w:color="auto" w:fill="FFFFFF"/>
            <w:tcMar>
              <w:top w:w="50" w:type="dxa"/>
              <w:left w:w="100" w:type="dxa"/>
              <w:bottom w:w="50" w:type="dxa"/>
              <w:right w:w="100" w:type="dxa"/>
            </w:tcMar>
            <w:vAlign w:val="center"/>
          </w:tcPr>
          <w:p w14:paraId="0D3691A1">
            <w:pPr>
              <w:keepNext w:val="0"/>
              <w:keepLines w:val="0"/>
              <w:widowControl/>
              <w:suppressLineNumbers w:val="0"/>
              <w:jc w:val="left"/>
              <w:rPr>
                <w:rFonts w:hint="eastAsia" w:ascii="宋体" w:hAnsi="宋体" w:eastAsia="宋体" w:cs="宋体"/>
                <w:b w:val="0"/>
                <w:bCs/>
                <w:i w:val="0"/>
                <w:iCs w:val="0"/>
                <w:caps w:val="0"/>
                <w:color w:val="000000"/>
                <w:spacing w:val="0"/>
                <w:sz w:val="21"/>
                <w:szCs w:val="21"/>
              </w:rPr>
            </w:pPr>
            <w:r>
              <w:rPr>
                <w:rFonts w:hint="eastAsia" w:ascii="宋体" w:hAnsi="宋体" w:eastAsia="宋体" w:cs="宋体"/>
                <w:b w:val="0"/>
                <w:bCs/>
                <w:i w:val="0"/>
                <w:iCs w:val="0"/>
                <w:caps w:val="0"/>
                <w:color w:val="000000"/>
                <w:spacing w:val="0"/>
                <w:kern w:val="0"/>
                <w:sz w:val="21"/>
                <w:szCs w:val="21"/>
                <w:lang w:val="en-US" w:eastAsia="zh-CN" w:bidi="ar"/>
              </w:rPr>
              <w:t>QASS完成率</w:t>
            </w:r>
          </w:p>
        </w:tc>
      </w:tr>
      <w:tr w14:paraId="40111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0" w:hRule="atLeast"/>
          <w:jc w:val="center"/>
        </w:trPr>
        <w:tc>
          <w:tcPr>
            <w:tcW w:w="1449" w:type="dxa"/>
            <w:tcBorders>
              <w:top w:val="single" w:color="000000" w:sz="4" w:space="0"/>
            </w:tcBorders>
            <w:shd w:val="clear" w:color="auto" w:fill="FFFFFF"/>
            <w:tcMar>
              <w:top w:w="50" w:type="dxa"/>
              <w:left w:w="100" w:type="dxa"/>
              <w:bottom w:w="50" w:type="dxa"/>
              <w:right w:w="100" w:type="dxa"/>
            </w:tcMar>
            <w:vAlign w:val="center"/>
          </w:tcPr>
          <w:p w14:paraId="39F2D8E8">
            <w:pPr>
              <w:keepNext w:val="0"/>
              <w:keepLines w:val="0"/>
              <w:widowControl/>
              <w:suppressLineNumbers w:val="0"/>
              <w:jc w:val="left"/>
              <w:rPr>
                <w:rFonts w:hint="eastAsia" w:hAnsi="Cambria Math" w:eastAsia="宋体" w:cs="宋体"/>
                <w:b w:val="0"/>
                <w:i w:val="0"/>
                <w:iCs w:val="0"/>
                <w:caps w:val="0"/>
                <w:color w:val="000000"/>
                <w:spacing w:val="0"/>
                <w:kern w:val="0"/>
                <w:sz w:val="21"/>
                <w:szCs w:val="21"/>
                <w:lang w:val="en-US" w:eastAsia="zh-CN" w:bidi="ar"/>
              </w:rPr>
            </w:pPr>
            <w:r>
              <w:rPr>
                <w:rFonts w:hint="eastAsia" w:hAnsi="Cambria Math" w:eastAsia="宋体" w:cs="宋体"/>
                <w:b w:val="0"/>
                <w:i w:val="0"/>
                <w:iCs w:val="0"/>
                <w:caps w:val="0"/>
                <w:color w:val="000000"/>
                <w:spacing w:val="0"/>
                <w:kern w:val="0"/>
                <w:sz w:val="21"/>
                <w:szCs w:val="21"/>
                <w:lang w:val="en-US" w:eastAsia="zh-CN" w:bidi="ar"/>
              </w:rPr>
              <w:t>实时控制（紧急）</w:t>
            </w:r>
          </w:p>
        </w:tc>
        <w:tc>
          <w:tcPr>
            <w:tcW w:w="1479" w:type="dxa"/>
            <w:tcBorders>
              <w:top w:val="single" w:color="000000" w:sz="4" w:space="0"/>
            </w:tcBorders>
            <w:shd w:val="clear" w:color="auto" w:fill="FFFFFF"/>
            <w:tcMar>
              <w:top w:w="50" w:type="dxa"/>
              <w:left w:w="100" w:type="dxa"/>
              <w:bottom w:w="50" w:type="dxa"/>
              <w:right w:w="100" w:type="dxa"/>
            </w:tcMar>
            <w:vAlign w:val="center"/>
          </w:tcPr>
          <w:p w14:paraId="374D5D15">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sz w:val="21"/>
                <w:szCs w:val="21"/>
              </w:rPr>
              <w:t>988</w:t>
            </w:r>
          </w:p>
        </w:tc>
        <w:tc>
          <w:tcPr>
            <w:tcW w:w="1507" w:type="dxa"/>
            <w:tcBorders>
              <w:top w:val="single" w:color="000000" w:sz="4" w:space="0"/>
            </w:tcBorders>
            <w:shd w:val="clear" w:color="auto" w:fill="FFFFFF"/>
            <w:tcMar>
              <w:top w:w="50" w:type="dxa"/>
              <w:left w:w="100" w:type="dxa"/>
              <w:bottom w:w="50" w:type="dxa"/>
              <w:right w:w="100" w:type="dxa"/>
            </w:tcMar>
            <w:vAlign w:val="center"/>
          </w:tcPr>
          <w:p w14:paraId="5251AC2F">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eastAsia="zh-CN"/>
              </w:rPr>
            </w:pPr>
            <w:r>
              <w:rPr>
                <w:rFonts w:hint="eastAsia" w:ascii="宋体" w:hAnsi="宋体" w:cs="宋体"/>
                <w:b w:val="0"/>
                <w:i w:val="0"/>
                <w:iCs w:val="0"/>
                <w:caps w:val="0"/>
                <w:color w:val="000000"/>
                <w:spacing w:val="0"/>
                <w:sz w:val="21"/>
                <w:szCs w:val="21"/>
                <w:lang w:val="en-US" w:eastAsia="zh-CN"/>
              </w:rPr>
              <w:t>72.27%</w:t>
            </w:r>
          </w:p>
        </w:tc>
        <w:tc>
          <w:tcPr>
            <w:tcW w:w="1541" w:type="dxa"/>
            <w:tcBorders>
              <w:top w:val="single" w:color="000000" w:sz="4" w:space="0"/>
            </w:tcBorders>
            <w:shd w:val="clear" w:color="auto" w:fill="FFFFFF"/>
            <w:tcMar>
              <w:top w:w="50" w:type="dxa"/>
              <w:left w:w="100" w:type="dxa"/>
              <w:bottom w:w="50" w:type="dxa"/>
              <w:right w:w="100" w:type="dxa"/>
            </w:tcMar>
            <w:vAlign w:val="center"/>
          </w:tcPr>
          <w:p w14:paraId="4E910C81">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cs="宋体"/>
                <w:b w:val="0"/>
                <w:i w:val="0"/>
                <w:iCs w:val="0"/>
                <w:caps w:val="0"/>
                <w:color w:val="000000"/>
                <w:spacing w:val="0"/>
                <w:kern w:val="0"/>
                <w:sz w:val="21"/>
                <w:szCs w:val="21"/>
                <w:lang w:val="en-US" w:eastAsia="zh-CN" w:bidi="ar"/>
              </w:rPr>
              <w:t>73.68%</w:t>
            </w:r>
          </w:p>
        </w:tc>
        <w:tc>
          <w:tcPr>
            <w:tcW w:w="1389" w:type="dxa"/>
            <w:tcBorders>
              <w:top w:val="single" w:color="000000" w:sz="4" w:space="0"/>
            </w:tcBorders>
            <w:shd w:val="clear" w:color="auto" w:fill="FFFFFF"/>
            <w:tcMar>
              <w:top w:w="50" w:type="dxa"/>
              <w:left w:w="100" w:type="dxa"/>
              <w:bottom w:w="50" w:type="dxa"/>
              <w:right w:w="100" w:type="dxa"/>
            </w:tcMar>
            <w:vAlign w:val="center"/>
          </w:tcPr>
          <w:p w14:paraId="50E4C8AA">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96.46%</w:t>
            </w:r>
          </w:p>
        </w:tc>
      </w:tr>
      <w:tr w14:paraId="30C46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jc w:val="center"/>
        </w:trPr>
        <w:tc>
          <w:tcPr>
            <w:tcW w:w="1449" w:type="dxa"/>
            <w:shd w:val="clear" w:color="auto" w:fill="FFFFFF"/>
            <w:tcMar>
              <w:top w:w="50" w:type="dxa"/>
              <w:left w:w="100" w:type="dxa"/>
              <w:bottom w:w="50" w:type="dxa"/>
              <w:right w:w="100" w:type="dxa"/>
            </w:tcMar>
            <w:vAlign w:val="center"/>
          </w:tcPr>
          <w:p w14:paraId="089F38F0">
            <w:pPr>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sz w:val="21"/>
                <w:szCs w:val="21"/>
              </w:rPr>
              <w:t>关键感知（高价值）</w:t>
            </w:r>
          </w:p>
        </w:tc>
        <w:tc>
          <w:tcPr>
            <w:tcW w:w="1479" w:type="dxa"/>
            <w:shd w:val="clear" w:color="auto" w:fill="FFFFFF"/>
            <w:tcMar>
              <w:top w:w="50" w:type="dxa"/>
              <w:left w:w="100" w:type="dxa"/>
              <w:bottom w:w="50" w:type="dxa"/>
              <w:right w:w="100" w:type="dxa"/>
            </w:tcMar>
            <w:vAlign w:val="center"/>
          </w:tcPr>
          <w:p w14:paraId="27A55429">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sz w:val="21"/>
                <w:szCs w:val="21"/>
              </w:rPr>
              <w:t>1254</w:t>
            </w:r>
          </w:p>
        </w:tc>
        <w:tc>
          <w:tcPr>
            <w:tcW w:w="1507" w:type="dxa"/>
            <w:shd w:val="clear" w:color="auto" w:fill="FFFFFF"/>
            <w:tcMar>
              <w:top w:w="50" w:type="dxa"/>
              <w:left w:w="100" w:type="dxa"/>
              <w:bottom w:w="50" w:type="dxa"/>
              <w:right w:w="100" w:type="dxa"/>
            </w:tcMar>
            <w:vAlign w:val="center"/>
          </w:tcPr>
          <w:p w14:paraId="5E390C5D">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87.08%</w:t>
            </w:r>
          </w:p>
        </w:tc>
        <w:tc>
          <w:tcPr>
            <w:tcW w:w="1541" w:type="dxa"/>
            <w:shd w:val="clear" w:color="auto" w:fill="FFFFFF"/>
            <w:tcMar>
              <w:top w:w="50" w:type="dxa"/>
              <w:left w:w="100" w:type="dxa"/>
              <w:bottom w:w="50" w:type="dxa"/>
              <w:right w:w="100" w:type="dxa"/>
            </w:tcMar>
            <w:vAlign w:val="center"/>
          </w:tcPr>
          <w:p w14:paraId="775DB025">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cs="宋体"/>
                <w:b w:val="0"/>
                <w:i w:val="0"/>
                <w:iCs w:val="0"/>
                <w:caps w:val="0"/>
                <w:color w:val="000000"/>
                <w:spacing w:val="0"/>
                <w:kern w:val="0"/>
                <w:sz w:val="21"/>
                <w:szCs w:val="21"/>
                <w:lang w:val="en-US" w:eastAsia="zh-CN" w:bidi="ar"/>
              </w:rPr>
              <w:t>93.70%</w:t>
            </w:r>
          </w:p>
        </w:tc>
        <w:tc>
          <w:tcPr>
            <w:tcW w:w="1389" w:type="dxa"/>
            <w:shd w:val="clear" w:color="auto" w:fill="FFFFFF"/>
            <w:tcMar>
              <w:top w:w="50" w:type="dxa"/>
              <w:left w:w="100" w:type="dxa"/>
              <w:bottom w:w="50" w:type="dxa"/>
              <w:right w:w="100" w:type="dxa"/>
            </w:tcMar>
            <w:vAlign w:val="center"/>
          </w:tcPr>
          <w:p w14:paraId="04A13BAE">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96.65%</w:t>
            </w:r>
          </w:p>
        </w:tc>
      </w:tr>
      <w:tr w14:paraId="4788E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3" w:hRule="atLeast"/>
          <w:jc w:val="center"/>
        </w:trPr>
        <w:tc>
          <w:tcPr>
            <w:tcW w:w="1449" w:type="dxa"/>
            <w:shd w:val="clear" w:color="auto" w:fill="FFFFFF"/>
            <w:tcMar>
              <w:top w:w="50" w:type="dxa"/>
              <w:left w:w="100" w:type="dxa"/>
              <w:bottom w:w="50" w:type="dxa"/>
              <w:right w:w="100" w:type="dxa"/>
            </w:tcMar>
            <w:vAlign w:val="center"/>
          </w:tcPr>
          <w:p w14:paraId="0D9970CC">
            <w:pPr>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sz w:val="21"/>
                <w:szCs w:val="21"/>
              </w:rPr>
              <w:t>后台分析（普通）</w:t>
            </w:r>
          </w:p>
        </w:tc>
        <w:tc>
          <w:tcPr>
            <w:tcW w:w="1479" w:type="dxa"/>
            <w:shd w:val="clear" w:color="auto" w:fill="FFFFFF"/>
            <w:tcMar>
              <w:top w:w="50" w:type="dxa"/>
              <w:left w:w="100" w:type="dxa"/>
              <w:bottom w:w="50" w:type="dxa"/>
              <w:right w:w="100" w:type="dxa"/>
            </w:tcMar>
            <w:vAlign w:val="center"/>
          </w:tcPr>
          <w:p w14:paraId="76F9C421">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eastAsia="宋体" w:cs="宋体"/>
                <w:b w:val="0"/>
                <w:i w:val="0"/>
                <w:iCs w:val="0"/>
                <w:caps w:val="0"/>
                <w:color w:val="000000"/>
                <w:spacing w:val="0"/>
                <w:sz w:val="21"/>
                <w:szCs w:val="21"/>
              </w:rPr>
              <w:t>2507</w:t>
            </w:r>
          </w:p>
        </w:tc>
        <w:tc>
          <w:tcPr>
            <w:tcW w:w="1507" w:type="dxa"/>
            <w:shd w:val="clear" w:color="auto" w:fill="FFFFFF"/>
            <w:tcMar>
              <w:top w:w="50" w:type="dxa"/>
              <w:left w:w="100" w:type="dxa"/>
              <w:bottom w:w="50" w:type="dxa"/>
              <w:right w:w="100" w:type="dxa"/>
            </w:tcMar>
            <w:vAlign w:val="center"/>
          </w:tcPr>
          <w:p w14:paraId="76D86196">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98.28%</w:t>
            </w:r>
          </w:p>
        </w:tc>
        <w:tc>
          <w:tcPr>
            <w:tcW w:w="1541" w:type="dxa"/>
            <w:shd w:val="clear" w:color="auto" w:fill="FFFFFF"/>
            <w:tcMar>
              <w:top w:w="50" w:type="dxa"/>
              <w:left w:w="100" w:type="dxa"/>
              <w:bottom w:w="50" w:type="dxa"/>
              <w:right w:w="100" w:type="dxa"/>
            </w:tcMar>
            <w:vAlign w:val="center"/>
          </w:tcPr>
          <w:p w14:paraId="04B9B82A">
            <w:pPr>
              <w:keepNext w:val="0"/>
              <w:keepLines w:val="0"/>
              <w:widowControl/>
              <w:suppressLineNumbers w:val="0"/>
              <w:jc w:val="left"/>
              <w:rPr>
                <w:rFonts w:hint="eastAsia" w:ascii="宋体" w:hAnsi="宋体" w:eastAsia="宋体" w:cs="宋体"/>
                <w:b w:val="0"/>
                <w:i w:val="0"/>
                <w:iCs w:val="0"/>
                <w:caps w:val="0"/>
                <w:color w:val="000000"/>
                <w:spacing w:val="0"/>
                <w:sz w:val="21"/>
                <w:szCs w:val="21"/>
              </w:rPr>
            </w:pPr>
            <w:r>
              <w:rPr>
                <w:rFonts w:hint="eastAsia" w:ascii="宋体" w:hAnsi="宋体" w:cs="宋体"/>
                <w:b w:val="0"/>
                <w:i w:val="0"/>
                <w:iCs w:val="0"/>
                <w:caps w:val="0"/>
                <w:color w:val="000000"/>
                <w:spacing w:val="0"/>
                <w:kern w:val="0"/>
                <w:sz w:val="21"/>
                <w:szCs w:val="21"/>
                <w:lang w:val="en-US" w:eastAsia="zh-CN" w:bidi="ar"/>
              </w:rPr>
              <w:t>99.84%</w:t>
            </w:r>
          </w:p>
        </w:tc>
        <w:tc>
          <w:tcPr>
            <w:tcW w:w="1389" w:type="dxa"/>
            <w:shd w:val="clear" w:color="auto" w:fill="FFFFFF"/>
            <w:tcMar>
              <w:top w:w="50" w:type="dxa"/>
              <w:left w:w="100" w:type="dxa"/>
              <w:bottom w:w="50" w:type="dxa"/>
              <w:right w:w="100" w:type="dxa"/>
            </w:tcMar>
            <w:vAlign w:val="center"/>
          </w:tcPr>
          <w:p w14:paraId="3ED762EC">
            <w:pPr>
              <w:keepNext w:val="0"/>
              <w:keepLines w:val="0"/>
              <w:widowControl/>
              <w:suppressLineNumbers w:val="0"/>
              <w:jc w:val="left"/>
              <w:rPr>
                <w:rFonts w:hint="default" w:ascii="宋体" w:hAnsi="宋体" w:eastAsia="宋体" w:cs="宋体"/>
                <w:b w:val="0"/>
                <w:i w:val="0"/>
                <w:iCs w:val="0"/>
                <w:caps w:val="0"/>
                <w:color w:val="000000"/>
                <w:spacing w:val="0"/>
                <w:sz w:val="21"/>
                <w:szCs w:val="21"/>
                <w:lang w:val="en-US"/>
              </w:rPr>
            </w:pPr>
            <w:r>
              <w:rPr>
                <w:rFonts w:hint="eastAsia" w:ascii="宋体" w:hAnsi="宋体" w:cs="宋体"/>
                <w:b w:val="0"/>
                <w:i w:val="0"/>
                <w:iCs w:val="0"/>
                <w:caps w:val="0"/>
                <w:color w:val="000000"/>
                <w:spacing w:val="0"/>
                <w:kern w:val="0"/>
                <w:sz w:val="21"/>
                <w:szCs w:val="21"/>
                <w:lang w:val="en-US" w:eastAsia="zh-CN" w:bidi="ar"/>
              </w:rPr>
              <w:t>97.85%</w:t>
            </w:r>
          </w:p>
        </w:tc>
      </w:tr>
    </w:tbl>
    <w:p w14:paraId="5A8122FF">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3661410" cy="2870835"/>
            <wp:effectExtent l="0" t="0" r="8890" b="12065"/>
            <wp:docPr id="8" name="图片 8" descr="befb93aa-d98f-4b34-b241-2f3cacd6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efb93aa-d98f-4b34-b241-2f3cacd65837"/>
                    <pic:cNvPicPr>
                      <a:picLocks noChangeAspect="1"/>
                    </pic:cNvPicPr>
                  </pic:nvPicPr>
                  <pic:blipFill>
                    <a:blip r:embed="rId9"/>
                    <a:stretch>
                      <a:fillRect/>
                    </a:stretch>
                  </pic:blipFill>
                  <pic:spPr>
                    <a:xfrm>
                      <a:off x="0" y="0"/>
                      <a:ext cx="3661410" cy="2870835"/>
                    </a:xfrm>
                    <a:prstGeom prst="rect">
                      <a:avLst/>
                    </a:prstGeom>
                  </pic:spPr>
                </pic:pic>
              </a:graphicData>
            </a:graphic>
          </wp:inline>
        </w:drawing>
      </w:r>
    </w:p>
    <w:p w14:paraId="21983B90">
      <w:pPr>
        <w:spacing w:line="360" w:lineRule="auto"/>
        <w:ind w:firstLine="430" w:firstLineChars="205"/>
        <w:jc w:val="center"/>
        <w:rPr>
          <w:rFonts w:hint="eastAsia" w:cs="宋体"/>
          <w:kern w:val="0"/>
          <w:szCs w:val="21"/>
        </w:rPr>
      </w:pPr>
      <w:r>
        <w:rPr>
          <w:rFonts w:hint="eastAsia" w:cs="宋体"/>
          <w:kern w:val="0"/>
          <w:szCs w:val="21"/>
        </w:rPr>
        <w:t>图</w:t>
      </w:r>
      <w:r>
        <w:rPr>
          <w:rFonts w:hint="eastAsia" w:cs="宋体"/>
          <w:kern w:val="0"/>
          <w:szCs w:val="21"/>
          <w:lang w:val="en-US" w:eastAsia="zh-CN"/>
        </w:rPr>
        <w:t>4</w:t>
      </w:r>
      <w:r>
        <w:rPr>
          <w:rFonts w:hint="eastAsia" w:cs="宋体"/>
          <w:kern w:val="0"/>
          <w:szCs w:val="21"/>
        </w:rPr>
        <w:t>分优先级任务完成率对比</w:t>
      </w:r>
    </w:p>
    <w:p w14:paraId="0517CD88">
      <w:pPr>
        <w:spacing w:line="360" w:lineRule="auto"/>
        <w:ind w:firstLine="430" w:firstLineChars="205"/>
        <w:rPr>
          <w:rFonts w:ascii="宋体" w:hAnsi="宋体" w:eastAsia="宋体" w:cs="宋体"/>
          <w:sz w:val="24"/>
          <w:szCs w:val="24"/>
        </w:rPr>
      </w:pPr>
      <w:r>
        <w:rPr>
          <w:rFonts w:hint="eastAsia" w:cs="宋体"/>
          <w:kern w:val="0"/>
          <w:szCs w:val="21"/>
        </w:rPr>
        <w:t>当然，这种对关键任务的优先保障并非没有代价。如图</w:t>
      </w:r>
      <w:r>
        <w:rPr>
          <w:rFonts w:hint="eastAsia" w:cs="宋体"/>
          <w:kern w:val="0"/>
          <w:szCs w:val="21"/>
          <w:lang w:val="en-US" w:eastAsia="zh-CN"/>
        </w:rPr>
        <w:t>5</w:t>
      </w:r>
      <w:r>
        <w:rPr>
          <w:rFonts w:hint="eastAsia" w:cs="宋体"/>
          <w:kern w:val="0"/>
          <w:szCs w:val="21"/>
        </w:rPr>
        <w:t>所示，QASS的后台分析任务（普通）的平均响应时间（72.24秒）显著高于FP（48.19秒）和DP（48.45秒）策略。这符合设计预期的性能权衡：在资源有限且争用激烈的边缘网络中，智能调度系统必须区分任务轻重缓急，必要时策略性牺牲非关键任务的部分性能（如响应时间），以换取关键任务的确定性保障。QASS正是通过其QoS需求向量和感知定价机制，成功实现了这种智能化的资源倾斜，将宝贵计算资源精确分配给最需要的地方。值得注意的是，尽管后台任务的响应时间有所增加，其完成率（97.85%）仍然保持极高水平，说明QASS并非简单地“抛弃”低优先级任务，而是在保证它们最终能够完成的前提下，合理延后了执行时机。</w:t>
      </w:r>
    </w:p>
    <w:p w14:paraId="1B622B2C">
      <w:pPr>
        <w:spacing w:line="360" w:lineRule="auto"/>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3113405" cy="2397125"/>
            <wp:effectExtent l="0" t="0" r="10795" b="3175"/>
            <wp:docPr id="9" name="图片 9" descr="c5e34299-02d6-4519-8849-a1b1966fa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5e34299-02d6-4519-8849-a1b1966faa50"/>
                    <pic:cNvPicPr>
                      <a:picLocks noChangeAspect="1"/>
                    </pic:cNvPicPr>
                  </pic:nvPicPr>
                  <pic:blipFill>
                    <a:blip r:embed="rId10"/>
                    <a:stretch>
                      <a:fillRect/>
                    </a:stretch>
                  </pic:blipFill>
                  <pic:spPr>
                    <a:xfrm>
                      <a:off x="0" y="0"/>
                      <a:ext cx="3113405" cy="2397125"/>
                    </a:xfrm>
                    <a:prstGeom prst="rect">
                      <a:avLst/>
                    </a:prstGeom>
                  </pic:spPr>
                </pic:pic>
              </a:graphicData>
            </a:graphic>
          </wp:inline>
        </w:drawing>
      </w:r>
    </w:p>
    <w:p w14:paraId="61D0194B">
      <w:pPr>
        <w:spacing w:line="360" w:lineRule="auto"/>
        <w:ind w:firstLine="430" w:firstLineChars="205"/>
        <w:jc w:val="center"/>
        <w:rPr>
          <w:rFonts w:hint="eastAsia" w:cs="宋体"/>
          <w:kern w:val="0"/>
          <w:szCs w:val="21"/>
        </w:rPr>
      </w:pPr>
      <w:r>
        <w:rPr>
          <w:rFonts w:hint="eastAsia" w:cs="宋体"/>
          <w:kern w:val="0"/>
          <w:szCs w:val="21"/>
        </w:rPr>
        <w:t>图</w:t>
      </w:r>
      <w:r>
        <w:rPr>
          <w:rFonts w:hint="eastAsia" w:cs="宋体"/>
          <w:kern w:val="0"/>
          <w:szCs w:val="21"/>
          <w:lang w:val="en-US" w:eastAsia="zh-CN"/>
        </w:rPr>
        <w:t>5</w:t>
      </w:r>
      <w:r>
        <w:rPr>
          <w:rFonts w:hint="eastAsia" w:cs="宋体"/>
          <w:kern w:val="0"/>
          <w:szCs w:val="21"/>
        </w:rPr>
        <w:t>三种策略在不同优先级任务上的平均响应时间对比</w:t>
      </w:r>
    </w:p>
    <w:p w14:paraId="7DAEF2B8">
      <w:pPr>
        <w:spacing w:line="360" w:lineRule="auto"/>
        <w:ind w:firstLine="430" w:firstLineChars="205"/>
        <w:rPr>
          <w:rFonts w:ascii="宋体" w:hAnsi="宋体" w:eastAsia="宋体" w:cs="宋体"/>
          <w:sz w:val="24"/>
          <w:szCs w:val="24"/>
        </w:rPr>
      </w:pPr>
      <w:r>
        <w:rPr>
          <w:rFonts w:hint="eastAsia" w:cs="宋体"/>
          <w:kern w:val="0"/>
          <w:szCs w:val="21"/>
        </w:rPr>
        <w:t>时间序列分析为观察系统在动态负载下的行为提供了微观视角。通过任务等待队列长度的变化（图</w:t>
      </w:r>
      <w:r>
        <w:rPr>
          <w:rFonts w:hint="eastAsia" w:cs="宋体"/>
          <w:kern w:val="0"/>
          <w:szCs w:val="21"/>
          <w:lang w:val="en-US" w:eastAsia="zh-CN"/>
        </w:rPr>
        <w:t>6</w:t>
      </w:r>
      <w:r>
        <w:rPr>
          <w:rFonts w:hint="eastAsia" w:cs="宋体"/>
          <w:kern w:val="0"/>
          <w:szCs w:val="21"/>
        </w:rPr>
        <w:t>c）可以发现，在仿真进行至约900~1800秒期间，系统经历了一个任务到达高峰期。在这一阶段，三种策略的队列长度均出现显著增长，但应对压力的表现却截然不同。</w:t>
      </w:r>
    </w:p>
    <w:p w14:paraId="3E1ACCCB">
      <w:pPr>
        <w:spacing w:line="360" w:lineRule="auto"/>
        <w:jc w:val="center"/>
        <w:rPr>
          <w:rFonts w:ascii="宋体" w:hAnsi="宋体" w:eastAsia="宋体" w:cs="宋体"/>
          <w:sz w:val="24"/>
          <w:szCs w:val="24"/>
        </w:rPr>
      </w:pPr>
      <w:r>
        <w:drawing>
          <wp:inline distT="0" distB="0" distL="114300" distR="114300">
            <wp:extent cx="4318635" cy="3541395"/>
            <wp:effectExtent l="0" t="0" r="12065" b="190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1"/>
                    <a:stretch>
                      <a:fillRect/>
                    </a:stretch>
                  </pic:blipFill>
                  <pic:spPr>
                    <a:xfrm>
                      <a:off x="0" y="0"/>
                      <a:ext cx="4318635" cy="3541395"/>
                    </a:xfrm>
                    <a:prstGeom prst="rect">
                      <a:avLst/>
                    </a:prstGeom>
                    <a:noFill/>
                    <a:ln>
                      <a:noFill/>
                    </a:ln>
                  </pic:spPr>
                </pic:pic>
              </a:graphicData>
            </a:graphic>
          </wp:inline>
        </w:drawing>
      </w:r>
    </w:p>
    <w:p w14:paraId="491C9665">
      <w:pPr>
        <w:spacing w:line="360" w:lineRule="auto"/>
        <w:ind w:firstLine="430" w:firstLineChars="205"/>
        <w:jc w:val="center"/>
        <w:rPr>
          <w:rFonts w:hint="eastAsia" w:cs="宋体"/>
          <w:kern w:val="0"/>
          <w:szCs w:val="21"/>
        </w:rPr>
      </w:pPr>
      <w:r>
        <w:rPr>
          <w:rFonts w:hint="eastAsia" w:cs="宋体"/>
          <w:kern w:val="0"/>
          <w:szCs w:val="21"/>
        </w:rPr>
        <w:t>图</w:t>
      </w:r>
      <w:r>
        <w:rPr>
          <w:rFonts w:hint="eastAsia" w:cs="宋体"/>
          <w:kern w:val="0"/>
          <w:szCs w:val="21"/>
          <w:lang w:val="en-US" w:eastAsia="zh-CN"/>
        </w:rPr>
        <w:t>6</w:t>
      </w:r>
      <w:r>
        <w:rPr>
          <w:rFonts w:hint="eastAsia" w:cs="宋体"/>
          <w:kern w:val="0"/>
          <w:szCs w:val="21"/>
        </w:rPr>
        <w:t>三种策略在仿真过程中的动态指标变化</w:t>
      </w:r>
    </w:p>
    <w:p w14:paraId="4769778A">
      <w:pPr>
        <w:spacing w:line="360" w:lineRule="auto"/>
        <w:ind w:firstLine="430" w:firstLineChars="205"/>
        <w:rPr>
          <w:rFonts w:ascii="宋体" w:hAnsi="宋体" w:eastAsia="宋体" w:cs="宋体"/>
          <w:sz w:val="24"/>
          <w:szCs w:val="24"/>
        </w:rPr>
      </w:pPr>
      <w:r>
        <w:rPr>
          <w:rFonts w:hint="eastAsia" w:cs="宋体"/>
          <w:kern w:val="0"/>
          <w:szCs w:val="21"/>
        </w:rPr>
        <w:t>如图</w:t>
      </w:r>
      <w:r>
        <w:rPr>
          <w:rFonts w:hint="eastAsia" w:cs="宋体"/>
          <w:kern w:val="0"/>
          <w:szCs w:val="21"/>
          <w:lang w:val="en-US" w:eastAsia="zh-CN"/>
        </w:rPr>
        <w:t>6</w:t>
      </w:r>
      <w:r>
        <w:rPr>
          <w:rFonts w:hint="eastAsia" w:cs="宋体"/>
          <w:kern w:val="0"/>
          <w:szCs w:val="21"/>
        </w:rPr>
        <w:t>d所示，FP和DP策略的累计任务失败率在这一时期均出现急剧、近乎失控的飙升，表明系统容量已被击穿，大量任务因超时被丢弃。与此形成鲜明对比的是，QASS的失败率曲线虽有所上扬，但增长斜率平缓得多，最终被成功抑制在较低水平。这正是其蜂群式协作调度（SCS）机制在发挥作用：正是在此高负载阶段，QASS系统内部触发了大量（总计220次）任务迁移，高负载节点通过向外“求助”，将自身无法处理的紧急任务卸载至低负载节点，从而避免了本地队列的崩溃。这一结果有力证明了QASS框架在面对负载突发和资源瓶颈时卓越的系统弹性与鲁棒性。</w:t>
      </w:r>
    </w:p>
    <w:p w14:paraId="04A1C6C2">
      <w:pPr>
        <w:spacing w:line="360" w:lineRule="auto"/>
        <w:jc w:val="center"/>
        <w:rPr>
          <w:rFonts w:ascii="宋体" w:hAnsi="宋体" w:eastAsia="宋体" w:cs="宋体"/>
          <w:sz w:val="24"/>
          <w:szCs w:val="24"/>
        </w:rPr>
      </w:pPr>
      <w:r>
        <w:drawing>
          <wp:inline distT="0" distB="0" distL="114300" distR="114300">
            <wp:extent cx="2798445" cy="2599690"/>
            <wp:effectExtent l="0" t="0" r="8255" b="381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2"/>
                    <a:stretch>
                      <a:fillRect/>
                    </a:stretch>
                  </pic:blipFill>
                  <pic:spPr>
                    <a:xfrm>
                      <a:off x="0" y="0"/>
                      <a:ext cx="2798445" cy="2599690"/>
                    </a:xfrm>
                    <a:prstGeom prst="rect">
                      <a:avLst/>
                    </a:prstGeom>
                    <a:noFill/>
                    <a:ln>
                      <a:noFill/>
                    </a:ln>
                  </pic:spPr>
                </pic:pic>
              </a:graphicData>
            </a:graphic>
          </wp:inline>
        </w:drawing>
      </w:r>
    </w:p>
    <w:p w14:paraId="7B3F87C3">
      <w:pPr>
        <w:spacing w:line="360" w:lineRule="auto"/>
        <w:ind w:firstLine="430" w:firstLineChars="205"/>
        <w:jc w:val="center"/>
        <w:rPr>
          <w:rFonts w:ascii="宋体" w:hAnsi="宋体" w:eastAsia="宋体" w:cs="宋体"/>
          <w:sz w:val="24"/>
          <w:szCs w:val="24"/>
        </w:rPr>
      </w:pPr>
      <w:r>
        <w:rPr>
          <w:rFonts w:hint="eastAsia" w:cs="宋体"/>
          <w:kern w:val="0"/>
          <w:szCs w:val="21"/>
        </w:rPr>
        <w:t>图</w:t>
      </w:r>
      <w:r>
        <w:rPr>
          <w:rFonts w:hint="eastAsia" w:cs="宋体"/>
          <w:kern w:val="0"/>
          <w:szCs w:val="21"/>
          <w:lang w:val="en-US" w:eastAsia="zh-CN"/>
        </w:rPr>
        <w:t xml:space="preserve">7 </w:t>
      </w:r>
      <w:r>
        <w:rPr>
          <w:rFonts w:hint="eastAsia" w:cs="宋体"/>
          <w:kern w:val="0"/>
          <w:szCs w:val="21"/>
        </w:rPr>
        <w:t>QASS相对于两种基线策略在多个核心指标上的性能提升百分比</w:t>
      </w:r>
    </w:p>
    <w:p w14:paraId="5EF7DB1E">
      <w:pPr>
        <w:spacing w:line="360" w:lineRule="auto"/>
        <w:jc w:val="center"/>
        <w:rPr>
          <w:rFonts w:ascii="宋体" w:hAnsi="宋体" w:eastAsia="宋体" w:cs="宋体"/>
          <w:sz w:val="24"/>
          <w:szCs w:val="24"/>
        </w:rPr>
      </w:pPr>
      <w:r>
        <w:drawing>
          <wp:inline distT="0" distB="0" distL="114300" distR="114300">
            <wp:extent cx="3475990" cy="2752090"/>
            <wp:effectExtent l="0" t="0" r="3810" b="381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3"/>
                    <a:stretch>
                      <a:fillRect/>
                    </a:stretch>
                  </pic:blipFill>
                  <pic:spPr>
                    <a:xfrm>
                      <a:off x="0" y="0"/>
                      <a:ext cx="3475990" cy="2752090"/>
                    </a:xfrm>
                    <a:prstGeom prst="rect">
                      <a:avLst/>
                    </a:prstGeom>
                    <a:noFill/>
                    <a:ln>
                      <a:noFill/>
                    </a:ln>
                  </pic:spPr>
                </pic:pic>
              </a:graphicData>
            </a:graphic>
          </wp:inline>
        </w:drawing>
      </w:r>
    </w:p>
    <w:p w14:paraId="2E1C35ED">
      <w:pPr>
        <w:spacing w:line="360" w:lineRule="auto"/>
        <w:ind w:firstLine="430" w:firstLineChars="205"/>
        <w:jc w:val="center"/>
        <w:rPr>
          <w:rFonts w:hint="eastAsia" w:cs="宋体"/>
          <w:kern w:val="0"/>
          <w:szCs w:val="21"/>
        </w:rPr>
      </w:pPr>
      <w:r>
        <w:rPr>
          <w:rFonts w:hint="eastAsia" w:cs="宋体"/>
          <w:kern w:val="0"/>
          <w:szCs w:val="21"/>
        </w:rPr>
        <w:t>图</w:t>
      </w:r>
      <w:r>
        <w:rPr>
          <w:rFonts w:hint="eastAsia" w:cs="宋体"/>
          <w:kern w:val="0"/>
          <w:szCs w:val="21"/>
          <w:lang w:val="en-US" w:eastAsia="zh-CN"/>
        </w:rPr>
        <w:t>8</w:t>
      </w:r>
      <w:r>
        <w:rPr>
          <w:rFonts w:hint="eastAsia" w:cs="宋体"/>
          <w:kern w:val="0"/>
          <w:szCs w:val="21"/>
        </w:rPr>
        <w:t>三种策略在不同优先级任务上的SLA合规率对比</w:t>
      </w:r>
    </w:p>
    <w:p w14:paraId="1E050451">
      <w:pPr>
        <w:spacing w:line="360" w:lineRule="auto"/>
        <w:ind w:firstLine="430" w:firstLineChars="205"/>
        <w:rPr>
          <w:rFonts w:hint="eastAsia" w:cs="宋体"/>
          <w:kern w:val="0"/>
          <w:szCs w:val="21"/>
        </w:rPr>
      </w:pPr>
      <w:r>
        <w:rPr>
          <w:rFonts w:hint="eastAsia" w:cs="宋体"/>
          <w:kern w:val="0"/>
          <w:szCs w:val="21"/>
        </w:rPr>
        <w:t>图</w:t>
      </w:r>
      <w:r>
        <w:rPr>
          <w:rFonts w:hint="eastAsia" w:cs="宋体"/>
          <w:kern w:val="0"/>
          <w:szCs w:val="21"/>
          <w:lang w:val="en-US" w:eastAsia="zh-CN"/>
        </w:rPr>
        <w:t>7</w:t>
      </w:r>
      <w:r>
        <w:rPr>
          <w:rFonts w:hint="eastAsia" w:cs="宋体"/>
          <w:kern w:val="0"/>
          <w:szCs w:val="21"/>
        </w:rPr>
        <w:t>直观地总结了QASS模型所带来的核心性能提升，尤其是在实时控制任务完成率上高达24.19个百分点的跃升，以及总体任务失败率较基线策略降低超过65%的显著成效。然而，在所有评估指标中，总体SLA合规率（如图</w:t>
      </w:r>
      <w:r>
        <w:rPr>
          <w:rFonts w:hint="eastAsia" w:cs="宋体"/>
          <w:kern w:val="0"/>
          <w:szCs w:val="21"/>
          <w:lang w:val="en-US" w:eastAsia="zh-CN"/>
        </w:rPr>
        <w:t>8</w:t>
      </w:r>
      <w:r>
        <w:rPr>
          <w:rFonts w:hint="eastAsia" w:cs="宋体"/>
          <w:kern w:val="0"/>
          <w:szCs w:val="21"/>
        </w:rPr>
        <w:t>所示）呈现出一种需要深入解读的“例外”现象。从表面数据来看，QASS的总体SLA合规率（71.46%）明显低于FP（86.05%）和DP（83.94%）策略，这似乎与其卓越的性能表现存在矛盾。但深入剖析其内在机制后可以发现，这一看似反常的结果，恰恰折射出QASS所秉持的更为积极的“任务救赎”哲学。</w:t>
      </w:r>
    </w:p>
    <w:p w14:paraId="148924FA">
      <w:pPr>
        <w:spacing w:line="360" w:lineRule="auto"/>
        <w:ind w:firstLine="430" w:firstLineChars="205"/>
        <w:rPr>
          <w:rFonts w:hint="eastAsia"/>
        </w:rPr>
      </w:pPr>
      <w:r>
        <w:rPr>
          <w:rFonts w:hint="eastAsia" w:cs="宋体"/>
          <w:kern w:val="0"/>
          <w:szCs w:val="21"/>
        </w:rPr>
        <w:t>在FP与DP策略中，当一个任务预计无法在SLA时限内完成时，调度器通常会选择直接拒绝该任务，或任其在队列中等待直至超时失败——这些失败的任务自然不会计入SLA违例统计（因其根本未被完成）。而QASS则倾向于“不抛弃、不放弃”：通过其去中心化协作机制，系统会尽最大努力接收并尝试完成那些已濒临超时、在其他策略下可能已被判定为“不可救药”的任务。即便这些被“拯救”回的任务在最终完成时，其实际响应时间已略微超出原始SLA阈值，但从业务价值角度而言，“成功完成（即便略有延迟）”的意义远胜于“彻底失败”。因此，QASS较低的总体SLA合规率，实质上是其以“优雅降级”（Graceful Degradation）换取“避免灾难性失败”（Catastrophic Failure）这一高级容错策略的直接体现。这一发现提示我们：在评估复杂自适应系统时，不能孤立地解读单一指标，而必须深入理解指标背后的系统行为逻辑与设计哲学。</w:t>
      </w:r>
    </w:p>
    <w:p w14:paraId="449B9CA0">
      <w:pPr>
        <w:pStyle w:val="2"/>
        <w:spacing w:before="0" w:after="0" w:line="360" w:lineRule="auto"/>
        <w:rPr>
          <w:rFonts w:hint="eastAsia" w:ascii="Times New Roman" w:hAnsi="Times New Roman" w:eastAsia="宋体" w:cs="宋体"/>
          <w:bCs w:val="0"/>
          <w:color w:val="000000"/>
          <w:kern w:val="0"/>
          <w:sz w:val="28"/>
          <w:szCs w:val="28"/>
        </w:rPr>
      </w:pPr>
      <w:r>
        <w:rPr>
          <w:rFonts w:hint="eastAsia" w:ascii="Times New Roman" w:hAnsi="Times New Roman" w:eastAsia="宋体" w:cs="宋体"/>
          <w:bCs w:val="0"/>
          <w:color w:val="000000"/>
          <w:kern w:val="0"/>
          <w:sz w:val="28"/>
          <w:szCs w:val="28"/>
          <w:lang w:val="en-US" w:eastAsia="zh-CN"/>
        </w:rPr>
        <w:t>6</w:t>
      </w:r>
      <w:r>
        <w:rPr>
          <w:rFonts w:hint="eastAsia" w:ascii="Times New Roman" w:hAnsi="Times New Roman" w:eastAsia="宋体" w:cs="宋体"/>
          <w:bCs w:val="0"/>
          <w:color w:val="000000"/>
          <w:kern w:val="0"/>
          <w:sz w:val="28"/>
          <w:szCs w:val="28"/>
        </w:rPr>
        <w:t xml:space="preserve">  结束语</w:t>
      </w:r>
    </w:p>
    <w:p w14:paraId="2FB56E9A">
      <w:pPr>
        <w:autoSpaceDE w:val="0"/>
        <w:autoSpaceDN w:val="0"/>
        <w:adjustRightInd w:val="0"/>
        <w:spacing w:line="360" w:lineRule="auto"/>
        <w:ind w:firstLine="430" w:firstLineChars="205"/>
        <w:jc w:val="left"/>
        <w:rPr>
          <w:rFonts w:hint="eastAsia" w:cs="宋体"/>
          <w:kern w:val="0"/>
          <w:szCs w:val="21"/>
        </w:rPr>
      </w:pPr>
      <w:r>
        <w:rPr>
          <w:rFonts w:hint="eastAsia" w:cs="宋体"/>
          <w:kern w:val="0"/>
          <w:szCs w:val="21"/>
        </w:rPr>
        <w:t>针对边缘计算中任务异构与资源动态带来的调度挑战，本文提出了一种去中心化的服务质量感知自适应蜂群调度框架（QASS）。该框架通过为任务构建由紧迫度、重要度和满意度构成的动态QoS需求向量，为节点设计融入QoS压力的自适应定价机制，并引入基于数字信息素的蜂群协作协议，使系统能够在无中央协调器的情况下自发实现负载均衡与关键业务保障。在包含6个异构节点、处理4751个混合优先级任务的仿真实验中，QASS将系统总体任务失败率从9.77%（固定定价）和6.90%（动态定价）降至2.44%，降幅超过65%；同时将实时控制这类安全攸关任务的完成率从约72%提升至96.46%，提升逾22个百分点。在成本方面，QASS较动态定价策略节省13.5%的支出，实现了可靠性、优先级与成本三者间的智能权衡。未来工作将引入深度强化学习优化自主决策，探索更复杂的多对多协作模式，并计划在Kubernetes及物理边缘设备上部署验证，推动理论成果向工业应用转化。</w:t>
      </w:r>
    </w:p>
    <w:p w14:paraId="0DA9895D">
      <w:pPr>
        <w:pStyle w:val="2"/>
        <w:spacing w:before="0" w:after="0" w:line="360" w:lineRule="auto"/>
        <w:rPr>
          <w:rFonts w:hint="eastAsia" w:ascii="Times New Roman" w:hAnsi="Times New Roman" w:eastAsia="宋体" w:cs="宋体"/>
          <w:bCs w:val="0"/>
          <w:color w:val="000000"/>
          <w:kern w:val="0"/>
          <w:sz w:val="28"/>
          <w:szCs w:val="28"/>
        </w:rPr>
      </w:pPr>
      <w:r>
        <w:rPr>
          <w:rFonts w:hint="eastAsia" w:ascii="Times New Roman" w:hAnsi="Times New Roman" w:eastAsia="宋体" w:cs="宋体"/>
          <w:bCs w:val="0"/>
          <w:color w:val="000000"/>
          <w:kern w:val="0"/>
          <w:sz w:val="28"/>
          <w:szCs w:val="28"/>
        </w:rPr>
        <w:t>参考文献：</w:t>
      </w:r>
    </w:p>
    <w:p w14:paraId="52EAA39B">
      <w:pPr>
        <w:widowControl/>
        <w:numPr>
          <w:ilvl w:val="0"/>
          <w:numId w:val="1"/>
        </w:numPr>
        <w:spacing w:line="360" w:lineRule="auto"/>
        <w:rPr>
          <w:szCs w:val="21"/>
        </w:rPr>
      </w:pPr>
      <w:bookmarkStart w:id="1" w:name="_Ref15268"/>
      <w:r>
        <w:rPr>
          <w:rFonts w:hint="eastAsia"/>
          <w:szCs w:val="21"/>
        </w:rPr>
        <w:t>W. SHI, J. CAO, Q. ZHANG, et al. Edge Computing: Vision and Challenges[J]. IEEE Internet of Things Journal, 2016, 3(5): 637-646.</w:t>
      </w:r>
      <w:bookmarkEnd w:id="1"/>
    </w:p>
    <w:p w14:paraId="197BA027">
      <w:pPr>
        <w:widowControl/>
        <w:numPr>
          <w:ilvl w:val="0"/>
          <w:numId w:val="1"/>
        </w:numPr>
        <w:spacing w:line="360" w:lineRule="auto"/>
        <w:rPr>
          <w:szCs w:val="21"/>
        </w:rPr>
      </w:pPr>
      <w:bookmarkStart w:id="2" w:name="_Ref15291"/>
      <w:r>
        <w:rPr>
          <w:rFonts w:hint="eastAsia"/>
          <w:szCs w:val="21"/>
        </w:rPr>
        <w:t>Y. MAO, C. YOU, J. ZHANG, et al. A Survey on Mobile Edge Computing: The Communication Perspective[J]. IEEE Communications Surveys &amp; Tutorials, 2017, 19(4): 2322-2358.</w:t>
      </w:r>
      <w:bookmarkEnd w:id="2"/>
    </w:p>
    <w:p w14:paraId="561BFC08">
      <w:pPr>
        <w:widowControl/>
        <w:numPr>
          <w:ilvl w:val="0"/>
          <w:numId w:val="1"/>
        </w:numPr>
        <w:spacing w:line="360" w:lineRule="auto"/>
        <w:rPr>
          <w:szCs w:val="21"/>
        </w:rPr>
      </w:pPr>
      <w:bookmarkStart w:id="3" w:name="_Ref8149"/>
      <w:r>
        <w:rPr>
          <w:rFonts w:hint="eastAsia"/>
          <w:szCs w:val="21"/>
        </w:rPr>
        <w:t>王静,谢鲲,曾鑫,等.基于强化学习的算力网络管理和调度[J].计算机学报,2025,48(11):2713-2734.</w:t>
      </w:r>
      <w:bookmarkEnd w:id="3"/>
    </w:p>
    <w:p w14:paraId="08A213D0">
      <w:pPr>
        <w:widowControl/>
        <w:numPr>
          <w:ilvl w:val="0"/>
          <w:numId w:val="1"/>
        </w:numPr>
        <w:spacing w:line="360" w:lineRule="auto"/>
        <w:rPr>
          <w:szCs w:val="21"/>
        </w:rPr>
      </w:pPr>
      <w:bookmarkStart w:id="4" w:name="_Ref15330"/>
      <w:r>
        <w:rPr>
          <w:rFonts w:hint="eastAsia"/>
          <w:szCs w:val="21"/>
        </w:rPr>
        <w:t>S. LIU, L. LIU, J. TANG, et al. Edge Computing for Autonomous Driving: Opportunities and Challenges[J]. Proceedings of the IEEE, 2019, 107(8): 1697-1716.</w:t>
      </w:r>
      <w:bookmarkEnd w:id="4"/>
    </w:p>
    <w:p w14:paraId="0A399414">
      <w:pPr>
        <w:widowControl/>
        <w:numPr>
          <w:ilvl w:val="0"/>
          <w:numId w:val="1"/>
        </w:numPr>
        <w:spacing w:line="360" w:lineRule="auto"/>
        <w:rPr>
          <w:rFonts w:hint="eastAsia"/>
          <w:szCs w:val="21"/>
        </w:rPr>
      </w:pPr>
      <w:bookmarkStart w:id="5" w:name="_Ref15347"/>
      <w:r>
        <w:rPr>
          <w:rFonts w:hint="eastAsia"/>
          <w:szCs w:val="21"/>
        </w:rPr>
        <w:t>P. MACH and Z. BECVAR. Mobile Edge Computing: A Survey on Architecture and Computation Offloading[J]. IEEE Communications Surveys &amp; Tutorials, 2017, 19(3): 1628-1656.</w:t>
      </w:r>
      <w:bookmarkEnd w:id="5"/>
    </w:p>
    <w:p w14:paraId="77752D0F">
      <w:pPr>
        <w:widowControl/>
        <w:numPr>
          <w:ilvl w:val="0"/>
          <w:numId w:val="1"/>
        </w:numPr>
        <w:spacing w:line="360" w:lineRule="auto"/>
        <w:rPr>
          <w:rFonts w:hint="eastAsia"/>
          <w:szCs w:val="21"/>
        </w:rPr>
      </w:pPr>
      <w:bookmarkStart w:id="6" w:name="_Ref15405"/>
      <w:r>
        <w:rPr>
          <w:rFonts w:hint="eastAsia"/>
          <w:szCs w:val="21"/>
        </w:rPr>
        <w:t>A. TOOSI. Interconnected Cloud Computing Environments: Challenges, Taxonomy, and Survey[J]. ACM Computing Surveys, 2014.</w:t>
      </w:r>
      <w:bookmarkEnd w:id="6"/>
    </w:p>
    <w:p w14:paraId="512C5292">
      <w:pPr>
        <w:widowControl/>
        <w:numPr>
          <w:ilvl w:val="0"/>
          <w:numId w:val="1"/>
        </w:numPr>
        <w:spacing w:line="360" w:lineRule="auto"/>
        <w:rPr>
          <w:rFonts w:hint="eastAsia"/>
          <w:szCs w:val="21"/>
        </w:rPr>
      </w:pPr>
      <w:bookmarkStart w:id="7" w:name="_Ref16493"/>
      <w:r>
        <w:rPr>
          <w:rFonts w:hint="eastAsia"/>
          <w:szCs w:val="21"/>
        </w:rPr>
        <w:t>K. TOCZÉ and S. NADJM-TEHRANI. A Taxonomy for Management and Optimization of Multiple Resources in Edge Computing[J]. Wireless Communications and Mobile Computing, 2018, 2018.</w:t>
      </w:r>
      <w:bookmarkEnd w:id="7"/>
    </w:p>
    <w:p w14:paraId="458FA275">
      <w:pPr>
        <w:widowControl/>
        <w:numPr>
          <w:ilvl w:val="0"/>
          <w:numId w:val="1"/>
        </w:numPr>
        <w:spacing w:line="360" w:lineRule="auto"/>
        <w:rPr>
          <w:rFonts w:hint="eastAsia"/>
          <w:szCs w:val="21"/>
        </w:rPr>
      </w:pPr>
      <w:bookmarkStart w:id="8" w:name="_Ref17293"/>
      <w:r>
        <w:rPr>
          <w:rFonts w:hint="eastAsia"/>
          <w:szCs w:val="21"/>
        </w:rPr>
        <w:t>H. TOPCUOGLU, S. HARIRI, and M.-Y. WU. Performance-effective and low-complexity task scheduling for heterogeneous computing[J]. IEEE Transactions on Parallel and Distributed Systems, 2002, 13(3): 260-274.</w:t>
      </w:r>
      <w:bookmarkEnd w:id="8"/>
    </w:p>
    <w:p w14:paraId="652637CA">
      <w:pPr>
        <w:widowControl/>
        <w:numPr>
          <w:ilvl w:val="0"/>
          <w:numId w:val="1"/>
        </w:numPr>
        <w:spacing w:line="360" w:lineRule="auto"/>
        <w:rPr>
          <w:rFonts w:hint="eastAsia"/>
          <w:szCs w:val="21"/>
        </w:rPr>
      </w:pPr>
      <w:bookmarkStart w:id="9" w:name="_Ref25150"/>
      <w:r>
        <w:rPr>
          <w:rFonts w:hint="eastAsia"/>
          <w:szCs w:val="21"/>
        </w:rPr>
        <w:t>施建锋,陈忻阳,李宝龙.面向物联网的云边端协同计算中任务卸载与资源分配算法研究[J].电子与信息学报,2025,47(02):458-469.</w:t>
      </w:r>
      <w:bookmarkEnd w:id="9"/>
    </w:p>
    <w:p w14:paraId="58ADAD67">
      <w:pPr>
        <w:widowControl/>
        <w:numPr>
          <w:ilvl w:val="0"/>
          <w:numId w:val="1"/>
        </w:numPr>
        <w:spacing w:line="360" w:lineRule="auto"/>
        <w:rPr>
          <w:rFonts w:hint="eastAsia"/>
          <w:szCs w:val="21"/>
        </w:rPr>
      </w:pPr>
      <w:bookmarkStart w:id="10" w:name="_Ref25352"/>
      <w:r>
        <w:rPr>
          <w:rFonts w:hint="eastAsia"/>
          <w:szCs w:val="21"/>
        </w:rPr>
        <w:t>王汝言,杨安琪,吴大鹏,等.异步移动边缘计算网络中的联合任务调度与计算资源分配优化策略[J].电子与信息学报,2025,47(02):470-479.</w:t>
      </w:r>
      <w:bookmarkEnd w:id="10"/>
    </w:p>
    <w:p w14:paraId="719C485D">
      <w:pPr>
        <w:widowControl/>
        <w:numPr>
          <w:ilvl w:val="0"/>
          <w:numId w:val="1"/>
        </w:numPr>
        <w:spacing w:line="360" w:lineRule="auto"/>
        <w:rPr>
          <w:rFonts w:hint="eastAsia"/>
          <w:szCs w:val="21"/>
        </w:rPr>
      </w:pPr>
      <w:bookmarkStart w:id="11" w:name="_Ref25604"/>
      <w:r>
        <w:rPr>
          <w:rFonts w:hint="eastAsia"/>
          <w:szCs w:val="21"/>
        </w:rPr>
        <w:t>W. LIU.Resource scheduling algorithm</w:t>
      </w:r>
      <w:r>
        <w:rPr>
          <w:rFonts w:hint="eastAsia"/>
          <w:szCs w:val="21"/>
          <w:lang w:val="en-US" w:eastAsia="zh-CN"/>
        </w:rPr>
        <w:t xml:space="preserve"> </w:t>
      </w:r>
      <w:r>
        <w:rPr>
          <w:rFonts w:hint="eastAsia"/>
          <w:szCs w:val="21"/>
        </w:rPr>
        <w:t>for edge computing networks based on multi-objective optimization[J]. Applied Sciences, 2025, 15(19): 10837.</w:t>
      </w:r>
      <w:bookmarkEnd w:id="11"/>
    </w:p>
    <w:p w14:paraId="3470872C">
      <w:pPr>
        <w:widowControl/>
        <w:numPr>
          <w:ilvl w:val="0"/>
          <w:numId w:val="1"/>
        </w:numPr>
        <w:spacing w:line="360" w:lineRule="auto"/>
        <w:rPr>
          <w:rFonts w:hint="eastAsia"/>
          <w:szCs w:val="21"/>
        </w:rPr>
      </w:pPr>
      <w:bookmarkStart w:id="12" w:name="_Ref25790"/>
      <w:r>
        <w:rPr>
          <w:rFonts w:hint="eastAsia"/>
          <w:szCs w:val="21"/>
        </w:rPr>
        <w:t>王静,谢鲲,曾鑫,等.基于强化学习的算力网络管理和调度[J].计算机学报,2025,48(11):2713-2734.</w:t>
      </w:r>
      <w:bookmarkEnd w:id="12"/>
    </w:p>
    <w:p w14:paraId="20782A02">
      <w:pPr>
        <w:widowControl/>
        <w:numPr>
          <w:ilvl w:val="0"/>
          <w:numId w:val="1"/>
        </w:numPr>
        <w:spacing w:line="360" w:lineRule="auto"/>
        <w:rPr>
          <w:rFonts w:hint="eastAsia"/>
          <w:szCs w:val="21"/>
        </w:rPr>
      </w:pPr>
      <w:bookmarkStart w:id="13" w:name="_Ref26182"/>
      <w:r>
        <w:rPr>
          <w:rFonts w:hint="eastAsia"/>
          <w:szCs w:val="21"/>
        </w:rPr>
        <w:t>李斌,杨冬东.同时透射反射可重构智能表面赋能移动边缘计算任务卸载研究[J].电子与信息学报,2025,47(02):418-426.</w:t>
      </w:r>
      <w:bookmarkEnd w:id="13"/>
    </w:p>
    <w:p w14:paraId="47C8387A">
      <w:pPr>
        <w:widowControl/>
        <w:numPr>
          <w:ilvl w:val="0"/>
          <w:numId w:val="1"/>
        </w:numPr>
        <w:spacing w:line="360" w:lineRule="auto"/>
        <w:rPr>
          <w:rFonts w:hint="eastAsia"/>
          <w:szCs w:val="21"/>
        </w:rPr>
      </w:pPr>
      <w:bookmarkStart w:id="14" w:name="_Ref29349"/>
      <w:r>
        <w:rPr>
          <w:rFonts w:hint="eastAsia"/>
          <w:szCs w:val="21"/>
        </w:rPr>
        <w:t>J. YU, S. LIU, Y. ZOU, et al. Auction Theory and Game Theory Based Pricing of Edge Computing Resources: A Survey[J]. IEEE Internet of Things Journal, 2025, 12(16): 32394-32418.</w:t>
      </w:r>
      <w:bookmarkEnd w:id="14"/>
    </w:p>
    <w:p w14:paraId="5EB22563">
      <w:pPr>
        <w:widowControl/>
        <w:numPr>
          <w:ilvl w:val="0"/>
          <w:numId w:val="1"/>
        </w:numPr>
        <w:spacing w:line="360" w:lineRule="auto"/>
        <w:rPr>
          <w:rFonts w:hint="eastAsia"/>
          <w:szCs w:val="21"/>
        </w:rPr>
      </w:pPr>
      <w:bookmarkStart w:id="15" w:name="_Ref28099"/>
      <w:r>
        <w:rPr>
          <w:rFonts w:hint="eastAsia"/>
          <w:szCs w:val="21"/>
        </w:rPr>
        <w:t>汪建洲,付晓东,丁家满,等.基于双边拍卖的多基站移动边缘计算资源分配方法[J].软件学报,2025,36(10):4792-4811.DOI:10.13328/j.cnki.jos.007295.</w:t>
      </w:r>
      <w:bookmarkEnd w:id="15"/>
    </w:p>
    <w:p w14:paraId="388EFDB8">
      <w:pPr>
        <w:widowControl/>
        <w:numPr>
          <w:ilvl w:val="0"/>
          <w:numId w:val="1"/>
        </w:numPr>
        <w:spacing w:line="360" w:lineRule="auto"/>
        <w:rPr>
          <w:rFonts w:hint="eastAsia"/>
          <w:szCs w:val="21"/>
        </w:rPr>
      </w:pPr>
      <w:bookmarkStart w:id="16" w:name="_Ref28788"/>
      <w:r>
        <w:rPr>
          <w:rFonts w:hint="eastAsia"/>
          <w:szCs w:val="21"/>
        </w:rPr>
        <w:t>X. WANG, et al. Truthful Online Combinatorial Auction-Based Mechanisms for Task Offloading in Mobile Edge Computing[J]. IEEE Transactions on Mobile Computing, 2025, 24(7): 6488-6502.</w:t>
      </w:r>
      <w:bookmarkEnd w:id="16"/>
    </w:p>
    <w:p w14:paraId="00A676AA">
      <w:pPr>
        <w:widowControl/>
        <w:numPr>
          <w:ilvl w:val="0"/>
          <w:numId w:val="1"/>
        </w:numPr>
        <w:spacing w:line="360" w:lineRule="auto"/>
        <w:rPr>
          <w:rFonts w:hint="eastAsia"/>
          <w:szCs w:val="21"/>
        </w:rPr>
      </w:pPr>
      <w:bookmarkStart w:id="17" w:name="_Ref30999"/>
      <w:r>
        <w:rPr>
          <w:rFonts w:hint="eastAsia"/>
          <w:szCs w:val="21"/>
        </w:rPr>
        <w:t>A. YOUSEFPOUR, C. FUNG, T. NGUYEN, et al. All one needs to know about fog computing and related edge computing paradigms: A complete survey[J]. Journal of Systems Architecture, 2019, 98: 289-330.</w:t>
      </w:r>
      <w:bookmarkEnd w:id="17"/>
    </w:p>
    <w:p w14:paraId="28A5041F">
      <w:pPr>
        <w:widowControl/>
        <w:numPr>
          <w:ilvl w:val="0"/>
          <w:numId w:val="1"/>
        </w:numPr>
        <w:spacing w:line="360" w:lineRule="auto"/>
        <w:rPr>
          <w:rFonts w:hint="eastAsia"/>
          <w:szCs w:val="21"/>
        </w:rPr>
      </w:pPr>
      <w:bookmarkStart w:id="18" w:name="_Ref31025"/>
      <w:r>
        <w:rPr>
          <w:rFonts w:hint="eastAsia"/>
          <w:szCs w:val="21"/>
        </w:rPr>
        <w:t>R. GHAFARI and N. MANSOURI. Swarm intelligence techniques and their applications in fog/edge computing: an in-depth review[J]. Artificial Intelligence Review, 2025, 58(11): 359.</w:t>
      </w:r>
      <w:bookmarkEnd w:id="18"/>
    </w:p>
    <w:p w14:paraId="408857D4">
      <w:pPr>
        <w:widowControl/>
        <w:numPr>
          <w:ilvl w:val="0"/>
          <w:numId w:val="1"/>
        </w:numPr>
        <w:spacing w:line="360" w:lineRule="auto"/>
        <w:rPr>
          <w:rFonts w:hint="eastAsia"/>
          <w:szCs w:val="21"/>
        </w:rPr>
      </w:pPr>
      <w:bookmarkStart w:id="19" w:name="_Ref31959"/>
      <w:r>
        <w:rPr>
          <w:rFonts w:hint="eastAsia"/>
          <w:szCs w:val="21"/>
        </w:rPr>
        <w:t>J. KENNEDY and R. EBERHART. Particle swarm optimization[C]// Proceedings of the IEEE International Conference on Neural Networks (ICNN), Perth, WA, Australia, 1995, 4: 1942-1948.</w:t>
      </w:r>
      <w:bookmarkEnd w:id="19"/>
    </w:p>
    <w:p w14:paraId="12F9CB88">
      <w:pPr>
        <w:widowControl/>
        <w:numPr>
          <w:ilvl w:val="0"/>
          <w:numId w:val="1"/>
        </w:numPr>
        <w:spacing w:line="360" w:lineRule="auto"/>
        <w:rPr>
          <w:rFonts w:hint="eastAsia"/>
          <w:szCs w:val="21"/>
        </w:rPr>
      </w:pPr>
      <w:bookmarkStart w:id="20" w:name="_Ref32612"/>
      <w:r>
        <w:rPr>
          <w:rFonts w:hint="eastAsia"/>
          <w:szCs w:val="21"/>
        </w:rPr>
        <w:t>D. KARABOĞA and B. BASTURK. A powerful and efficient algorithm for numerical function optimization: artificial bee colony (ABC) algorithm[J]. Journal of Global Optimization, 2007, 39: 459-471.</w:t>
      </w:r>
      <w:bookmarkEnd w:id="20"/>
    </w:p>
    <w:p w14:paraId="4D95B8B0">
      <w:pPr>
        <w:tabs>
          <w:tab w:val="left" w:pos="0"/>
        </w:tabs>
        <w:spacing w:line="360" w:lineRule="auto"/>
        <w:ind w:left="420"/>
        <w:rPr>
          <w:b/>
          <w:szCs w:val="21"/>
        </w:rPr>
      </w:pPr>
      <w:r>
        <w:rPr>
          <w:rFonts w:hint="eastAsia"/>
          <w:b/>
          <w:szCs w:val="21"/>
        </w:rPr>
        <w:t>[作者简介]</w:t>
      </w:r>
    </w:p>
    <w:p w14:paraId="77F70392">
      <w:pPr>
        <w:tabs>
          <w:tab w:val="left" w:pos="0"/>
        </w:tabs>
        <w:spacing w:line="360" w:lineRule="auto"/>
        <w:ind w:left="420"/>
        <w:rPr>
          <w:szCs w:val="21"/>
        </w:rPr>
      </w:pPr>
      <w:r>
        <w:rPr>
          <w:rFonts w:hint="eastAsia" w:eastAsia="黑体"/>
          <w:bCs/>
          <w:color w:val="000000"/>
          <w:sz w:val="18"/>
        </w:rPr>
        <w:drawing>
          <wp:inline distT="0" distB="0" distL="114300" distR="114300">
            <wp:extent cx="793115" cy="1080135"/>
            <wp:effectExtent l="0" t="0" r="6985" b="12065"/>
            <wp:docPr id="4" name="图片 78" descr="申请者本人证件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8" descr="申请者本人证件照"/>
                    <pic:cNvPicPr>
                      <a:picLocks noChangeAspect="1"/>
                    </pic:cNvPicPr>
                  </pic:nvPicPr>
                  <pic:blipFill>
                    <a:blip r:embed="rId14"/>
                    <a:stretch>
                      <a:fillRect/>
                    </a:stretch>
                  </pic:blipFill>
                  <pic:spPr>
                    <a:xfrm>
                      <a:off x="0" y="0"/>
                      <a:ext cx="793115" cy="1080135"/>
                    </a:xfrm>
                    <a:prstGeom prst="rect">
                      <a:avLst/>
                    </a:prstGeom>
                    <a:noFill/>
                    <a:ln>
                      <a:noFill/>
                    </a:ln>
                  </pic:spPr>
                </pic:pic>
              </a:graphicData>
            </a:graphic>
          </wp:inline>
        </w:drawing>
      </w:r>
    </w:p>
    <w:p w14:paraId="63E410DB">
      <w:pPr>
        <w:tabs>
          <w:tab w:val="left" w:pos="0"/>
        </w:tabs>
        <w:spacing w:line="360" w:lineRule="auto"/>
        <w:ind w:left="420"/>
        <w:rPr>
          <w:rFonts w:hint="eastAsia"/>
          <w:szCs w:val="21"/>
        </w:rPr>
      </w:pPr>
      <w:r>
        <w:rPr>
          <w:rFonts w:hint="eastAsia"/>
          <w:szCs w:val="21"/>
        </w:rPr>
        <w:t>诸葛斌（1976-），男，博士，浙江工商大学信息与电子工程学院（萨塞克斯人工智能学院）教授，主要研究方向为网络与通信技术、互联网技术和网络安全。</w:t>
      </w:r>
    </w:p>
    <w:p w14:paraId="31FF1391">
      <w:pPr>
        <w:tabs>
          <w:tab w:val="left" w:pos="0"/>
        </w:tabs>
        <w:spacing w:line="360" w:lineRule="auto"/>
        <w:ind w:left="420"/>
        <w:rPr>
          <w:szCs w:val="21"/>
        </w:rPr>
      </w:pPr>
      <w:r>
        <w:rPr>
          <w:rFonts w:hint="eastAsia"/>
          <w:szCs w:val="21"/>
        </w:rPr>
        <w:drawing>
          <wp:inline distT="0" distB="0" distL="114300" distR="114300">
            <wp:extent cx="782320" cy="1080135"/>
            <wp:effectExtent l="0" t="0" r="5080" b="12065"/>
            <wp:docPr id="21" name="图片 21" descr="微信图片_20250910115211_186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微信图片_20250910115211_186_30"/>
                    <pic:cNvPicPr>
                      <a:picLocks noChangeAspect="1"/>
                    </pic:cNvPicPr>
                  </pic:nvPicPr>
                  <pic:blipFill>
                    <a:blip r:embed="rId15"/>
                    <a:stretch>
                      <a:fillRect/>
                    </a:stretch>
                  </pic:blipFill>
                  <pic:spPr>
                    <a:xfrm>
                      <a:off x="0" y="0"/>
                      <a:ext cx="782320" cy="1080135"/>
                    </a:xfrm>
                    <a:prstGeom prst="rect">
                      <a:avLst/>
                    </a:prstGeom>
                  </pic:spPr>
                </pic:pic>
              </a:graphicData>
            </a:graphic>
          </wp:inline>
        </w:drawing>
      </w:r>
    </w:p>
    <w:p w14:paraId="219E7692">
      <w:pPr>
        <w:tabs>
          <w:tab w:val="left" w:pos="0"/>
        </w:tabs>
        <w:spacing w:line="360" w:lineRule="auto"/>
        <w:ind w:left="420"/>
        <w:rPr>
          <w:szCs w:val="21"/>
        </w:rPr>
      </w:pPr>
      <w:r>
        <w:rPr>
          <w:rFonts w:hint="eastAsia"/>
          <w:szCs w:val="21"/>
        </w:rPr>
        <w:t>李祖权（2002-），男，硕士研究生，浙江工商大学信息与电子工程学院（萨塞克斯人工智能学院），主要研究方向为数据资源调度。</w:t>
      </w:r>
    </w:p>
    <w:p w14:paraId="57379129">
      <w:pPr>
        <w:tabs>
          <w:tab w:val="left" w:pos="0"/>
        </w:tabs>
        <w:spacing w:line="360" w:lineRule="auto"/>
        <w:ind w:left="420"/>
        <w:rPr>
          <w:szCs w:val="21"/>
        </w:rPr>
      </w:pPr>
      <w:r>
        <w:rPr>
          <w:rFonts w:hint="eastAsia" w:ascii="Verdana" w:hAnsi="Verdana"/>
          <w:iCs/>
          <w:color w:val="000000"/>
          <w:sz w:val="24"/>
          <w:shd w:val="clear" w:color="auto" w:fill="FFFFFF"/>
        </w:rPr>
        <w:drawing>
          <wp:inline distT="0" distB="0" distL="114300" distR="114300">
            <wp:extent cx="852170" cy="1137285"/>
            <wp:effectExtent l="0" t="0" r="11430" b="5715"/>
            <wp:docPr id="17" name="图片 79" descr="mmexport1665304127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9" descr="mmexport1665304127637"/>
                    <pic:cNvPicPr>
                      <a:picLocks noChangeAspect="1"/>
                    </pic:cNvPicPr>
                  </pic:nvPicPr>
                  <pic:blipFill>
                    <a:blip r:embed="rId16"/>
                    <a:stretch>
                      <a:fillRect/>
                    </a:stretch>
                  </pic:blipFill>
                  <pic:spPr>
                    <a:xfrm>
                      <a:off x="0" y="0"/>
                      <a:ext cx="852170" cy="1137285"/>
                    </a:xfrm>
                    <a:prstGeom prst="rect">
                      <a:avLst/>
                    </a:prstGeom>
                    <a:noFill/>
                    <a:ln>
                      <a:noFill/>
                    </a:ln>
                  </pic:spPr>
                </pic:pic>
              </a:graphicData>
            </a:graphic>
          </wp:inline>
        </w:drawing>
      </w:r>
    </w:p>
    <w:p w14:paraId="09C8AEBC">
      <w:pPr>
        <w:tabs>
          <w:tab w:val="left" w:pos="0"/>
        </w:tabs>
        <w:spacing w:line="360" w:lineRule="auto"/>
        <w:ind w:left="420"/>
        <w:rPr>
          <w:szCs w:val="21"/>
        </w:rPr>
      </w:pPr>
      <w:r>
        <w:rPr>
          <w:rFonts w:hint="eastAsia"/>
          <w:szCs w:val="21"/>
        </w:rPr>
        <w:t>潘婷婷（2000-），女，硕士研究生，浙江工商大学信息与电子工程学院（萨塞克斯人工智能学院），主要研究方向为数据资源调度、智慧网络。</w:t>
      </w:r>
    </w:p>
    <w:p w14:paraId="2D23FE76">
      <w:pPr>
        <w:tabs>
          <w:tab w:val="left" w:pos="0"/>
        </w:tabs>
        <w:spacing w:line="360" w:lineRule="auto"/>
        <w:ind w:left="420"/>
        <w:rPr>
          <w:szCs w:val="21"/>
        </w:rPr>
      </w:pPr>
      <w:r>
        <w:rPr>
          <w:rFonts w:hint="eastAsia"/>
          <w:b/>
          <w:bCs/>
          <w:szCs w:val="21"/>
        </w:rPr>
        <w:drawing>
          <wp:inline distT="0" distB="0" distL="114300" distR="114300">
            <wp:extent cx="767715" cy="1080135"/>
            <wp:effectExtent l="0" t="0" r="6985" b="12065"/>
            <wp:docPr id="18"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0"/>
                    <pic:cNvPicPr>
                      <a:picLocks noChangeAspect="1"/>
                    </pic:cNvPicPr>
                  </pic:nvPicPr>
                  <pic:blipFill>
                    <a:blip r:embed="rId17"/>
                    <a:stretch>
                      <a:fillRect/>
                    </a:stretch>
                  </pic:blipFill>
                  <pic:spPr>
                    <a:xfrm>
                      <a:off x="0" y="0"/>
                      <a:ext cx="767715" cy="1080135"/>
                    </a:xfrm>
                    <a:prstGeom prst="rect">
                      <a:avLst/>
                    </a:prstGeom>
                    <a:noFill/>
                    <a:ln>
                      <a:noFill/>
                    </a:ln>
                  </pic:spPr>
                </pic:pic>
              </a:graphicData>
            </a:graphic>
          </wp:inline>
        </w:drawing>
      </w:r>
    </w:p>
    <w:p w14:paraId="58E5ADD0">
      <w:pPr>
        <w:tabs>
          <w:tab w:val="left" w:pos="0"/>
        </w:tabs>
        <w:spacing w:line="360" w:lineRule="auto"/>
        <w:ind w:left="420"/>
        <w:rPr>
          <w:szCs w:val="21"/>
        </w:rPr>
      </w:pPr>
      <w:r>
        <w:rPr>
          <w:rFonts w:hint="eastAsia"/>
          <w:szCs w:val="21"/>
        </w:rPr>
        <w:t>张子天（1988-），男，博士，浙江工商大学信息与电子工程学院（萨塞克斯人工智能学院）副研究员，主要研究方向为基于人工智能的网络流量预测与资源管理。</w:t>
      </w:r>
    </w:p>
    <w:p w14:paraId="4F792445">
      <w:pPr>
        <w:tabs>
          <w:tab w:val="left" w:pos="0"/>
        </w:tabs>
        <w:spacing w:line="360" w:lineRule="auto"/>
        <w:ind w:left="420"/>
        <w:rPr>
          <w:szCs w:val="21"/>
        </w:rPr>
      </w:pPr>
      <w:r>
        <w:rPr>
          <w:b/>
          <w:bCs/>
          <w:szCs w:val="21"/>
        </w:rPr>
        <w:drawing>
          <wp:inline distT="0" distB="0" distL="114300" distR="114300">
            <wp:extent cx="847090" cy="1080135"/>
            <wp:effectExtent l="0" t="0" r="3810" b="12065"/>
            <wp:docPr id="20"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2"/>
                    <pic:cNvPicPr>
                      <a:picLocks noChangeAspect="1"/>
                    </pic:cNvPicPr>
                  </pic:nvPicPr>
                  <pic:blipFill>
                    <a:blip r:embed="rId18"/>
                    <a:stretch>
                      <a:fillRect/>
                    </a:stretch>
                  </pic:blipFill>
                  <pic:spPr>
                    <a:xfrm>
                      <a:off x="0" y="0"/>
                      <a:ext cx="847090" cy="1080135"/>
                    </a:xfrm>
                    <a:prstGeom prst="rect">
                      <a:avLst/>
                    </a:prstGeom>
                    <a:noFill/>
                    <a:ln>
                      <a:noFill/>
                    </a:ln>
                  </pic:spPr>
                </pic:pic>
              </a:graphicData>
            </a:graphic>
          </wp:inline>
        </w:drawing>
      </w:r>
    </w:p>
    <w:p w14:paraId="7571504B">
      <w:pPr>
        <w:tabs>
          <w:tab w:val="left" w:pos="0"/>
        </w:tabs>
        <w:spacing w:line="360" w:lineRule="auto"/>
        <w:ind w:left="420"/>
        <w:rPr>
          <w:rFonts w:hint="eastAsia"/>
          <w:szCs w:val="21"/>
        </w:rPr>
      </w:pPr>
      <w:r>
        <w:rPr>
          <w:rFonts w:hint="eastAsia"/>
          <w:szCs w:val="21"/>
        </w:rPr>
        <w:t>蒋献（1988-），男，浙江工商大学信息与电子工程学院（萨塞克斯人工智能学院）实验师，主要研究方向为智慧网络。</w:t>
      </w:r>
    </w:p>
    <w:p w14:paraId="526C1123">
      <w:pPr>
        <w:tabs>
          <w:tab w:val="left" w:pos="0"/>
        </w:tabs>
        <w:spacing w:line="360" w:lineRule="auto"/>
        <w:ind w:left="420"/>
        <w:rPr>
          <w:szCs w:val="21"/>
        </w:rPr>
      </w:pPr>
      <w:r>
        <w:rPr>
          <w:rFonts w:hint="eastAsia"/>
          <w:color w:val="000000"/>
          <w:sz w:val="18"/>
          <w:szCs w:val="18"/>
        </w:rPr>
        <w:drawing>
          <wp:inline distT="0" distB="0" distL="114300" distR="114300">
            <wp:extent cx="895350" cy="1080135"/>
            <wp:effectExtent l="0" t="0" r="6350" b="12065"/>
            <wp:docPr id="19" name="图片 81" descr="d4a70485a3226168b3bb9b859929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1" descr="d4a70485a3226168b3bb9b859929046"/>
                    <pic:cNvPicPr>
                      <a:picLocks noChangeAspect="1"/>
                    </pic:cNvPicPr>
                  </pic:nvPicPr>
                  <pic:blipFill>
                    <a:blip r:embed="rId19"/>
                    <a:stretch>
                      <a:fillRect/>
                    </a:stretch>
                  </pic:blipFill>
                  <pic:spPr>
                    <a:xfrm>
                      <a:off x="0" y="0"/>
                      <a:ext cx="895350" cy="1080135"/>
                    </a:xfrm>
                    <a:prstGeom prst="rect">
                      <a:avLst/>
                    </a:prstGeom>
                    <a:noFill/>
                    <a:ln>
                      <a:noFill/>
                    </a:ln>
                  </pic:spPr>
                </pic:pic>
              </a:graphicData>
            </a:graphic>
          </wp:inline>
        </w:drawing>
      </w:r>
    </w:p>
    <w:p w14:paraId="05FA9267">
      <w:pPr>
        <w:tabs>
          <w:tab w:val="left" w:pos="0"/>
        </w:tabs>
        <w:spacing w:line="360" w:lineRule="auto"/>
        <w:ind w:left="420"/>
        <w:rPr>
          <w:szCs w:val="21"/>
        </w:rPr>
      </w:pPr>
      <w:r>
        <w:rPr>
          <w:rFonts w:hint="eastAsia"/>
          <w:szCs w:val="21"/>
        </w:rPr>
        <w:t>董黎刚（1973-），男，博士，浙江工商大学信息与电子工程学院（萨塞克斯人工智能学院）教授， IEEE和IEEE-CS成员，中国电子学会高级会员，浙江计算机学会理事，主要研究方向为基于大数据与深度学习的智慧网络与智慧教育及分布式系统理论。</w:t>
      </w:r>
    </w:p>
    <w:sectPr>
      <w:footerReference r:id="rId4" w:type="first"/>
      <w:headerReference r:id="rId3" w:type="default"/>
      <w:pgSz w:w="11906" w:h="16838"/>
      <w:pgMar w:top="851" w:right="1134" w:bottom="851" w:left="1134"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KSOFE99145AC">
    <w:panose1 w:val="020B060402020209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D49C0">
    <w:pPr>
      <w:pStyle w:val="9"/>
      <w:rPr>
        <w:rStyle w:val="18"/>
      </w:rPr>
    </w:pPr>
    <w:r>
      <w:rPr>
        <w:rFonts w:hint="eastAsia"/>
        <w:b/>
      </w:rPr>
      <w:t>收稿日期：</w:t>
    </w:r>
    <w:r>
      <w:rPr>
        <w:rFonts w:hint="eastAsia"/>
      </w:rPr>
      <w:t>；</w:t>
    </w:r>
    <w:r>
      <w:rPr>
        <w:rFonts w:hint="eastAsia"/>
        <w:b/>
      </w:rPr>
      <w:t>修回日期：</w:t>
    </w:r>
    <w:r>
      <w:rPr>
        <w:rStyle w:val="18"/>
      </w:rPr>
      <w:sym w:font="Symbol" w:char="F020"/>
    </w:r>
  </w:p>
  <w:p w14:paraId="1CE99574">
    <w:pPr>
      <w:pStyle w:val="9"/>
      <w:rPr>
        <w:rStyle w:val="18"/>
      </w:rPr>
    </w:pPr>
    <w:r>
      <w:rPr>
        <w:rFonts w:hint="eastAsia"/>
        <w:b/>
        <w:bCs/>
      </w:rPr>
      <w:t>通信作者：</w:t>
    </w:r>
    <w:r>
      <w:rPr>
        <w:rFonts w:hint="eastAsia"/>
      </w:rPr>
      <w:t>诸葛斌，zhugebin@mail.zjgsu.edu.cn</w:t>
    </w:r>
  </w:p>
  <w:p w14:paraId="797F7A63">
    <w:pPr>
      <w:pStyle w:val="9"/>
    </w:pPr>
    <w:r>
      <w:rPr>
        <w:rFonts w:hint="eastAsia"/>
        <w:b/>
      </w:rPr>
      <w:t>基金项目：</w:t>
    </w:r>
    <w:r>
      <w:rPr>
        <w:rFonts w:hint="eastAsia"/>
      </w:rPr>
      <w:t>国家自然科学基金(No. W2421086, 61871468)；浙江省科技创新重点项目（2023R5211）；浙江省</w:t>
    </w:r>
    <w:r>
      <w:rPr>
        <w:rFonts w:hint="eastAsia"/>
        <w:lang w:val="en-US" w:eastAsia="zh-CN"/>
      </w:rPr>
      <w:t>自</w:t>
    </w:r>
    <w:r>
      <w:rPr>
        <w:rFonts w:hint="eastAsia"/>
      </w:rPr>
      <w:t>然科学基⾦(LZ23F010003）；浙江省重点研发计划（2025C02038）；桐乡通用人工智能研究院项目（NO.TAGI2-B-2024-0014）；浙江省新型网络标准及应用技术重点实验室（2013E10012）</w:t>
    </w:r>
  </w:p>
  <w:p w14:paraId="0C7BD153">
    <w:pPr>
      <w:pStyle w:val="9"/>
    </w:pPr>
    <w:r>
      <w:rPr>
        <w:rFonts w:hint="eastAsia"/>
        <w:b/>
      </w:rPr>
      <w:t>Foundation Items：</w:t>
    </w:r>
    <w:r>
      <w:rPr>
        <w:rFonts w:hint="eastAsia"/>
      </w:rPr>
      <w:t>National Natural Science Foundation of China (Grant Nos. W2421086, 61871468)；Key Science and Technology Innovation Project of Zhejiang Province (Grant No. 2023R5211)；Natural Science Foundation of Zhejiang Province (Grant No. LZ23F010003)；Key R&amp;D Program of Zhejiang Province (Grant No. 2025C02038)；Project of Tongxiang General Artificial Intelligence Research Institute (Grant No. TAGI2-B-2024-0014)；Zhejiang Provincial Key Laboratory of New Network Standards and Application Technology (Grant No. 2013E10012).</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3564">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1C13F2"/>
    <w:multiLevelType w:val="multilevel"/>
    <w:tmpl w:val="271C13F2"/>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YxM2JkZDdiNWM5Y2I4ZDg0YmZkYzg4YTMyZGZjZjQifQ=="/>
  </w:docVars>
  <w:rsids>
    <w:rsidRoot w:val="0010711C"/>
    <w:rsid w:val="000154B6"/>
    <w:rsid w:val="00030EBD"/>
    <w:rsid w:val="0008711D"/>
    <w:rsid w:val="000A1919"/>
    <w:rsid w:val="000C1B6A"/>
    <w:rsid w:val="00100838"/>
    <w:rsid w:val="0010711C"/>
    <w:rsid w:val="001102A3"/>
    <w:rsid w:val="0011060F"/>
    <w:rsid w:val="00170AEE"/>
    <w:rsid w:val="001A236E"/>
    <w:rsid w:val="00261264"/>
    <w:rsid w:val="00286ACA"/>
    <w:rsid w:val="00292042"/>
    <w:rsid w:val="002D3D2D"/>
    <w:rsid w:val="002E4FB4"/>
    <w:rsid w:val="00300EAE"/>
    <w:rsid w:val="00351C1B"/>
    <w:rsid w:val="00352377"/>
    <w:rsid w:val="00371E2B"/>
    <w:rsid w:val="003A2819"/>
    <w:rsid w:val="003D453F"/>
    <w:rsid w:val="003F749B"/>
    <w:rsid w:val="00517BA2"/>
    <w:rsid w:val="005253EC"/>
    <w:rsid w:val="00583DB2"/>
    <w:rsid w:val="005E69AA"/>
    <w:rsid w:val="0060215B"/>
    <w:rsid w:val="00602FF9"/>
    <w:rsid w:val="00616301"/>
    <w:rsid w:val="00630179"/>
    <w:rsid w:val="006372E1"/>
    <w:rsid w:val="00667FA9"/>
    <w:rsid w:val="007375D6"/>
    <w:rsid w:val="007646FA"/>
    <w:rsid w:val="00775FB9"/>
    <w:rsid w:val="00790340"/>
    <w:rsid w:val="00797578"/>
    <w:rsid w:val="00803AA0"/>
    <w:rsid w:val="00820733"/>
    <w:rsid w:val="00820924"/>
    <w:rsid w:val="008259F7"/>
    <w:rsid w:val="00887BCB"/>
    <w:rsid w:val="008A5F07"/>
    <w:rsid w:val="008C4402"/>
    <w:rsid w:val="008D251C"/>
    <w:rsid w:val="00941732"/>
    <w:rsid w:val="009A6CBB"/>
    <w:rsid w:val="009C2287"/>
    <w:rsid w:val="009D3EED"/>
    <w:rsid w:val="009D7D38"/>
    <w:rsid w:val="009E34F2"/>
    <w:rsid w:val="009F2538"/>
    <w:rsid w:val="00A13E99"/>
    <w:rsid w:val="00A20E16"/>
    <w:rsid w:val="00A8781F"/>
    <w:rsid w:val="00B14AF1"/>
    <w:rsid w:val="00B214BA"/>
    <w:rsid w:val="00BA4527"/>
    <w:rsid w:val="00BD5F6A"/>
    <w:rsid w:val="00D45E22"/>
    <w:rsid w:val="00ED16B0"/>
    <w:rsid w:val="00F24DC4"/>
    <w:rsid w:val="00F810D8"/>
    <w:rsid w:val="00FA36C2"/>
    <w:rsid w:val="00FD7C5F"/>
    <w:rsid w:val="01BD17FD"/>
    <w:rsid w:val="021D04ED"/>
    <w:rsid w:val="04046F21"/>
    <w:rsid w:val="05BA059B"/>
    <w:rsid w:val="09C86F91"/>
    <w:rsid w:val="0DAD1F84"/>
    <w:rsid w:val="0E2D7D0A"/>
    <w:rsid w:val="10926ED1"/>
    <w:rsid w:val="1B3C158C"/>
    <w:rsid w:val="1D2815CA"/>
    <w:rsid w:val="1DCA10D2"/>
    <w:rsid w:val="23127927"/>
    <w:rsid w:val="24F829C8"/>
    <w:rsid w:val="27EE1E60"/>
    <w:rsid w:val="28AA3FD9"/>
    <w:rsid w:val="293B10D5"/>
    <w:rsid w:val="29B97255"/>
    <w:rsid w:val="2A224043"/>
    <w:rsid w:val="2D32459D"/>
    <w:rsid w:val="2DEF06E0"/>
    <w:rsid w:val="31335748"/>
    <w:rsid w:val="35CD23C9"/>
    <w:rsid w:val="35E96681"/>
    <w:rsid w:val="3845787B"/>
    <w:rsid w:val="39047736"/>
    <w:rsid w:val="39897C3B"/>
    <w:rsid w:val="401F09B1"/>
    <w:rsid w:val="47A3011A"/>
    <w:rsid w:val="4BB17650"/>
    <w:rsid w:val="4F22401A"/>
    <w:rsid w:val="5A1D0200"/>
    <w:rsid w:val="5CF948B2"/>
    <w:rsid w:val="5FB213EA"/>
    <w:rsid w:val="6082700E"/>
    <w:rsid w:val="62265778"/>
    <w:rsid w:val="65B37C6A"/>
    <w:rsid w:val="69074555"/>
    <w:rsid w:val="6C8639E2"/>
    <w:rsid w:val="6F353ACE"/>
    <w:rsid w:val="71A768D5"/>
    <w:rsid w:val="734E2D80"/>
    <w:rsid w:val="7A7C23DB"/>
    <w:rsid w:val="7AB01E15"/>
    <w:rsid w:val="7ED93E46"/>
    <w:rsid w:val="7F89761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3">
    <w:name w:val="Document Map"/>
    <w:basedOn w:val="1"/>
    <w:link w:val="19"/>
    <w:qFormat/>
    <w:uiPriority w:val="0"/>
    <w:rPr>
      <w:rFonts w:ascii="宋体"/>
      <w:sz w:val="18"/>
      <w:szCs w:val="18"/>
    </w:rPr>
  </w:style>
  <w:style w:type="paragraph" w:styleId="4">
    <w:name w:val="annotation text"/>
    <w:basedOn w:val="1"/>
    <w:link w:val="20"/>
    <w:qFormat/>
    <w:uiPriority w:val="0"/>
    <w:pPr>
      <w:jc w:val="left"/>
    </w:pPr>
  </w:style>
  <w:style w:type="paragraph" w:styleId="5">
    <w:name w:val="endnote text"/>
    <w:basedOn w:val="1"/>
    <w:link w:val="21"/>
    <w:qFormat/>
    <w:uiPriority w:val="0"/>
    <w:pPr>
      <w:snapToGrid w:val="0"/>
      <w:jc w:val="left"/>
    </w:pPr>
  </w:style>
  <w:style w:type="paragraph" w:styleId="6">
    <w:name w:val="Balloon Text"/>
    <w:basedOn w:val="1"/>
    <w:link w:val="22"/>
    <w:qFormat/>
    <w:uiPriority w:val="0"/>
    <w:rPr>
      <w:sz w:val="18"/>
      <w:szCs w:val="18"/>
    </w:rPr>
  </w:style>
  <w:style w:type="paragraph" w:styleId="7">
    <w:name w:val="footer"/>
    <w:basedOn w:val="1"/>
    <w:link w:val="23"/>
    <w:qFormat/>
    <w:uiPriority w:val="0"/>
    <w:pPr>
      <w:tabs>
        <w:tab w:val="center" w:pos="4153"/>
        <w:tab w:val="right" w:pos="8306"/>
      </w:tabs>
      <w:snapToGrid w:val="0"/>
      <w:jc w:val="left"/>
    </w:pPr>
    <w:rPr>
      <w:sz w:val="18"/>
      <w:szCs w:val="18"/>
    </w:rPr>
  </w:style>
  <w:style w:type="paragraph" w:styleId="8">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9">
    <w:name w:val="footnote text"/>
    <w:basedOn w:val="1"/>
    <w:semiHidden/>
    <w:qFormat/>
    <w:uiPriority w:val="0"/>
    <w:pPr>
      <w:snapToGrid w:val="0"/>
      <w:jc w:val="left"/>
    </w:pPr>
    <w:rPr>
      <w:sz w:val="18"/>
      <w:szCs w:val="18"/>
    </w:rPr>
  </w:style>
  <w:style w:type="paragraph" w:styleId="10">
    <w:name w:val="annotation subject"/>
    <w:basedOn w:val="4"/>
    <w:next w:val="4"/>
    <w:link w:val="25"/>
    <w:qFormat/>
    <w:uiPriority w:val="0"/>
    <w:rPr>
      <w:b/>
      <w:bCs/>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endnote reference"/>
    <w:qFormat/>
    <w:uiPriority w:val="0"/>
    <w:rPr>
      <w:vertAlign w:val="superscript"/>
    </w:rPr>
  </w:style>
  <w:style w:type="character" w:styleId="16">
    <w:name w:val="Hyperlink"/>
    <w:qFormat/>
    <w:uiPriority w:val="0"/>
    <w:rPr>
      <w:color w:val="0000FF"/>
      <w:u w:val="single"/>
    </w:rPr>
  </w:style>
  <w:style w:type="character" w:styleId="17">
    <w:name w:val="annotation reference"/>
    <w:qFormat/>
    <w:uiPriority w:val="0"/>
    <w:rPr>
      <w:sz w:val="21"/>
      <w:szCs w:val="21"/>
    </w:rPr>
  </w:style>
  <w:style w:type="character" w:styleId="18">
    <w:name w:val="footnote reference"/>
    <w:semiHidden/>
    <w:qFormat/>
    <w:uiPriority w:val="0"/>
    <w:rPr>
      <w:vertAlign w:val="superscript"/>
    </w:rPr>
  </w:style>
  <w:style w:type="character" w:customStyle="1" w:styleId="19">
    <w:name w:val="文档结构图 Char"/>
    <w:link w:val="3"/>
    <w:qFormat/>
    <w:uiPriority w:val="0"/>
    <w:rPr>
      <w:rFonts w:ascii="宋体"/>
      <w:kern w:val="2"/>
      <w:sz w:val="18"/>
      <w:szCs w:val="18"/>
    </w:rPr>
  </w:style>
  <w:style w:type="character" w:customStyle="1" w:styleId="20">
    <w:name w:val="批注文字 Char"/>
    <w:link w:val="4"/>
    <w:qFormat/>
    <w:uiPriority w:val="0"/>
    <w:rPr>
      <w:kern w:val="2"/>
      <w:sz w:val="21"/>
      <w:szCs w:val="24"/>
    </w:rPr>
  </w:style>
  <w:style w:type="character" w:customStyle="1" w:styleId="21">
    <w:name w:val="尾注文本 Char"/>
    <w:link w:val="5"/>
    <w:qFormat/>
    <w:uiPriority w:val="0"/>
    <w:rPr>
      <w:kern w:val="2"/>
      <w:sz w:val="21"/>
      <w:szCs w:val="24"/>
    </w:rPr>
  </w:style>
  <w:style w:type="character" w:customStyle="1" w:styleId="22">
    <w:name w:val="批注框文本 Char"/>
    <w:link w:val="6"/>
    <w:qFormat/>
    <w:uiPriority w:val="0"/>
    <w:rPr>
      <w:kern w:val="2"/>
      <w:sz w:val="18"/>
      <w:szCs w:val="18"/>
    </w:rPr>
  </w:style>
  <w:style w:type="character" w:customStyle="1" w:styleId="23">
    <w:name w:val="页脚 Char"/>
    <w:link w:val="7"/>
    <w:qFormat/>
    <w:uiPriority w:val="0"/>
    <w:rPr>
      <w:kern w:val="2"/>
      <w:sz w:val="18"/>
      <w:szCs w:val="18"/>
    </w:rPr>
  </w:style>
  <w:style w:type="character" w:customStyle="1" w:styleId="24">
    <w:name w:val="页眉 Char"/>
    <w:link w:val="8"/>
    <w:qFormat/>
    <w:uiPriority w:val="0"/>
    <w:rPr>
      <w:kern w:val="2"/>
      <w:sz w:val="18"/>
      <w:szCs w:val="18"/>
    </w:rPr>
  </w:style>
  <w:style w:type="character" w:customStyle="1" w:styleId="25">
    <w:name w:val="批注主题 Char"/>
    <w:link w:val="10"/>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20</Pages>
  <Words>4947</Words>
  <Characters>5890</Characters>
  <Lines>37</Lines>
  <Paragraphs>10</Paragraphs>
  <TotalTime>0</TotalTime>
  <ScaleCrop>false</ScaleCrop>
  <LinksUpToDate>false</LinksUpToDate>
  <CharactersWithSpaces>6027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2015-08-13T05:14:00Z</dcterms:created>
  <dc:creator>微软用户</dc:creator>
  <cp:lastModifiedBy>りそけん</cp:lastModifiedBy>
  <dcterms:modified xsi:type="dcterms:W3CDTF">2026-03-22T10:41:08Z</dcterms:modified>
  <dc:title>电信科学正文模版</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1D93B007F7E4485698A085EFAE82FDDC_13</vt:lpwstr>
  </property>
  <property fmtid="{D5CDD505-2E9C-101B-9397-08002B2CF9AE}" pid="4" name="KSOTemplateDocerSaveRecord">
    <vt:lpwstr>eyJoZGlkIjoiZjFmZWIzNDg2MmIzZjExOTIzMmViNTBmYTMwYTk0ZWYiLCJ1c2VySWQiOiI5MDU1NDg4NjUifQ==</vt:lpwstr>
  </property>
</Properties>
</file>