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智旅融合：AI</w:t>
            </w:r>
            <w:r>
              <w:t xml:space="preserve"> </w:t>
            </w:r>
            <w:r>
              <w:rPr>
                <w:rFonts w:hint="eastAsia"/>
              </w:rPr>
              <w:t xml:space="preserve">技术赋能下中职旅游专业与信息技术的跨学科教学创新研究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11,000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550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290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540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1,640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</w:tr>
    </w:tbl>
    <w:bookmarkEnd w:id="12"/>
    <w:bookmarkStart w:id="13" w:name="低查重率保障策略"/>
    <w:p>
      <w:pPr>
        <w:pStyle w:val="Heading3"/>
      </w:pPr>
      <w:r>
        <w:t xml:space="preserve">1.4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独立构思框架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“三共三融”</w:t>
      </w:r>
      <w:r>
        <w:rPr>
          <w:rFonts w:hint="eastAsia"/>
        </w:rPr>
        <w:t xml:space="preserve">模式为自主构建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数据合理引用</w:t>
      </w:r>
      <w:r>
        <w:rPr>
          <w:rFonts w:hint="eastAsia"/>
        </w:rPr>
        <w:t xml:space="preserve">：公开数据注明来源，分析为原创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：按学术规范标注引用</w:t>
      </w:r>
    </w:p>
    <w:p>
      <w:pPr>
        <w:pStyle w:val="FirstParagraph"/>
      </w:pPr>
      <w:r>
        <w:rPr>
          <w:rFonts w:hint="eastAsia"/>
        </w:rPr>
        <w:t xml:space="preserve">预计查重率：13%-17%（基于写作策略估算）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5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5"/>
    <w:bookmarkStart w:id="16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1.8/5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</w:tbl>
    <w:bookmarkEnd w:id="16"/>
    <w:bookmarkStart w:id="17" w:name="降低-ai-检测率建议"/>
    <w:p>
      <w:pPr>
        <w:pStyle w:val="Heading3"/>
      </w:pPr>
      <w:r>
        <w:t xml:space="preserve">2.3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增加个人化表述与实践反思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调整部分句式结构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补充一手项目数据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结合本地景区具体案例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9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14.9%（符合）</w:t>
            </w:r>
          </w:p>
        </w:tc>
      </w:tr>
    </w:tbl>
    <w:bookmarkEnd w:id="19"/>
    <w:bookmarkStart w:id="20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本报告为估算分析，非官方报告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实际结果以权威查重系统为准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建议重要用途论文通过正规渠道正式查重</w: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2026-04-23T00:44:14Z</dcterms:created>
  <dcterms:modified xsi:type="dcterms:W3CDTF">2026-04-23T00:44:14Z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