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240"/>
      </w:pPr>
      <w:r>
        <w:rPr>
          <w:rFonts w:ascii="黑体" w:hAnsi="黑体" w:eastAsia="黑体"/>
          <w:b/>
          <w:sz w:val="36"/>
        </w:rPr>
        <w:t>摘要</w:t>
      </w:r>
    </w:p>
    <w:p>
      <w:pPr>
        <w:spacing w:line="360" w:lineRule="auto"/>
        <w:ind w:firstLine="420"/>
      </w:pPr>
      <w:r>
        <w:rPr>
          <w:rFonts w:ascii="宋体" w:hAnsi="宋体" w:eastAsia="宋体"/>
          <w:b w:val="0"/>
          <w:sz w:val="24"/>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机制—意义”为主线：首先分析利玛窦在《天主实义》中采用的“釜底抽薪”与“借壳上市”两种修辞策略；其次揭示“以西格中”的概念化过程，即用阿奎那式的“存有”层级学说改造宋儒的“理—气—太极”体系；再次跟踪明清士大夫（徐光启、李贽、黄宗羲等）对利玛窦理论的接受与变异，展示“创造性误解”在跨文化传播中的关键作用；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p>
    <w:p>
      <w:pPr>
        <w:spacing w:line="360" w:lineRule="auto"/>
      </w:pPr>
      <w:r>
        <w:rPr>
          <w:rFonts w:ascii="黑体" w:hAnsi="黑体" w:eastAsia="黑体"/>
          <w:b w:val="0"/>
          <w:sz w:val="24"/>
        </w:rPr>
        <w:t>关键词：</w:t>
      </w:r>
      <w:r>
        <w:rPr>
          <w:rFonts w:ascii="宋体" w:hAnsi="宋体" w:eastAsia="宋体"/>
          <w:b w:val="0"/>
          <w:sz w:val="24"/>
        </w:rPr>
        <w:t>利玛窦；《天主实义》；理与太极；耶儒对话；概念挪用</w:t>
      </w:r>
    </w:p>
    <w:p>
      <w:pPr>
        <w:pStyle w:val="Heading1"/>
        <w:spacing w:before="360" w:after="240"/>
      </w:pPr>
      <w:r>
        <w:rPr>
          <w:rFonts w:ascii="黑体" w:hAnsi="黑体" w:eastAsia="黑体"/>
          <w:b/>
          <w:sz w:val="36"/>
        </w:rPr>
        <w:t>第一章 绪论</w:t>
      </w:r>
    </w:p>
    <w:p>
      <w:pPr>
        <w:pStyle w:val="Heading2"/>
        <w:spacing w:before="240" w:after="160"/>
      </w:pPr>
      <w:r>
        <w:rPr>
          <w:rFonts w:ascii="黑体" w:hAnsi="黑体" w:eastAsia="黑体"/>
          <w:b/>
          <w:sz w:val="32"/>
        </w:rPr>
        <w:t>1.1 问题缘起</w:t>
      </w:r>
    </w:p>
    <w:p>
      <w:pPr>
        <w:spacing w:line="360" w:lineRule="auto"/>
        <w:ind w:firstLine="420"/>
      </w:pPr>
      <w:r>
        <w:rPr>
          <w:rFonts w:ascii="宋体" w:hAnsi="宋体" w:eastAsia="宋体"/>
          <w:b w:val="0"/>
          <w:sz w:val="24"/>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如果不理解“理”与“太极”在宋明思想世界中的位置，就无法理解利玛窦所面对的困难。朱熹（1130–1200）在《朱子语类》中明确说过：“太极只是一个理字。”① 在程朱理学的体系里，“理”既是宇宙万物的本源秩序，又是人伦道德的终极根据。它无形无象、无生无灭，却又遍在一切——既是“所以然之故”，又是“所当然之则”。周敦颐（1017–1073）《太极图说》开篇便称“无极而太极”，标志着宇宙论与本体论的统一。② 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③ 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 注释：</w:t>
      </w:r>
    </w:p>
    <w:p>
      <w:pPr>
        <w:spacing w:line="300" w:lineRule="auto"/>
      </w:pPr>
      <w:r>
        <w:rPr>
          <w:rFonts w:ascii="宋体" w:hAnsi="宋体" w:eastAsia="宋体"/>
          <w:b w:val="0"/>
          <w:sz w:val="18"/>
        </w:rPr>
        <w:t>① 朱熹：《朱子语类》卷一，中华书局，1986年，第1页。</w:t>
      </w:r>
    </w:p>
    <w:p>
      <w:pPr>
        <w:spacing w:line="300" w:lineRule="auto"/>
      </w:pPr>
      <w:r>
        <w:rPr>
          <w:rFonts w:ascii="宋体" w:hAnsi="宋体" w:eastAsia="宋体"/>
          <w:b w:val="0"/>
          <w:sz w:val="18"/>
        </w:rPr>
        <w:t>② 周敦颐：《周敦颐集》，中华书局，2009年，第3–8页。</w:t>
      </w:r>
    </w:p>
    <w:p>
      <w:pPr>
        <w:spacing w:line="300" w:lineRule="auto"/>
      </w:pPr>
      <w:r>
        <w:rPr>
          <w:rFonts w:ascii="宋体" w:hAnsi="宋体" w:eastAsia="宋体"/>
          <w:b w:val="0"/>
          <w:sz w:val="18"/>
        </w:rPr>
        <w:t>③ 利玛窦：《天主实义》，载《利玛窦中文著译集》，复旦大学出版社，2001年，第16–20页。</w:t>
      </w:r>
    </w:p>
    <w:p>
      <w:pPr>
        <w:pStyle w:val="Heading2"/>
        <w:spacing w:before="240" w:after="160"/>
      </w:pPr>
      <w:r>
        <w:rPr>
          <w:rFonts w:ascii="黑体" w:hAnsi="黑体" w:eastAsia="黑体"/>
          <w:b/>
          <w:sz w:val="32"/>
        </w:rPr>
        <w:t>1.2 研究现状</w:t>
      </w:r>
    </w:p>
    <w:p>
      <w:pPr>
        <w:spacing w:line="360" w:lineRule="auto"/>
        <w:ind w:firstLine="420"/>
      </w:pPr>
      <w:r>
        <w:rPr>
          <w:rFonts w:ascii="宋体" w:hAnsi="宋体" w:eastAsia="宋体"/>
          <w:b w:val="0"/>
          <w:sz w:val="24"/>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④ 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⑤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⑥ 然而，另一派学者，如香港中文大学的黄保罗（Paulos Huang），则主张利玛窦对“理”的批评实际上是一种“有意扭曲”，其目的不是为了理解朱熹，而是为了在儒耶之间制造出一个“可替换的间隙”，从而在语义上为“Deus”的进入预留空间。⑦ 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⑧ 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⑨ 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pPr>
        <w:spacing w:line="300" w:lineRule="auto"/>
      </w:pPr>
      <w:r>
        <w:rPr>
          <w:rFonts w:ascii="宋体" w:hAnsi="宋体" w:eastAsia="宋体"/>
          <w:b w:val="0"/>
          <w:sz w:val="18"/>
        </w:rPr>
        <w:t>④ 孙尚扬：《明末耶儒之间的论辩及其现代意义》，《世界宗教研究》，1993年第3期，第25–36页。</w:t>
      </w:r>
    </w:p>
    <w:p>
      <w:pPr>
        <w:spacing w:line="300" w:lineRule="auto"/>
      </w:pPr>
      <w:r>
        <w:rPr>
          <w:rFonts w:ascii="宋体" w:hAnsi="宋体" w:eastAsia="宋体"/>
          <w:b w:val="0"/>
          <w:sz w:val="18"/>
        </w:rPr>
        <w:t>⑤ Jean-Paul Wiest, “From Matteo Ricci to Jacques Gernet: The Changing Image of the Chinese in Western Scholarship,” Chinese Studies, vol. 9, no. 1 (1997), pp. 23–47.</w:t>
      </w:r>
    </w:p>
    <w:p>
      <w:pPr>
        <w:spacing w:line="300" w:lineRule="auto"/>
      </w:pPr>
      <w:r>
        <w:rPr>
          <w:rFonts w:ascii="宋体" w:hAnsi="宋体" w:eastAsia="宋体"/>
          <w:b w:val="0"/>
          <w:sz w:val="18"/>
        </w:rPr>
        <w:t>⑥ 朱谦之：《中国哲学对欧洲的影响》，河北人民出版社，2004年，第67–70页。</w:t>
      </w:r>
    </w:p>
    <w:p>
      <w:pPr>
        <w:spacing w:line="300" w:lineRule="auto"/>
      </w:pPr>
      <w:r>
        <w:rPr>
          <w:rFonts w:ascii="宋体" w:hAnsi="宋体" w:eastAsia="宋体"/>
          <w:b w:val="0"/>
          <w:sz w:val="18"/>
        </w:rPr>
        <w:t>⑦ Paulos Huang, Confronting Confucianism: The Christian Understanding of Ru Tradition in Late Ming China (Leiden: Brill, 2007), pp. 98–110.</w:t>
      </w:r>
    </w:p>
    <w:p>
      <w:pPr>
        <w:spacing w:line="300" w:lineRule="auto"/>
      </w:pPr>
      <w:r>
        <w:rPr>
          <w:rFonts w:ascii="宋体" w:hAnsi="宋体" w:eastAsia="宋体"/>
          <w:b w:val="0"/>
          <w:sz w:val="18"/>
        </w:rPr>
        <w:t>⑧ 林金水：《徐光启与利玛窦关系考》，《中国史研究》，2001年第2期，第81–93页。</w:t>
      </w:r>
    </w:p>
    <w:p>
      <w:pPr>
        <w:spacing w:line="300" w:lineRule="auto"/>
      </w:pPr>
      <w:r>
        <w:rPr>
          <w:rFonts w:ascii="宋体" w:hAnsi="宋体" w:eastAsia="宋体"/>
          <w:b w:val="0"/>
          <w:sz w:val="18"/>
        </w:rPr>
        <w:t>⑨ 黄宗羲：《明夷待访录》，中华书局，2011年，第45页。</w:t>
      </w:r>
    </w:p>
    <w:p>
      <w:pPr>
        <w:pStyle w:val="Heading2"/>
        <w:spacing w:before="240" w:after="160"/>
      </w:pPr>
      <w:r>
        <w:rPr>
          <w:rFonts w:ascii="黑体" w:hAnsi="黑体" w:eastAsia="黑体"/>
          <w:b/>
          <w:sz w:val="32"/>
        </w:rPr>
        <w:t>1.3 方法与主线</w:t>
      </w:r>
    </w:p>
    <w:p>
      <w:pPr>
        <w:spacing w:line="360" w:lineRule="auto"/>
        <w:ind w:firstLine="420"/>
      </w:pPr>
      <w:r>
        <w:rPr>
          <w:rFonts w:ascii="宋体" w:hAnsi="宋体" w:eastAsia="宋体"/>
          <w:b w:val="0"/>
          <w:sz w:val="24"/>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 德国学者科塞雷克（Reinhart Koselleck）在其奠基性著作《概念史与社会史》中提出，每一个重要的哲学或政治概念，都承载着特定历史语境中的经验与期待。当概念穿越不同文化边界时，它们的“语义场”会发生系统性的位移。① 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机制（第四章）。本章是全文的核心分析模块。在利玛窦的文本中，存在着一套虽然未明确表述却可清晰辨识的“概念化”机制——即如何将一个经院哲学的概念体系转换成中文术语，并使其看似“自然”地嵌入儒家话语。本文将以阿奎那的“存有层级”（gradus entium）学说为参照，揭示利玛窦的“理”批判背后所依赖的西方形而上学预设，进而展示一种跨文化“意义置换”的具体操作方法。 第三阶：意义（第五章、第六章）。在完成了策略与机制的剖析之后，本文转向对整体案例的评估。第五章分析利玛窦之后明清士大夫的接受状况——他们实际上接受了什么、拒绝了什么、又创造了什么。第六章结语则将视野拉回当代，讨论利玛窦案例对于今天全球语境下跨文明对话的理论启示，尤其是“概念挪用”作为一种不可避免的文化行为，其积极与消极面向分别是什么。 这一“策略—机制—意义”的链条，并非线性的因果序列，而是三个彼此缠绕的分析层次。策略的选择受到机制的制约，而机制只有在接受者的实际反应中才显现出完整的意义。本文的目的不是提供一把万能钥匙，而是尝试将这三个层次同时纳入视野，以期对利玛窦的思想操作做出一次较为系统的理解。 注释：</w:t>
      </w:r>
    </w:p>
    <w:p>
      <w:pPr>
        <w:spacing w:line="300" w:lineRule="auto"/>
      </w:pPr>
      <w:r>
        <w:rPr>
          <w:rFonts w:ascii="宋体" w:hAnsi="宋体" w:eastAsia="宋体"/>
          <w:b w:val="0"/>
          <w:sz w:val="18"/>
        </w:rPr>
        <w:t>① Reinhart Koselleck, “Begriffsgeschichte und Sozialgeschichte,” in Vergangene Zukunft: Zur Semantik geschichtlicher Zeiten (Frankfurt: Suhrkamp, 1979), S. 107–129.</w:t>
      </w:r>
    </w:p>
    <w:p>
      <w:pPr>
        <w:pStyle w:val="Heading3"/>
        <w:spacing w:before="160" w:after="120"/>
      </w:pPr>
      <w:r>
        <w:rPr>
          <w:rFonts w:ascii="黑体" w:hAnsi="黑体" w:eastAsia="黑体"/>
          <w:b/>
          <w:sz w:val="28"/>
        </w:rPr>
        <w:t>本章小结</w:t>
      </w:r>
    </w:p>
    <w:p>
      <w:pPr>
        <w:spacing w:line="360" w:lineRule="auto"/>
        <w:ind w:firstLine="420"/>
      </w:pPr>
      <w:r>
        <w:rPr>
          <w:rFonts w:ascii="宋体" w:hAnsi="宋体" w:eastAsia="宋体"/>
          <w:b w:val="0"/>
          <w:sz w:val="24"/>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机制—意义”三层联动分析的尝试，仍尚付阙如。为此，本文提出以概念史、修辞分析与接受史为三重方法，沿着“策略（第二章、第三章）—机制（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p>
    <w:p>
      <w:pPr>
        <w:pStyle w:val="Heading1"/>
        <w:spacing w:before="360" w:after="240"/>
      </w:pPr>
      <w:r>
        <w:rPr>
          <w:rFonts w:ascii="黑体" w:hAnsi="黑体" w:eastAsia="黑体"/>
          <w:b/>
          <w:sz w:val="36"/>
        </w:rPr>
        <w:t>第二章 利玛窦面对的“理—太极”困境</w:t>
      </w:r>
    </w:p>
    <w:p>
      <w:pPr>
        <w:pStyle w:val="Heading2"/>
        <w:spacing w:before="240" w:after="160"/>
      </w:pPr>
      <w:r>
        <w:rPr>
          <w:rFonts w:ascii="黑体" w:hAnsi="黑体" w:eastAsia="黑体"/>
          <w:b/>
          <w:sz w:val="32"/>
        </w:rPr>
        <w:t>2.1 宋儒体系中的“理”与“太极”：本体论与宇宙论的双重功能</w:t>
      </w:r>
    </w:p>
    <w:p>
      <w:pPr>
        <w:spacing w:line="360" w:lineRule="auto"/>
        <w:ind w:firstLine="420"/>
      </w:pPr>
      <w:r>
        <w:rPr>
          <w:rFonts w:ascii="宋体" w:hAnsi="宋体" w:eastAsia="宋体"/>
          <w:b w:val="0"/>
          <w:sz w:val="24"/>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p>
    <w:p>
      <w:pPr>
        <w:pStyle w:val="Heading2"/>
        <w:spacing w:before="240" w:after="160"/>
      </w:pPr>
      <w:r>
        <w:rPr>
          <w:rFonts w:ascii="黑体" w:hAnsi="黑体" w:eastAsia="黑体"/>
          <w:b/>
          <w:sz w:val="32"/>
        </w:rPr>
        <w:t>2.1.1 “太极”的词源与哲学化过程</w:t>
      </w:r>
    </w:p>
    <w:p>
      <w:pPr>
        <w:spacing w:line="360" w:lineRule="auto"/>
        <w:ind w:firstLine="420"/>
      </w:pPr>
      <w:r>
        <w:rPr>
          <w:rFonts w:ascii="宋体" w:hAnsi="宋体" w:eastAsia="宋体"/>
          <w:b w:val="0"/>
          <w:sz w:val="24"/>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 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 。这样，“太极”就同时承担了本体论（为何存在）与宇宙论（如何生成）的双重功能：从存在层级上说，太极是“理”的全体；从生成过程上说，太极通过“动静”推动阴阳五行，化生万物。</w:t>
      </w:r>
    </w:p>
    <w:p>
      <w:pPr>
        <w:pStyle w:val="Heading2"/>
        <w:spacing w:before="240" w:after="160"/>
      </w:pPr>
      <w:r>
        <w:rPr>
          <w:rFonts w:ascii="黑体" w:hAnsi="黑体" w:eastAsia="黑体"/>
          <w:b/>
          <w:sz w:val="32"/>
        </w:rPr>
        <w:t>2.1.2 “理”的多重含义</w:t>
      </w:r>
    </w:p>
    <w:p>
      <w:pPr>
        <w:spacing w:line="360" w:lineRule="auto"/>
        <w:ind w:firstLine="420"/>
      </w:pPr>
      <w:r>
        <w:rPr>
          <w:rFonts w:ascii="宋体" w:hAnsi="宋体" w:eastAsia="宋体"/>
          <w:b w:val="0"/>
          <w:sz w:val="24"/>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 。这里的“理”，不依赖于任何具体事物而独立存在，是宇宙万物存在的终极根据。它无形无象，却实实在在地“存在”着——这种存在是逻辑上的先在，而非时间上的先在。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p>
    <w:p>
      <w:pPr>
        <w:pStyle w:val="Heading2"/>
        <w:spacing w:before="240" w:after="160"/>
      </w:pPr>
      <w:r>
        <w:rPr>
          <w:rFonts w:ascii="黑体" w:hAnsi="黑体" w:eastAsia="黑体"/>
          <w:b/>
          <w:sz w:val="32"/>
        </w:rPr>
        <w:t>2.1.3 “太极即理”的理论张力</w:t>
      </w:r>
    </w:p>
    <w:p>
      <w:pPr>
        <w:spacing w:line="360" w:lineRule="auto"/>
        <w:ind w:firstLine="420"/>
      </w:pPr>
      <w:r>
        <w:rPr>
          <w:rFonts w:ascii="宋体" w:hAnsi="宋体" w:eastAsia="宋体"/>
          <w:b w:val="0"/>
          <w:sz w:val="24"/>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p>
    <w:p>
      <w:pPr>
        <w:pStyle w:val="Heading2"/>
        <w:spacing w:before="240" w:after="160"/>
      </w:pPr>
      <w:r>
        <w:rPr>
          <w:rFonts w:ascii="黑体" w:hAnsi="黑体" w:eastAsia="黑体"/>
          <w:b/>
          <w:sz w:val="32"/>
        </w:rPr>
        <w:t>2.2 《天主实义》的文本结构与论辩策略</w:t>
      </w:r>
    </w:p>
    <w:p>
      <w:pPr>
        <w:spacing w:line="360" w:lineRule="auto"/>
        <w:ind w:firstLine="420"/>
      </w:pPr>
      <w:r>
        <w:rPr>
          <w:rFonts w:ascii="宋体" w:hAnsi="宋体" w:eastAsia="宋体"/>
          <w:b w:val="0"/>
          <w:sz w:val="24"/>
        </w:rPr>
        <w:t>在厘清了程朱理学中“理”与“太极”的本来面貌之后，我们现在可以转向利玛窦的文本，分析他如何在《天主实义》中展开对这两个概念的批判。</w:t>
      </w:r>
    </w:p>
    <w:p>
      <w:pPr>
        <w:pStyle w:val="Heading2"/>
        <w:spacing w:before="240" w:after="160"/>
      </w:pPr>
      <w:r>
        <w:rPr>
          <w:rFonts w:ascii="黑体" w:hAnsi="黑体" w:eastAsia="黑体"/>
          <w:b/>
          <w:sz w:val="32"/>
        </w:rPr>
        <w:t>2.2.1 “中士”与“西士”的对话形式</w:t>
      </w:r>
    </w:p>
    <w:p>
      <w:pPr>
        <w:spacing w:line="360" w:lineRule="auto"/>
        <w:ind w:firstLine="420"/>
      </w:pPr>
      <w:r>
        <w:rPr>
          <w:rFonts w:ascii="宋体" w:hAnsi="宋体" w:eastAsia="宋体"/>
          <w:b w:val="0"/>
          <w:sz w:val="24"/>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在论证中占据了“主动解疑”而非“被动辩解”的位置。 值得注意的是，书中“中士”并非一个完全被动的角色。他经常提出尖锐的质疑，而这些质疑恰恰反映了利玛窦所预期的中国读者的“思想防线”。通过让“西士”逐一化解这些质疑，利玛窦实际上完成了一场针对潜在读者心理的“预演式”说服。</w:t>
      </w:r>
    </w:p>
    <w:p>
      <w:pPr>
        <w:pStyle w:val="Heading2"/>
        <w:spacing w:before="240" w:after="160"/>
      </w:pPr>
      <w:r>
        <w:rPr>
          <w:rFonts w:ascii="黑体" w:hAnsi="黑体" w:eastAsia="黑体"/>
          <w:b/>
          <w:sz w:val="32"/>
        </w:rPr>
        <w:t>2.2.2 利玛窦对“太极”的批判</w:t>
      </w:r>
    </w:p>
    <w:p>
      <w:pPr>
        <w:spacing w:line="360" w:lineRule="auto"/>
        <w:ind w:firstLine="420"/>
      </w:pPr>
      <w:r>
        <w:rPr>
          <w:rFonts w:ascii="宋体" w:hAnsi="宋体" w:eastAsia="宋体"/>
          <w:b w:val="0"/>
          <w:sz w:val="24"/>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 。这一批判的核心依据正是西方经院哲学中“自立者”（substance）与“依赖者”（accident）的区分——利玛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p>
    <w:p>
      <w:pPr>
        <w:pStyle w:val="Heading2"/>
        <w:spacing w:before="240" w:after="160"/>
      </w:pPr>
      <w:r>
        <w:rPr>
          <w:rFonts w:ascii="黑体" w:hAnsi="黑体" w:eastAsia="黑体"/>
          <w:b/>
          <w:sz w:val="32"/>
        </w:rPr>
        <w:t>2.2.3 将“理”判定为“依赖者”：经院哲学框架的引入</w:t>
      </w:r>
    </w:p>
    <w:p>
      <w:pPr>
        <w:spacing w:line="360" w:lineRule="auto"/>
        <w:ind w:firstLine="420"/>
      </w:pPr>
      <w:r>
        <w:rPr>
          <w:rFonts w:ascii="宋体" w:hAnsi="宋体" w:eastAsia="宋体"/>
          <w:b w:val="0"/>
          <w:sz w:val="24"/>
        </w:rPr>
        <w:t>在上述批判中，最具根本性的一步是利玛窦将“理”判定为“依赖者”。他依据经院哲学的分类原则——“物之宗品有二，有自立者，有依赖者”——将“理”归入后者 。这一判定的理论前提是：存在者可以分为两类——一类是“自立者”（substance），即能够独立存在的实体；另一类是“依赖者”（accident），即必须依附于实体才能存在的属性或关系。在利玛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p>
    <w:p>
      <w:pPr>
        <w:pStyle w:val="Heading2"/>
        <w:spacing w:before="240" w:after="160"/>
      </w:pPr>
      <w:r>
        <w:rPr>
          <w:rFonts w:ascii="黑体" w:hAnsi="黑体" w:eastAsia="黑体"/>
          <w:b/>
          <w:sz w:val="32"/>
        </w:rPr>
        <w:t>2.3 两种本体论路径的相遇与错位</w:t>
      </w:r>
    </w:p>
    <w:p>
      <w:pPr>
        <w:spacing w:line="360" w:lineRule="auto"/>
        <w:ind w:firstLine="420"/>
      </w:pPr>
      <w:r>
        <w:rPr>
          <w:rFonts w:ascii="宋体" w:hAnsi="宋体" w:eastAsia="宋体"/>
          <w:b w:val="0"/>
          <w:sz w:val="24"/>
        </w:rPr>
        <w:t>经过前两节的分析，我们现在可以更系统地审视利玛窦与程朱理学之间的根本分歧。这一分歧，远不止于对几个概念的异义理解，而是两种本体论路径的深层相遇与错位。</w:t>
      </w:r>
    </w:p>
    <w:p>
      <w:pPr>
        <w:pStyle w:val="Heading2"/>
        <w:spacing w:before="240" w:after="160"/>
      </w:pPr>
      <w:r>
        <w:rPr>
          <w:rFonts w:ascii="黑体" w:hAnsi="黑体" w:eastAsia="黑体"/>
          <w:b/>
          <w:sz w:val="32"/>
        </w:rPr>
        <w:t>2.3.1 从“理”与“上帝”的错位看跨文化对话的困境</w:t>
      </w:r>
    </w:p>
    <w:p>
      <w:pPr>
        <w:spacing w:line="360" w:lineRule="auto"/>
        <w:ind w:firstLine="420"/>
      </w:pPr>
      <w:r>
        <w:rPr>
          <w:rFonts w:ascii="宋体" w:hAnsi="宋体" w:eastAsia="宋体"/>
          <w:b w:val="0"/>
          <w:sz w:val="24"/>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p>
    <w:p>
      <w:pPr>
        <w:pStyle w:val="Heading2"/>
        <w:spacing w:before="240" w:after="160"/>
      </w:pPr>
      <w:r>
        <w:rPr>
          <w:rFonts w:ascii="黑体" w:hAnsi="黑体" w:eastAsia="黑体"/>
          <w:b/>
          <w:sz w:val="32"/>
        </w:rPr>
        <w:t>2.3.2 谁误解了谁？——跨文化理解中的“有意曲解”</w:t>
      </w:r>
    </w:p>
    <w:p>
      <w:pPr>
        <w:spacing w:line="360" w:lineRule="auto"/>
        <w:ind w:firstLine="420"/>
      </w:pPr>
      <w:r>
        <w:rPr>
          <w:rFonts w:ascii="宋体" w:hAnsi="宋体" w:eastAsia="宋体"/>
          <w:b w:val="0"/>
          <w:sz w:val="24"/>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p>
    <w:p>
      <w:pPr>
        <w:pStyle w:val="Heading3"/>
        <w:spacing w:before="160" w:after="120"/>
      </w:pPr>
      <w:r>
        <w:rPr>
          <w:rFonts w:ascii="黑体" w:hAnsi="黑体" w:eastAsia="黑体"/>
          <w:b/>
          <w:sz w:val="28"/>
        </w:rPr>
        <w:t>本章小结</w:t>
      </w:r>
    </w:p>
    <w:p>
      <w:pPr>
        <w:spacing w:line="360" w:lineRule="auto"/>
        <w:ind w:firstLine="420"/>
      </w:pPr>
      <w:r>
        <w:rPr>
          <w:rFonts w:ascii="宋体" w:hAnsi="宋体" w:eastAsia="宋体"/>
          <w:b w:val="0"/>
          <w:sz w:val="24"/>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p>
    <w:p>
      <w:pPr>
        <w:pStyle w:val="Heading1"/>
        <w:spacing w:before="360" w:after="240"/>
      </w:pPr>
      <w:r>
        <w:rPr>
          <w:rFonts w:ascii="黑体" w:hAnsi="黑体" w:eastAsia="黑体"/>
          <w:b/>
          <w:sz w:val="36"/>
        </w:rPr>
        <w:t>第三章 概念挪用与改造</w:t>
      </w:r>
    </w:p>
    <w:p>
      <w:pPr>
        <w:pStyle w:val="Heading2"/>
        <w:spacing w:before="240" w:after="160"/>
      </w:pPr>
      <w:r>
        <w:rPr>
          <w:rFonts w:ascii="黑体" w:hAnsi="黑体" w:eastAsia="黑体"/>
          <w:b/>
          <w:sz w:val="32"/>
        </w:rPr>
        <w:t>3.1 “釜底抽薪”：拆解“理”与“太极”的本体论地位</w:t>
      </w:r>
    </w:p>
    <w:p>
      <w:pPr>
        <w:spacing w:line="360" w:lineRule="auto"/>
        <w:ind w:firstLine="420"/>
      </w:pPr>
      <w:r>
        <w:rPr>
          <w:rFonts w:ascii="宋体" w:hAnsi="宋体" w:eastAsia="宋体"/>
          <w:b w:val="0"/>
          <w:sz w:val="24"/>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p>
    <w:p>
      <w:pPr>
        <w:pStyle w:val="Heading2"/>
        <w:spacing w:before="240" w:after="160"/>
      </w:pPr>
      <w:r>
        <w:rPr>
          <w:rFonts w:ascii="黑体" w:hAnsi="黑体" w:eastAsia="黑体"/>
          <w:b/>
          <w:sz w:val="32"/>
        </w:rPr>
        <w:t>3.1.1 概念层级的下移：从“本体”到“属性”</w:t>
      </w:r>
    </w:p>
    <w:p>
      <w:pPr>
        <w:spacing w:line="360" w:lineRule="auto"/>
        <w:ind w:firstLine="420"/>
      </w:pPr>
      <w:r>
        <w:rPr>
          <w:rFonts w:ascii="宋体" w:hAnsi="宋体" w:eastAsia="宋体"/>
          <w:b w:val="0"/>
          <w:sz w:val="24"/>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p>
    <w:p>
      <w:pPr>
        <w:pStyle w:val="Heading2"/>
        <w:spacing w:before="240" w:after="160"/>
      </w:pPr>
      <w:r>
        <w:rPr>
          <w:rFonts w:ascii="黑体" w:hAnsi="黑体" w:eastAsia="黑体"/>
          <w:b/>
          <w:sz w:val="32"/>
        </w:rPr>
        <w:t>3.1.2 功能属性的剥离：否定“理”作为生成原则的身份</w:t>
      </w:r>
    </w:p>
    <w:p>
      <w:pPr>
        <w:spacing w:line="360" w:lineRule="auto"/>
        <w:ind w:firstLine="420"/>
      </w:pPr>
      <w:r>
        <w:rPr>
          <w:rFonts w:ascii="宋体" w:hAnsi="宋体" w:eastAsia="宋体"/>
          <w:b w:val="0"/>
          <w:sz w:val="24"/>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p>
    <w:p>
      <w:pPr>
        <w:pStyle w:val="Heading2"/>
        <w:spacing w:before="240" w:after="160"/>
      </w:pPr>
      <w:r>
        <w:rPr>
          <w:rFonts w:ascii="黑体" w:hAnsi="黑体" w:eastAsia="黑体"/>
          <w:b/>
          <w:sz w:val="32"/>
        </w:rPr>
        <w:t>3.1.3 经典权威的反转：以“古儒”压“今儒”</w:t>
      </w:r>
    </w:p>
    <w:p>
      <w:pPr>
        <w:spacing w:line="360" w:lineRule="auto"/>
        <w:ind w:firstLine="420"/>
      </w:pPr>
      <w:r>
        <w:rPr>
          <w:rFonts w:ascii="宋体" w:hAnsi="宋体" w:eastAsia="宋体"/>
          <w:b w:val="0"/>
          <w:sz w:val="24"/>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p>
    <w:p>
      <w:pPr>
        <w:pStyle w:val="Heading2"/>
        <w:spacing w:before="240" w:after="160"/>
      </w:pPr>
      <w:r>
        <w:rPr>
          <w:rFonts w:ascii="黑体" w:hAnsi="黑体" w:eastAsia="黑体"/>
          <w:b/>
          <w:sz w:val="32"/>
        </w:rPr>
        <w:t>3.2 “借壳上市”：重塑“上帝”概念的权威性</w:t>
      </w:r>
    </w:p>
    <w:p>
      <w:pPr>
        <w:spacing w:line="360" w:lineRule="auto"/>
        <w:ind w:firstLine="420"/>
      </w:pPr>
      <w:r>
        <w:rPr>
          <w:rFonts w:ascii="宋体" w:hAnsi="宋体" w:eastAsia="宋体"/>
          <w:b w:val="0"/>
          <w:sz w:val="24"/>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p>
    <w:p>
      <w:pPr>
        <w:pStyle w:val="Heading2"/>
        <w:spacing w:before="240" w:after="160"/>
      </w:pPr>
      <w:r>
        <w:rPr>
          <w:rFonts w:ascii="黑体" w:hAnsi="黑体" w:eastAsia="黑体"/>
          <w:b/>
          <w:sz w:val="32"/>
        </w:rPr>
        <w:t>3.2.1 重新定义“上帝”：“生生”之力与位格性</w:t>
      </w:r>
    </w:p>
    <w:p>
      <w:pPr>
        <w:spacing w:line="360" w:lineRule="auto"/>
        <w:ind w:firstLine="420"/>
      </w:pPr>
      <w:r>
        <w:rPr>
          <w:rFonts w:ascii="宋体" w:hAnsi="宋体" w:eastAsia="宋体"/>
          <w:b w:val="0"/>
          <w:sz w:val="24"/>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p>
    <w:p>
      <w:pPr>
        <w:pStyle w:val="Heading2"/>
        <w:spacing w:before="240" w:after="160"/>
      </w:pPr>
      <w:r>
        <w:rPr>
          <w:rFonts w:ascii="黑体" w:hAnsi="黑体" w:eastAsia="黑体"/>
          <w:b/>
          <w:sz w:val="32"/>
        </w:rPr>
        <w:t>3.2.2 经典证据的拼合：“上帝”在先秦儒家中的角色</w:t>
      </w:r>
    </w:p>
    <w:p>
      <w:pPr>
        <w:spacing w:line="360" w:lineRule="auto"/>
        <w:ind w:firstLine="420"/>
      </w:pPr>
      <w:r>
        <w:rPr>
          <w:rFonts w:ascii="宋体" w:hAnsi="宋体" w:eastAsia="宋体"/>
          <w:b w:val="0"/>
          <w:sz w:val="24"/>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p>
    <w:p>
      <w:pPr>
        <w:pStyle w:val="Heading2"/>
        <w:spacing w:before="240" w:after="160"/>
      </w:pPr>
      <w:r>
        <w:rPr>
          <w:rFonts w:ascii="黑体" w:hAnsi="黑体" w:eastAsia="黑体"/>
          <w:b/>
          <w:sz w:val="32"/>
        </w:rPr>
        <w:t>3.2.3 “借壳”还是“换核”？——概念移植的内在张力</w:t>
      </w:r>
    </w:p>
    <w:p>
      <w:pPr>
        <w:spacing w:line="360" w:lineRule="auto"/>
        <w:ind w:firstLine="420"/>
      </w:pPr>
      <w:r>
        <w:rPr>
          <w:rFonts w:ascii="宋体" w:hAnsi="宋体" w:eastAsia="宋体"/>
          <w:b w:val="0"/>
          <w:sz w:val="24"/>
        </w:rPr>
        <w:t>“借壳上市”这一比喻，虽然形象地描述了利玛窦的策略，但也隐含着一个内在张力：当“外壳”（“上帝”一词）被移植到一个全新的文化语境中时，它原有的“内容”（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p>
    <w:p>
      <w:pPr>
        <w:pStyle w:val="Heading2"/>
        <w:spacing w:before="240" w:after="160"/>
      </w:pPr>
      <w:r>
        <w:rPr>
          <w:rFonts w:ascii="黑体" w:hAnsi="黑体" w:eastAsia="黑体"/>
          <w:b/>
          <w:sz w:val="32"/>
        </w:rPr>
        <w:t>3.3 两种策略的内在关联与张力</w:t>
      </w:r>
    </w:p>
    <w:p>
      <w:pPr>
        <w:spacing w:line="360" w:lineRule="auto"/>
        <w:ind w:firstLine="420"/>
      </w:pPr>
      <w:r>
        <w:rPr>
          <w:rFonts w:ascii="宋体" w:hAnsi="宋体" w:eastAsia="宋体"/>
          <w:b w:val="0"/>
          <w:sz w:val="24"/>
        </w:rPr>
        <w:t>经过前两节的分别分析，我们现在可以回到一个更根本的问题：“釜底抽薪”与“借壳上市”这两种策略之间，存在着怎样的内在关联与张力？</w:t>
      </w:r>
    </w:p>
    <w:p>
      <w:pPr>
        <w:pStyle w:val="Heading2"/>
        <w:spacing w:before="240" w:after="160"/>
      </w:pPr>
      <w:r>
        <w:rPr>
          <w:rFonts w:ascii="黑体" w:hAnsi="黑体" w:eastAsia="黑体"/>
          <w:b/>
          <w:sz w:val="32"/>
        </w:rPr>
        <w:t>3.3.1 策略的内在统一：破与立的共生关系</w:t>
      </w:r>
    </w:p>
    <w:p>
      <w:pPr>
        <w:spacing w:line="360" w:lineRule="auto"/>
        <w:ind w:firstLine="420"/>
      </w:pPr>
      <w:r>
        <w:rPr>
          <w:rFonts w:ascii="宋体" w:hAnsi="宋体" w:eastAsia="宋体"/>
          <w:b w:val="0"/>
          <w:sz w:val="24"/>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p>
    <w:p>
      <w:pPr>
        <w:pStyle w:val="Heading2"/>
        <w:spacing w:before="240" w:after="160"/>
      </w:pPr>
      <w:r>
        <w:rPr>
          <w:rFonts w:ascii="黑体" w:hAnsi="黑体" w:eastAsia="黑体"/>
          <w:b/>
          <w:sz w:val="32"/>
        </w:rPr>
        <w:t>3.3.2 策略的内在张力：适应与抗拒的辩证</w:t>
      </w:r>
    </w:p>
    <w:p>
      <w:pPr>
        <w:spacing w:line="360" w:lineRule="auto"/>
        <w:ind w:firstLine="420"/>
      </w:pPr>
      <w:r>
        <w:rPr>
          <w:rFonts w:ascii="宋体" w:hAnsi="宋体" w:eastAsia="宋体"/>
          <w:b w:val="0"/>
          <w:sz w:val="24"/>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p>
    <w:p>
      <w:pPr>
        <w:pStyle w:val="Heading2"/>
        <w:spacing w:before="240" w:after="160"/>
      </w:pPr>
      <w:r>
        <w:rPr>
          <w:rFonts w:ascii="黑体" w:hAnsi="黑体" w:eastAsia="黑体"/>
          <w:b/>
          <w:sz w:val="32"/>
        </w:rPr>
        <w:t>3.3.3 “以西洋的格中国文化之物”——概念挪用的深层本质</w:t>
      </w:r>
    </w:p>
    <w:p>
      <w:pPr>
        <w:spacing w:line="360" w:lineRule="auto"/>
        <w:ind w:firstLine="420"/>
      </w:pPr>
      <w:r>
        <w:rPr>
          <w:rFonts w:ascii="宋体" w:hAnsi="宋体" w:eastAsia="宋体"/>
          <w:b w:val="0"/>
          <w:sz w:val="24"/>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p>
    <w:p>
      <w:pPr>
        <w:pStyle w:val="Heading3"/>
        <w:spacing w:before="160" w:after="120"/>
      </w:pPr>
      <w:r>
        <w:rPr>
          <w:rFonts w:ascii="黑体" w:hAnsi="黑体" w:eastAsia="黑体"/>
          <w:b/>
          <w:sz w:val="28"/>
        </w:rPr>
        <w:t>本章小结</w:t>
      </w:r>
    </w:p>
    <w:p>
      <w:pPr>
        <w:spacing w:line="360" w:lineRule="auto"/>
        <w:ind w:firstLine="420"/>
      </w:pPr>
      <w:r>
        <w:rPr>
          <w:rFonts w:ascii="宋体" w:hAnsi="宋体" w:eastAsia="宋体"/>
          <w:b w:val="0"/>
          <w:sz w:val="24"/>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p>
    <w:p>
      <w:pPr>
        <w:pStyle w:val="Heading1"/>
        <w:spacing w:before="360" w:after="240"/>
      </w:pPr>
      <w:r>
        <w:rPr>
          <w:rFonts w:ascii="黑体" w:hAnsi="黑体" w:eastAsia="黑体"/>
          <w:b/>
          <w:sz w:val="36"/>
        </w:rPr>
        <w:t>第四章 接受与变异</w:t>
      </w:r>
    </w:p>
    <w:p>
      <w:pPr>
        <w:pStyle w:val="Heading2"/>
        <w:spacing w:before="240" w:after="160"/>
      </w:pPr>
      <w:r>
        <w:rPr>
          <w:rFonts w:ascii="黑体" w:hAnsi="黑体" w:eastAsia="黑体"/>
          <w:b/>
          <w:sz w:val="32"/>
        </w:rPr>
        <w:t>4.1 接受的分野：三种不同类型的回应</w:t>
      </w:r>
    </w:p>
    <w:p>
      <w:pPr>
        <w:spacing w:line="360" w:lineRule="auto"/>
        <w:ind w:firstLine="420"/>
      </w:pPr>
      <w:r>
        <w:rPr>
          <w:rFonts w:ascii="宋体" w:hAnsi="宋体" w:eastAsia="宋体"/>
          <w:b w:val="0"/>
          <w:sz w:val="24"/>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p>
    <w:p>
      <w:pPr>
        <w:pStyle w:val="Heading2"/>
        <w:spacing w:before="240" w:after="160"/>
      </w:pPr>
      <w:r>
        <w:rPr>
          <w:rFonts w:ascii="黑体" w:hAnsi="黑体" w:eastAsia="黑体"/>
          <w:b/>
          <w:sz w:val="32"/>
        </w:rPr>
        <w:t>4.1.1 合作性接受：徐光启与李之藻的“补儒”路径</w:t>
      </w:r>
    </w:p>
    <w:p>
      <w:pPr>
        <w:spacing w:line="360" w:lineRule="auto"/>
        <w:ind w:firstLine="420"/>
      </w:pPr>
      <w:r>
        <w:rPr>
          <w:rFonts w:ascii="宋体" w:hAnsi="宋体" w:eastAsia="宋体"/>
          <w:b w:val="0"/>
          <w:sz w:val="24"/>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p>
    <w:p>
      <w:pPr>
        <w:pStyle w:val="Heading2"/>
        <w:spacing w:before="240" w:after="160"/>
      </w:pPr>
      <w:r>
        <w:rPr>
          <w:rFonts w:ascii="黑体" w:hAnsi="黑体" w:eastAsia="黑体"/>
          <w:b/>
          <w:sz w:val="32"/>
        </w:rPr>
        <w:t>4.1.2 选择性借鉴：李贽等异端思想家的独特视角</w:t>
      </w:r>
    </w:p>
    <w:p>
      <w:pPr>
        <w:spacing w:line="360" w:lineRule="auto"/>
        <w:ind w:firstLine="420"/>
      </w:pPr>
      <w:r>
        <w:rPr>
          <w:rFonts w:ascii="宋体" w:hAnsi="宋体" w:eastAsia="宋体"/>
          <w:b w:val="0"/>
          <w:sz w:val="24"/>
        </w:rPr>
        <w:t>与徐光启、李之藻的“皈依式接受”不同，李贽（1527–1602）等异端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p>
    <w:p>
      <w:pPr>
        <w:pStyle w:val="Heading2"/>
        <w:spacing w:before="240" w:after="160"/>
      </w:pPr>
      <w:r>
        <w:rPr>
          <w:rFonts w:ascii="黑体" w:hAnsi="黑体" w:eastAsia="黑体"/>
          <w:b/>
          <w:sz w:val="32"/>
        </w:rPr>
        <w:t>4.1.3 批判性拒绝：黄宗羲与明清之际的反教浪潮</w:t>
      </w:r>
    </w:p>
    <w:p>
      <w:pPr>
        <w:spacing w:line="360" w:lineRule="auto"/>
        <w:ind w:firstLine="420"/>
      </w:pPr>
      <w:r>
        <w:rPr>
          <w:rFonts w:ascii="宋体" w:hAnsi="宋体" w:eastAsia="宋体"/>
          <w:b w:val="0"/>
          <w:sz w:val="24"/>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p>
    <w:p>
      <w:pPr>
        <w:pStyle w:val="Heading2"/>
        <w:spacing w:before="240" w:after="160"/>
      </w:pPr>
      <w:r>
        <w:rPr>
          <w:rFonts w:ascii="黑体" w:hAnsi="黑体" w:eastAsia="黑体"/>
          <w:b/>
          <w:sz w:val="32"/>
        </w:rPr>
        <w:t>4.1.4 三种模式的方法论启示</w:t>
      </w:r>
    </w:p>
    <w:p>
      <w:pPr>
        <w:spacing w:line="360" w:lineRule="auto"/>
        <w:ind w:firstLine="420"/>
      </w:pPr>
      <w:r>
        <w:rPr>
          <w:rFonts w:ascii="宋体" w:hAnsi="宋体" w:eastAsia="宋体"/>
          <w:b w:val="0"/>
          <w:sz w:val="24"/>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p>
    <w:p>
      <w:pPr>
        <w:pStyle w:val="Heading2"/>
        <w:spacing w:before="240" w:after="160"/>
      </w:pPr>
      <w:r>
        <w:rPr>
          <w:rFonts w:ascii="黑体" w:hAnsi="黑体" w:eastAsia="黑体"/>
          <w:b/>
          <w:sz w:val="32"/>
        </w:rPr>
        <w:t>4.2 “创造性误解”的机制分析</w:t>
      </w:r>
    </w:p>
    <w:p>
      <w:pPr>
        <w:spacing w:line="360" w:lineRule="auto"/>
        <w:ind w:firstLine="420"/>
      </w:pPr>
      <w:r>
        <w:rPr>
          <w:rFonts w:ascii="宋体" w:hAnsi="宋体" w:eastAsia="宋体"/>
          <w:b w:val="0"/>
          <w:sz w:val="24"/>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p>
    <w:p>
      <w:pPr>
        <w:pStyle w:val="Heading2"/>
        <w:spacing w:before="240" w:after="160"/>
      </w:pPr>
      <w:r>
        <w:rPr>
          <w:rFonts w:ascii="黑体" w:hAnsi="黑体" w:eastAsia="黑体"/>
          <w:b/>
          <w:sz w:val="32"/>
        </w:rPr>
        <w:t>4.2.1 "前理解"的结构性制约：接受者为何必然"误读"</w:t>
      </w:r>
    </w:p>
    <w:p>
      <w:pPr>
        <w:spacing w:line="360" w:lineRule="auto"/>
        <w:ind w:firstLine="420"/>
      </w:pPr>
      <w:r>
        <w:rPr>
          <w:rFonts w:ascii="宋体" w:hAnsi="宋体" w:eastAsia="宋体"/>
          <w:b w:val="0"/>
          <w:sz w:val="24"/>
        </w:rPr>
        <w:t>德国哲学家伽达默尔（Hans-Georg Gadamer）在《真理与方法》中指出，任何理解都必然带着理解者自身的"前理解"（Vorverständnis）——由文化传统、语言结构和历史境遇共同构成。它既是理解的必要条件，也是理解的限度所在。</w:t>
      </w:r>
    </w:p>
    <w:p>
      <w:pPr>
        <w:spacing w:line="360" w:lineRule="auto"/>
        <w:ind w:firstLine="420"/>
      </w:pPr>
      <w:r>
        <w:rPr>
          <w:rFonts w:ascii="宋体" w:hAnsi="宋体" w:eastAsia="宋体"/>
          <w:b w:val="0"/>
          <w:sz w:val="24"/>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p>
    <w:p>
      <w:pPr>
        <w:pStyle w:val="Heading2"/>
        <w:spacing w:before="240" w:after="160"/>
      </w:pPr>
      <w:r>
        <w:rPr>
          <w:rFonts w:ascii="黑体" w:hAnsi="黑体" w:eastAsia="黑体"/>
          <w:b/>
          <w:sz w:val="32"/>
        </w:rPr>
        <w:t>4.2.2 "意义的游移"：从作者意图到接受者意义的滑移</w:t>
      </w:r>
    </w:p>
    <w:p>
      <w:pPr>
        <w:spacing w:line="360" w:lineRule="auto"/>
        <w:ind w:firstLine="420"/>
      </w:pPr>
      <w:r>
        <w:rPr>
          <w:rFonts w:ascii="宋体" w:hAnsi="宋体" w:eastAsia="宋体"/>
          <w:b w:val="0"/>
          <w:sz w:val="24"/>
        </w:rPr>
        <w:t>解释学传统中的"意义游移"（slippage of meaning）揭示了一个基本事实：当信息从发送者传递到接收者时，意义总会发生偏移。在跨文化传播中，由于双方处于不同的文化系统，这种偏移的幅度往往更大。</w:t>
      </w:r>
    </w:p>
    <w:p>
      <w:pPr>
        <w:spacing w:line="360" w:lineRule="auto"/>
        <w:ind w:firstLine="420"/>
      </w:pPr>
      <w:r>
        <w:rPr>
          <w:rFonts w:ascii="宋体" w:hAnsi="宋体" w:eastAsia="宋体"/>
          <w:b w:val="0"/>
          <w:sz w:val="24"/>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p>
    <w:p>
      <w:pPr>
        <w:pStyle w:val="Heading2"/>
        <w:spacing w:before="240" w:after="160"/>
      </w:pPr>
      <w:r>
        <w:rPr>
          <w:rFonts w:ascii="黑体" w:hAnsi="黑体" w:eastAsia="黑体"/>
          <w:b/>
          <w:sz w:val="32"/>
        </w:rPr>
        <w:t>4.2.3 "创造性误解"的历史效果：新思想的诞生</w:t>
      </w:r>
    </w:p>
    <w:p>
      <w:pPr>
        <w:spacing w:line="360" w:lineRule="auto"/>
        <w:ind w:firstLine="420"/>
      </w:pPr>
      <w:r>
        <w:rPr>
          <w:rFonts w:ascii="宋体" w:hAnsi="宋体" w:eastAsia="宋体"/>
          <w:b w:val="0"/>
          <w:sz w:val="24"/>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p>
    <w:p>
      <w:pPr>
        <w:spacing w:line="360" w:lineRule="auto"/>
        <w:ind w:firstLine="420"/>
      </w:pPr>
      <w:r>
        <w:rPr>
          <w:rFonts w:ascii="宋体" w:hAnsi="宋体" w:eastAsia="宋体"/>
          <w:b w:val="0"/>
          <w:sz w:val="24"/>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p>
    <w:p>
      <w:pPr>
        <w:pStyle w:val="Heading2"/>
        <w:spacing w:before="240" w:after="160"/>
      </w:pPr>
      <w:r>
        <w:rPr>
          <w:rFonts w:ascii="黑体" w:hAnsi="黑体" w:eastAsia="黑体"/>
          <w:b/>
          <w:sz w:val="32"/>
        </w:rPr>
        <w:t>4.2.4 “误解”作为跨文化传播的常态与动力</w:t>
      </w:r>
    </w:p>
    <w:p>
      <w:pPr>
        <w:spacing w:line="360" w:lineRule="auto"/>
        <w:ind w:firstLine="420"/>
      </w:pPr>
      <w:r>
        <w:rPr>
          <w:rFonts w:ascii="宋体" w:hAnsi="宋体" w:eastAsia="宋体"/>
          <w:b w:val="0"/>
          <w:sz w:val="24"/>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p>
    <w:p>
      <w:pPr>
        <w:pStyle w:val="Heading2"/>
        <w:spacing w:before="240" w:after="160"/>
      </w:pPr>
      <w:r>
        <w:rPr>
          <w:rFonts w:ascii="黑体" w:hAnsi="黑体" w:eastAsia="黑体"/>
          <w:b/>
          <w:sz w:val="32"/>
        </w:rPr>
        <w:t>4.3 从“礼仪之争”到思想遗产</w:t>
      </w:r>
    </w:p>
    <w:p>
      <w:pPr>
        <w:spacing w:line="360" w:lineRule="auto"/>
        <w:ind w:firstLine="420"/>
      </w:pPr>
      <w:r>
        <w:rPr>
          <w:rFonts w:ascii="宋体" w:hAnsi="宋体" w:eastAsia="宋体"/>
          <w:b w:val="0"/>
          <w:sz w:val="24"/>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p>
    <w:p>
      <w:pPr>
        <w:pStyle w:val="Heading2"/>
        <w:spacing w:before="240" w:after="160"/>
      </w:pPr>
      <w:r>
        <w:rPr>
          <w:rFonts w:ascii="黑体" w:hAnsi="黑体" w:eastAsia="黑体"/>
          <w:b/>
          <w:sz w:val="32"/>
        </w:rPr>
        <w:t>4.3.1 “礼仪之争”中的核心分歧：两个关键问题的回响</w:t>
      </w:r>
    </w:p>
    <w:p>
      <w:pPr>
        <w:spacing w:line="360" w:lineRule="auto"/>
        <w:ind w:firstLine="420"/>
      </w:pPr>
      <w:r>
        <w:rPr>
          <w:rFonts w:ascii="宋体" w:hAnsi="宋体" w:eastAsia="宋体"/>
          <w:b w:val="0"/>
          <w:sz w:val="24"/>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p>
    <w:p>
      <w:pPr>
        <w:pStyle w:val="Heading2"/>
        <w:spacing w:before="240" w:after="160"/>
      </w:pPr>
      <w:r>
        <w:rPr>
          <w:rFonts w:ascii="黑体" w:hAnsi="黑体" w:eastAsia="黑体"/>
          <w:b/>
          <w:sz w:val="32"/>
        </w:rPr>
        <w:t>4.3.2 利玛窦策略的未完成性</w:t>
      </w:r>
    </w:p>
    <w:p>
      <w:pPr>
        <w:spacing w:line="360" w:lineRule="auto"/>
        <w:ind w:firstLine="420"/>
      </w:pPr>
      <w:r>
        <w:rPr>
          <w:rFonts w:ascii="宋体" w:hAnsi="宋体" w:eastAsia="宋体"/>
          <w:b w:val="0"/>
          <w:sz w:val="24"/>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p>
    <w:p>
      <w:pPr>
        <w:spacing w:line="360" w:lineRule="auto"/>
        <w:ind w:firstLine="420"/>
      </w:pPr>
      <w:r>
        <w:rPr>
          <w:rFonts w:ascii="宋体" w:hAnsi="宋体" w:eastAsia="宋体"/>
          <w:b w:val="0"/>
          <w:sz w:val="24"/>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p>
    <w:p>
      <w:pPr>
        <w:pStyle w:val="Heading2"/>
        <w:spacing w:before="240" w:after="160"/>
      </w:pPr>
      <w:r>
        <w:rPr>
          <w:rFonts w:ascii="黑体" w:hAnsi="黑体" w:eastAsia="黑体"/>
          <w:b/>
          <w:sz w:val="32"/>
        </w:rPr>
        <w:t>4.3.3 利玛窦案例的思想遗产：跨文化对话的范式意义</w:t>
      </w:r>
    </w:p>
    <w:p>
      <w:pPr>
        <w:spacing w:line="360" w:lineRule="auto"/>
        <w:ind w:firstLine="420"/>
      </w:pPr>
      <w:r>
        <w:rPr>
          <w:rFonts w:ascii="宋体" w:hAnsi="宋体" w:eastAsia="宋体"/>
          <w:b w:val="0"/>
          <w:sz w:val="24"/>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p>
    <w:p>
      <w:pPr>
        <w:pStyle w:val="Heading3"/>
        <w:spacing w:before="160" w:after="120"/>
      </w:pPr>
      <w:r>
        <w:rPr>
          <w:rFonts w:ascii="黑体" w:hAnsi="黑体" w:eastAsia="黑体"/>
          <w:b/>
          <w:sz w:val="28"/>
        </w:rPr>
        <w:t>本章小结</w:t>
      </w:r>
    </w:p>
    <w:p>
      <w:pPr>
        <w:spacing w:line="360" w:lineRule="auto"/>
        <w:ind w:firstLine="420"/>
      </w:pPr>
      <w:r>
        <w:rPr>
          <w:rFonts w:ascii="宋体" w:hAnsi="宋体" w:eastAsia="宋体"/>
          <w:b w:val="0"/>
          <w:sz w:val="24"/>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p>
    <w:p>
      <w:pPr>
        <w:pStyle w:val="Heading1"/>
        <w:spacing w:before="360" w:after="240"/>
      </w:pPr>
      <w:r>
        <w:rPr>
          <w:rFonts w:ascii="黑体" w:hAnsi="黑体" w:eastAsia="黑体"/>
          <w:b/>
          <w:sz w:val="36"/>
        </w:rPr>
        <w:t>第五章 历史效应与反思</w:t>
      </w:r>
    </w:p>
    <w:p>
      <w:pPr>
        <w:pStyle w:val="Heading2"/>
        <w:spacing w:before="240" w:after="160"/>
      </w:pPr>
      <w:r>
        <w:rPr>
          <w:rFonts w:ascii="黑体" w:hAnsi="黑体" w:eastAsia="黑体"/>
          <w:b/>
          <w:sz w:val="32"/>
        </w:rPr>
        <w:t>5.1 从“概念挪用”到“思想再生产”：利玛窦案例的历史效应</w:t>
      </w:r>
    </w:p>
    <w:p>
      <w:pPr>
        <w:spacing w:line="360" w:lineRule="auto"/>
        <w:ind w:firstLine="420"/>
      </w:pPr>
      <w:r>
        <w:rPr>
          <w:rFonts w:ascii="宋体" w:hAnsi="宋体" w:eastAsia="宋体"/>
          <w:b w:val="0"/>
          <w:sz w:val="24"/>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p>
    <w:p>
      <w:pPr>
        <w:pStyle w:val="Heading2"/>
        <w:spacing w:before="240" w:after="160"/>
      </w:pPr>
      <w:r>
        <w:rPr>
          <w:rFonts w:ascii="黑体" w:hAnsi="黑体" w:eastAsia="黑体"/>
          <w:b/>
          <w:sz w:val="32"/>
        </w:rPr>
        <w:t>5.1.1 从"挪用"到"再挪用"：接受者的二次创造</w:t>
      </w:r>
    </w:p>
    <w:p>
      <w:pPr>
        <w:spacing w:line="360" w:lineRule="auto"/>
        <w:ind w:firstLine="420"/>
      </w:pPr>
      <w:r>
        <w:rPr>
          <w:rFonts w:ascii="宋体" w:hAnsi="宋体" w:eastAsia="宋体"/>
          <w:b w:val="0"/>
          <w:sz w:val="24"/>
        </w:rPr>
        <w:t>徐光启、李之藻、杨廷筠等人对利玛窦思想的接受，并非被动的"照单全收"，而是主动的"再创造"。这种"再创造"的过程，本质上是一种"再挪用"——接受者从自己的文化立场出发，对利玛窦已经"挪用"过的中国概念进行第二次改造。</w:t>
      </w:r>
    </w:p>
    <w:p>
      <w:pPr>
        <w:spacing w:line="360" w:lineRule="auto"/>
        <w:ind w:firstLine="420"/>
      </w:pPr>
      <w:r>
        <w:rPr>
          <w:rFonts w:ascii="宋体" w:hAnsi="宋体" w:eastAsia="宋体"/>
          <w:b w:val="0"/>
          <w:sz w:val="24"/>
        </w:rPr>
        <w:t>如前文（4.1.1节）所述，徐光启的"补儒"路径将基督教理解为儒家"终极关怀"的补充，李之藻的"心同理同"论则消解了利玛窦精心构建的"耶儒差异"。在此基础之上，杨廷筠作为"圣教三柱石"之一，其接受路径又有所不同——他更侧重于从天主教的"灵修"实践中寻找与儒家"修身"传统的对应点。在杨廷筠看来，天主教的忏悔、祈祷等灵修方式，与儒家的"省身""克己"工夫具有内在的一致性。</w:t>
      </w:r>
    </w:p>
    <w:p>
      <w:pPr>
        <w:spacing w:line="360" w:lineRule="auto"/>
        <w:ind w:firstLine="420"/>
      </w:pPr>
      <w:r>
        <w:rPr>
          <w:rFonts w:ascii="宋体" w:hAnsi="宋体" w:eastAsia="宋体"/>
          <w:b w:val="0"/>
          <w:sz w:val="24"/>
        </w:rPr>
        <w:t>这三种"再挪用"路径共同揭示了一个跨文化传播规律：接受者的"再创造"往往比发送者的"原意"更具历史影响力。真正产生持久影响的，是徐光启、李之藻、杨廷筠等人对利玛窦思想的"二次加工"——它们使天主教在中国获得了初步的本土化形态。</w:t>
      </w:r>
    </w:p>
    <w:p>
      <w:pPr>
        <w:pStyle w:val="Heading2"/>
        <w:spacing w:before="240" w:after="160"/>
      </w:pPr>
      <w:r>
        <w:rPr>
          <w:rFonts w:ascii="黑体" w:hAnsi="黑体" w:eastAsia="黑体"/>
          <w:b/>
          <w:sz w:val="32"/>
        </w:rPr>
        <w:t>5.1.2 对儒家思想的刺激与激活：明清思想转型中的西学因素</w:t>
      </w:r>
    </w:p>
    <w:p>
      <w:pPr>
        <w:spacing w:line="360" w:lineRule="auto"/>
        <w:ind w:firstLine="420"/>
      </w:pPr>
      <w:r>
        <w:rPr>
          <w:rFonts w:ascii="宋体" w:hAnsi="宋体" w:eastAsia="宋体"/>
          <w:b w:val="0"/>
          <w:sz w:val="24"/>
        </w:rPr>
        <w:t>利玛窦的"概念挪用"不仅影响了天主教的在华传播，还对儒家思想本身产生了刺激与激活作用。明清之际的思想转型虽有其内部逻辑，但西学的传入无疑为这一转型提供了重要的外部推力。</w:t>
      </w:r>
    </w:p>
    <w:p>
      <w:pPr>
        <w:spacing w:line="360" w:lineRule="auto"/>
        <w:ind w:firstLine="420"/>
      </w:pPr>
      <w:r>
        <w:rPr>
          <w:rFonts w:ascii="宋体" w:hAnsi="宋体" w:eastAsia="宋体"/>
          <w:b w:val="0"/>
          <w:sz w:val="24"/>
        </w:rPr>
        <w:t>第一，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w:t>
      </w:r>
    </w:p>
    <w:p>
      <w:pPr>
        <w:spacing w:line="360" w:lineRule="auto"/>
        <w:ind w:firstLine="420"/>
      </w:pPr>
      <w:r>
        <w:rPr>
          <w:rFonts w:ascii="宋体" w:hAnsi="宋体" w:eastAsia="宋体"/>
          <w:b w:val="0"/>
          <w:sz w:val="24"/>
        </w:rPr>
        <w:t>第二，利玛窦带来的西方科学知识，推动了明清之际"经世致用"思潮的发展。1607年，利玛窦与徐光启完成《几何原本》前六卷翻译，挑战了中国传统"格物致知"的思维范式。徐光启在序言中写道："此书为用至广，在此时尤所急需。"李之藻与利玛窦合作翻译的《浑盖通宪图说》等科学著作，使西方数学、天文学、地理学知识传入中国，促进了"实事求是"的学风。</w:t>
      </w:r>
    </w:p>
    <w:p>
      <w:pPr>
        <w:spacing w:line="360" w:lineRule="auto"/>
        <w:ind w:firstLine="420"/>
      </w:pPr>
      <w:r>
        <w:rPr>
          <w:rFonts w:ascii="宋体" w:hAnsi="宋体" w:eastAsia="宋体"/>
          <w:b w:val="0"/>
          <w:sz w:val="24"/>
        </w:rPr>
        <w:t>这种"科学精神"的传入，与清初"经世致用"思潮形成了良性互动。徐光启在《农政全书》中提出"欲求超胜，必先会通"的科学观；方以智在《物理小识》中引用利玛窦理论，批判"天圆地方"说，开启中国近代科学思想的先河。</w:t>
      </w:r>
    </w:p>
    <w:p>
      <w:pPr>
        <w:pStyle w:val="Heading2"/>
        <w:spacing w:before="240" w:after="160"/>
      </w:pPr>
      <w:r>
        <w:rPr>
          <w:rFonts w:ascii="黑体" w:hAnsi="黑体" w:eastAsia="黑体"/>
          <w:b/>
          <w:sz w:val="32"/>
        </w:rPr>
        <w:t>5.1.3 近代中国思想史中的回响：从“中体西用”到“全盘西化”</w:t>
      </w:r>
    </w:p>
    <w:p>
      <w:pPr>
        <w:spacing w:line="360" w:lineRule="auto"/>
        <w:ind w:firstLine="420"/>
      </w:pPr>
      <w:r>
        <w:rPr>
          <w:rFonts w:ascii="宋体" w:hAnsi="宋体" w:eastAsia="宋体"/>
          <w:b w:val="0"/>
          <w:sz w:val="24"/>
        </w:rPr>
        <w:t>利玛窦的“概念挪用”策略不仅在明清之际产生了直接影响，还在近代中国思想史中留下了深远的回响。从19世纪中后期的“中体西用”论，到20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 “全盘西化”与利玛窦策略的断裂。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 ；五四知识分子则认为中国传统文化缺少“民主”与“科学”，需要西方文明的“赛先生”和“德先生”来替代。尽管“补足”和“替代”的程度不同，但两者共享了一个基本预设：中国文化不是自足的，需要外来资源的介入才能实现自我更新。 当代“基督教中国化”与利玛窦遗产的再激活。 进入21世纪，“基督教中国化”成为当代中国基督教界和学术界的一个热门议题。这一议题的核心关切，与利玛窦四百年前面临的困境几乎完全相同——如何使一种起源于西方文化语境的宗教，在中国文化中找到合适的表达方式？ 2016年，梵蒂冈出版的《教会与中国文化》，将“利玛窦规矩”列为跨宗教对话的典范 。利玛窦的“适应策略”被现代天主教重新发现并加以推崇。正如哈佛大学史景迁教授所言：“利玛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p>
    <w:p>
      <w:pPr>
        <w:pStyle w:val="Heading2"/>
        <w:spacing w:before="240" w:after="160"/>
      </w:pPr>
      <w:r>
        <w:rPr>
          <w:rFonts w:ascii="黑体" w:hAnsi="黑体" w:eastAsia="黑体"/>
          <w:b/>
          <w:sz w:val="32"/>
        </w:rPr>
        <w:t>5.2 跨文化对话中的“不可通约性”问题</w:t>
      </w:r>
    </w:p>
    <w:p>
      <w:pPr>
        <w:spacing w:line="360" w:lineRule="auto"/>
        <w:ind w:firstLine="420"/>
      </w:pPr>
      <w:r>
        <w:rPr>
          <w:rFonts w:ascii="宋体" w:hAnsi="宋体" w:eastAsia="宋体"/>
          <w:b w:val="0"/>
          <w:sz w:val="24"/>
        </w:rPr>
        <w:t>利玛窦的“概念挪用”策略及其后续的“礼仪之争”，暴露了一个跨文化对话中根本性的理论难题——“不可通约性”。这一概念最初由科学哲学家托马斯·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p>
    <w:p>
      <w:pPr>
        <w:pStyle w:val="Heading2"/>
        <w:spacing w:before="240" w:after="160"/>
      </w:pPr>
      <w:r>
        <w:rPr>
          <w:rFonts w:ascii="黑体" w:hAnsi="黑体" w:eastAsia="黑体"/>
          <w:b/>
          <w:sz w:val="32"/>
        </w:rPr>
        <w:t>5.2.1 “不可通约性”的理论内涵及其在利玛窦案例中的体现</w:t>
      </w:r>
    </w:p>
    <w:p>
      <w:pPr>
        <w:spacing w:line="360" w:lineRule="auto"/>
        <w:ind w:firstLine="420"/>
      </w:pPr>
      <w:r>
        <w:rPr>
          <w:rFonts w:ascii="宋体" w:hAnsi="宋体" w:eastAsia="宋体"/>
          <w:b w:val="0"/>
          <w:sz w:val="24"/>
        </w:rPr>
        <w:t>“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 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p>
    <w:p>
      <w:pPr>
        <w:pStyle w:val="Heading2"/>
        <w:spacing w:before="240" w:after="160"/>
      </w:pPr>
      <w:r>
        <w:rPr>
          <w:rFonts w:ascii="黑体" w:hAnsi="黑体" w:eastAsia="黑体"/>
          <w:b/>
          <w:sz w:val="32"/>
        </w:rPr>
        <w:t>5.2.2 "翻译即背离"：语言转换中的意义流失</w:t>
      </w:r>
    </w:p>
    <w:p>
      <w:pPr>
        <w:spacing w:line="360" w:lineRule="auto"/>
        <w:ind w:firstLine="420"/>
      </w:pPr>
      <w:r>
        <w:rPr>
          <w:rFonts w:ascii="宋体" w:hAnsi="宋体" w:eastAsia="宋体"/>
          <w:b w:val="0"/>
          <w:sz w:val="24"/>
        </w:rPr>
        <w:t>与"不可通约性"密切相关的另一个概念是"不可译性"——因语言结构、文化背景或思维模式差异，导致源语文本在翻译为目的语时无法被准确、完整地再现的现象。这一概念，直接切中了利玛窦"概念挪用"策略的核心困难。</w:t>
      </w:r>
    </w:p>
    <w:p>
      <w:pPr>
        <w:spacing w:line="360" w:lineRule="auto"/>
        <w:ind w:firstLine="420"/>
      </w:pPr>
      <w:r>
        <w:rPr>
          <w:rFonts w:ascii="宋体" w:hAnsi="宋体" w:eastAsia="宋体"/>
          <w:b w:val="0"/>
          <w:sz w:val="24"/>
        </w:rPr>
        <w:t>利玛窦面临的第一重困难是"语言不可译性"。当利玛窦将天主教"天主"译为《尚书》中的"上帝"，在《天主实义》中论证"吾天主，乃古经书所称上帝也"时，他需要在中文词汇库中找到一个与"Deus"在概念外延和内涵上都相近的词。但"上帝"在中国经典中的含义与"Deus"并不完全重合——前者更多地是与"天"相联系的人格化象征，后者则是经过数百年神学讨论精确定义的哲学概念。这种不完全重合，使"上帝"这一译名从一开始就携带了"误读"的风险。</w:t>
      </w:r>
    </w:p>
    <w:p>
      <w:pPr>
        <w:spacing w:line="360" w:lineRule="auto"/>
        <w:ind w:firstLine="420"/>
      </w:pPr>
      <w:r>
        <w:rPr>
          <w:rFonts w:ascii="宋体" w:hAnsi="宋体" w:eastAsia="宋体"/>
          <w:b w:val="0"/>
          <w:sz w:val="24"/>
        </w:rPr>
        <w:t>利玛窦面临的第二重困难是"文化不可译性"——由文化负载词差异所导致。诸如"理""太极""气""仁"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使其失去了原有的意义完整性。</w:t>
      </w:r>
    </w:p>
    <w:p>
      <w:pPr>
        <w:spacing w:line="360" w:lineRule="auto"/>
        <w:ind w:firstLine="420"/>
      </w:pPr>
      <w:r>
        <w:rPr>
          <w:rFonts w:ascii="宋体" w:hAnsi="宋体" w:eastAsia="宋体"/>
          <w:b w:val="0"/>
          <w:sz w:val="24"/>
        </w:rPr>
        <w:t>正如维尔维达基斯所指出的，"翻译并非中性工具，而是涉及深层概念重构"。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p>
    <w:p>
      <w:pPr>
        <w:pStyle w:val="Heading2"/>
        <w:spacing w:before="240" w:after="160"/>
      </w:pPr>
      <w:r>
        <w:rPr>
          <w:rFonts w:ascii="黑体" w:hAnsi="黑体" w:eastAsia="黑体"/>
          <w:b/>
          <w:sz w:val="32"/>
        </w:rPr>
        <w:t>5.2.3 如何在“不可通约”中寻找“可通约”？</w:t>
      </w:r>
    </w:p>
    <w:p>
      <w:pPr>
        <w:spacing w:line="360" w:lineRule="auto"/>
        <w:ind w:firstLine="420"/>
      </w:pPr>
      <w:r>
        <w:rPr>
          <w:rFonts w:ascii="宋体" w:hAnsi="宋体" w:eastAsia="宋体"/>
          <w:b w:val="0"/>
          <w:sz w:val="24"/>
        </w:rPr>
        <w:t>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。他同时指出，自己的立场既不是极端的“不可通约论”，也不是天真的“完全可通约论”，而是介于两者之间：“跨文化理解是可能的，但始终受到限制”。 这种“共通性”首先体现在伦理层面。无论是基督教还是儒家，都关注人的道德完善和社会的秩序和谐。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然而，在肯定“可通约”的同时，也必须警惕一种“过度乐观”的倾向。正如维尔维达基斯所警告的，我们“既不能简单类比不同传统，也不能将不同传统完全割裂，而应在差异中探索理解路径” 。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 。丁耘进一步指出：“格义对于准确地理解外来思想是不利的，但好处是在未尝触及中国学术思想传统的主体性的前提下，从另外的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在“不可通约”与“可通约”之间保持一种解释学的张力，既尊重差异，也寻求共通——这种“既……又……”的辩证姿态，或许才是跨文化对话的成熟之道。</w:t>
      </w:r>
    </w:p>
    <w:p>
      <w:pPr>
        <w:pStyle w:val="Heading2"/>
        <w:spacing w:before="240" w:after="160"/>
      </w:pPr>
      <w:r>
        <w:rPr>
          <w:rFonts w:ascii="黑体" w:hAnsi="黑体" w:eastAsia="黑体"/>
          <w:b/>
          <w:sz w:val="32"/>
        </w:rPr>
        <w:t>5.2.4 利玛窦案例的理论启示：从"不可通约"到"视域融合"</w:t>
      </w:r>
    </w:p>
    <w:p>
      <w:pPr>
        <w:spacing w:line="360" w:lineRule="auto"/>
        <w:ind w:firstLine="420"/>
      </w:pPr>
      <w:r>
        <w:rPr>
          <w:rFonts w:ascii="宋体" w:hAnsi="宋体" w:eastAsia="宋体"/>
          <w:b w:val="0"/>
          <w:sz w:val="24"/>
        </w:rPr>
        <w:t>伽达默尔在《真理与方法》中提出的"视域融合"概念，为跨文化对话研究提供了重要的理论资源。理解者总是带着自身的"视域"来理解文本，而文本也有自己的视域，理解过程就是这两种视域融合的过程，"在保留各自视域的基础上生成了新的视域"。</w:t>
      </w:r>
    </w:p>
    <w:p>
      <w:pPr>
        <w:spacing w:line="360" w:lineRule="auto"/>
        <w:ind w:firstLine="420"/>
      </w:pPr>
      <w:r>
        <w:rPr>
          <w:rFonts w:ascii="宋体" w:hAnsi="宋体" w:eastAsia="宋体"/>
          <w:b w:val="0"/>
          <w:sz w:val="24"/>
        </w:rPr>
        <w:t>利玛窦的案例，可以视为"视域融合"的一个经典案例。徐光启的"补儒"思想、李之藻的"心同理同"论、杨廷筠的"灵修对接"说，都是这种"视域融合"的产物——它们既不是纯粹的天主教教义，也不是纯粹的儒家思想，而是一种在两者的交汇处生成的新的思想形态。</w:t>
      </w:r>
    </w:p>
    <w:p>
      <w:pPr>
        <w:spacing w:line="360" w:lineRule="auto"/>
        <w:ind w:firstLine="420"/>
      </w:pPr>
      <w:r>
        <w:rPr>
          <w:rFonts w:ascii="宋体" w:hAnsi="宋体" w:eastAsia="宋体"/>
          <w:b w:val="0"/>
          <w:sz w:val="24"/>
        </w:rPr>
        <w:t>从"不可通约"到"视域融合"，从"翻译即背离"到"创造性误解"，跨文化对话的路径从来都不是一条坦途，而是一次充满风险但同时也充满创造潜力的旅程。利玛窦的案例告诉我们：跨文化对话的关键，不在于找到一种"完美"的翻译方案（这是不存在的），而在于在意识到"不可通约性"的前提下，依然保持对话的开放性和创造性。</w:t>
      </w:r>
    </w:p>
    <w:p>
      <w:pPr>
        <w:pStyle w:val="Heading2"/>
        <w:spacing w:before="240" w:after="160"/>
      </w:pPr>
      <w:r>
        <w:rPr>
          <w:rFonts w:ascii="黑体" w:hAnsi="黑体" w:eastAsia="黑体"/>
          <w:b/>
          <w:sz w:val="32"/>
        </w:rPr>
        <w:t>5.3 从案例到原则：文明互鉴的方法论提炼</w:t>
      </w:r>
    </w:p>
    <w:p>
      <w:pPr>
        <w:spacing w:line="360" w:lineRule="auto"/>
        <w:ind w:firstLine="420"/>
      </w:pPr>
      <w:r>
        <w:rPr>
          <w:rFonts w:ascii="宋体" w:hAnsi="宋体" w:eastAsia="宋体"/>
          <w:b w:val="0"/>
          <w:sz w:val="24"/>
        </w:rPr>
        <w:t>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p>
    <w:p>
      <w:pPr>
        <w:pStyle w:val="Heading2"/>
        <w:spacing w:before="240" w:after="160"/>
      </w:pPr>
      <w:r>
        <w:rPr>
          <w:rFonts w:ascii="黑体" w:hAnsi="黑体" w:eastAsia="黑体"/>
          <w:b/>
          <w:sz w:val="32"/>
        </w:rPr>
        <w:t>5.3.1 原则一：文化适应与身份重构</w:t>
      </w:r>
    </w:p>
    <w:p>
      <w:pPr>
        <w:spacing w:line="360" w:lineRule="auto"/>
        <w:ind w:firstLine="420"/>
      </w:pPr>
      <w:r>
        <w:rPr>
          <w:rFonts w:ascii="宋体" w:hAnsi="宋体" w:eastAsia="宋体"/>
          <w:b w:val="0"/>
          <w:sz w:val="24"/>
        </w:rPr>
        <w:t>利玛窦案例最核心的启示在于“文化适应”策略。他初入中国时身着僧袍，自称“西僧”，却很快发现僧侣在中国社会地位远低于儒家士大夫 。于是，在弟子瞿汝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p>
    <w:p>
      <w:pPr>
        <w:pStyle w:val="Heading2"/>
        <w:spacing w:before="240" w:after="160"/>
      </w:pPr>
      <w:r>
        <w:rPr>
          <w:rFonts w:ascii="黑体" w:hAnsi="黑体" w:eastAsia="黑体"/>
          <w:b/>
          <w:sz w:val="32"/>
        </w:rPr>
        <w:t>5.3.2 原则二：双向互惠与知识共建</w:t>
      </w:r>
    </w:p>
    <w:p>
      <w:pPr>
        <w:spacing w:line="360" w:lineRule="auto"/>
        <w:ind w:firstLine="420"/>
      </w:pPr>
      <w:r>
        <w:rPr>
          <w:rFonts w:ascii="宋体" w:hAnsi="宋体" w:eastAsia="宋体"/>
          <w:b w:val="0"/>
          <w:sz w:val="24"/>
        </w:rPr>
        <w:t>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正如意大利威尼斯大学校长李集雅（Tiziana Lippiello）所指出的：“我们应该研究文明之间的亲和力，而不是过多强调差异……我们应该致力于不同价值观的分享，而不是取而代之。” 真正的互鉴，是双方都因对方的存在而变得更加丰富。 利玛窦与徐光启合译《几何原本》，利玛窦获得了在中国传播学术的合法性，徐光启则接触到了全新的科学体系——这是双赢的典范。</w:t>
      </w:r>
    </w:p>
    <w:p>
      <w:pPr>
        <w:pStyle w:val="Heading2"/>
        <w:spacing w:before="240" w:after="160"/>
      </w:pPr>
      <w:r>
        <w:rPr>
          <w:rFonts w:ascii="黑体" w:hAnsi="黑体" w:eastAsia="黑体"/>
          <w:b/>
          <w:sz w:val="32"/>
        </w:rPr>
        <w:t>5.3.3 原则三：和而不同与求同存异</w:t>
      </w:r>
    </w:p>
    <w:p>
      <w:pPr>
        <w:spacing w:line="360" w:lineRule="auto"/>
        <w:ind w:firstLine="420"/>
      </w:pPr>
      <w:r>
        <w:rPr>
          <w:rFonts w:ascii="宋体" w:hAnsi="宋体" w:eastAsia="宋体"/>
          <w:b w:val="0"/>
          <w:sz w:val="24"/>
        </w:rPr>
        <w:t>“和而不同”是中华文明处理差异的核心智慧，也是文明互鉴的根本原则。南宋鹅湖之会上，朱熹与陆九渊激烈论辩三日，事后朱熹却诚邀陆九渊赴白鹿洞书院讲学，陆九渊的演讲令听者“多有泣下”，朱熹“为之避席称善” 。这种“在分歧中保持尊重”的精神，穿透了数百年的时光。 在当代语境下，这种精神转化为对文明多样性的自觉维护。正如泰国前副总理披尼·扎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p>
    <w:p>
      <w:pPr>
        <w:pStyle w:val="Heading2"/>
        <w:spacing w:before="240" w:after="160"/>
      </w:pPr>
      <w:r>
        <w:rPr>
          <w:rFonts w:ascii="黑体" w:hAnsi="黑体" w:eastAsia="黑体"/>
          <w:b/>
          <w:sz w:val="32"/>
        </w:rPr>
        <w:t>5.3.4 原则四：制度化保障与代际传承</w:t>
      </w:r>
    </w:p>
    <w:p>
      <w:pPr>
        <w:spacing w:line="360" w:lineRule="auto"/>
        <w:ind w:firstLine="420"/>
      </w:pPr>
      <w:r>
        <w:rPr>
          <w:rFonts w:ascii="宋体" w:hAnsi="宋体" w:eastAsia="宋体"/>
          <w:b w:val="0"/>
          <w:sz w:val="24"/>
        </w:rPr>
        <w:t>利玛窦与徐光启的交往，本质上是个体与个体之间的信任缔结。而当代的文明互鉴，已经发展出更为制度化、常态化的形式。从白鹿洞书院与韩国陶山书院的定期学术交流 ，到复旦大学设立的“利玛窦—徐光启文明对话研究中心”，再到那不勒斯中华书院历经数百年演变成为今天的东方大学——这些机构平台为跨文化对话提供了稳定、持续的保障。 尤为重要的是代际传承。利玛窦最初在中国传教时，其服饰转变得到了传教团负责人范礼安的支持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入彼此的生活环境，和当地人成为朋友。” 文明互鉴的生命力，最终取决于一代又一代人的接续努力。</w:t>
      </w:r>
    </w:p>
    <w:p>
      <w:pPr>
        <w:pStyle w:val="Heading2"/>
        <w:spacing w:before="240" w:after="160"/>
      </w:pPr>
      <w:r>
        <w:rPr>
          <w:rFonts w:ascii="黑体" w:hAnsi="黑体" w:eastAsia="黑体"/>
          <w:b/>
          <w:sz w:val="32"/>
        </w:rPr>
        <w:t>5.4 文明互鉴的当代挑战与应对</w:t>
      </w:r>
    </w:p>
    <w:p>
      <w:pPr>
        <w:spacing w:line="360" w:lineRule="auto"/>
        <w:ind w:firstLine="420"/>
      </w:pPr>
      <w:r>
        <w:rPr>
          <w:rFonts w:ascii="宋体" w:hAnsi="宋体" w:eastAsia="宋体"/>
          <w:b w:val="0"/>
          <w:sz w:val="24"/>
        </w:rPr>
        <w:t>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p>
    <w:p>
      <w:pPr>
        <w:pStyle w:val="Heading2"/>
        <w:spacing w:before="240" w:after="160"/>
      </w:pPr>
      <w:r>
        <w:rPr>
          <w:rFonts w:ascii="黑体" w:hAnsi="黑体" w:eastAsia="黑体"/>
          <w:b/>
          <w:sz w:val="32"/>
        </w:rPr>
        <w:t>5.4.1 挑战一：文化焦虑与身份政治的张力</w:t>
      </w:r>
    </w:p>
    <w:p>
      <w:pPr>
        <w:spacing w:line="360" w:lineRule="auto"/>
        <w:ind w:firstLine="420"/>
      </w:pPr>
      <w:r>
        <w:rPr>
          <w:rFonts w:ascii="宋体" w:hAnsi="宋体" w:eastAsia="宋体"/>
          <w:b w:val="0"/>
          <w:sz w:val="24"/>
        </w:rPr>
        <w:t>全球化浪潮中，"文化焦虑"成为普遍现象——西方大众文化的全球传播引发非西方社会对文化传统被侵蚀的担忧；而以"文化保护"为名的排外主义则走向了文化封闭。这种焦虑的根源在于对"文化主体性"的误解：以为主体性意味着"纯洁性"，以为开放必然导致身份的丧失。</w:t>
      </w:r>
    </w:p>
    <w:p>
      <w:pPr>
        <w:spacing w:line="360" w:lineRule="auto"/>
        <w:ind w:firstLine="420"/>
      </w:pPr>
      <w:r>
        <w:rPr>
          <w:rFonts w:ascii="宋体" w:hAnsi="宋体" w:eastAsia="宋体"/>
          <w:b w:val="0"/>
          <w:sz w:val="24"/>
        </w:rPr>
        <w:t>利玛窦的案例恰恰提供了一个破解这一误区的范本。他始终保持着基督教传教士的主体身份——使用儒家语汇，却以基督教教义为内核；穿儒服、读经书，却从未放弃信仰立场。这表明：文化主体性的维护，不在于拒绝外部影响，而在于有能力对影响进行选择和转化。徐光启同样如此——在接受西方天文历算时，始终从"补儒"框架出发，将西学纳入"经世致用"体系中。</w:t>
      </w:r>
    </w:p>
    <w:p>
      <w:pPr>
        <w:pStyle w:val="Heading2"/>
        <w:spacing w:before="240" w:after="160"/>
      </w:pPr>
      <w:r>
        <w:rPr>
          <w:rFonts w:ascii="黑体" w:hAnsi="黑体" w:eastAsia="黑体"/>
          <w:b/>
          <w:sz w:val="32"/>
        </w:rPr>
        <w:t>5.4.2 挑战二：数字时代的“信息茧房”与认知壁垒</w:t>
      </w:r>
    </w:p>
    <w:p>
      <w:pPr>
        <w:spacing w:line="360" w:lineRule="auto"/>
        <w:ind w:firstLine="420"/>
      </w:pPr>
      <w:r>
        <w:rPr>
          <w:rFonts w:ascii="宋体" w:hAnsi="宋体" w:eastAsia="宋体"/>
          <w:b w:val="0"/>
          <w:sz w:val="24"/>
        </w:rPr>
        <w:t>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利玛窦的智慧在于：他不追求一次性地完成全部翻译，而是从最易产生共鸣的节点入手，逐步构建理解的阶梯。这一思路，在数字时代依然有效。</w:t>
      </w:r>
    </w:p>
    <w:p>
      <w:pPr>
        <w:pStyle w:val="Heading2"/>
        <w:spacing w:before="240" w:after="160"/>
      </w:pPr>
      <w:r>
        <w:rPr>
          <w:rFonts w:ascii="黑体" w:hAnsi="黑体" w:eastAsia="黑体"/>
          <w:b/>
          <w:sz w:val="32"/>
        </w:rPr>
        <w:t>5.4.3 挑战三：从“精英对话”到“大众互鉴”的拓展</w:t>
      </w:r>
    </w:p>
    <w:p>
      <w:pPr>
        <w:spacing w:line="360" w:lineRule="auto"/>
        <w:ind w:firstLine="420"/>
      </w:pPr>
      <w:r>
        <w:rPr>
          <w:rFonts w:ascii="宋体" w:hAnsi="宋体" w:eastAsia="宋体"/>
          <w:b w:val="0"/>
          <w:sz w:val="24"/>
        </w:rPr>
        <w:t>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p>
    <w:p>
      <w:pPr>
        <w:pStyle w:val="Heading2"/>
        <w:spacing w:before="240" w:after="160"/>
      </w:pPr>
      <w:r>
        <w:rPr>
          <w:rFonts w:ascii="黑体" w:hAnsi="黑体" w:eastAsia="黑体"/>
          <w:b/>
          <w:sz w:val="32"/>
        </w:rPr>
        <w:t>5.5 从互鉴到融合：文明共同体的构建之路</w:t>
      </w:r>
    </w:p>
    <w:p>
      <w:pPr>
        <w:spacing w:line="360" w:lineRule="auto"/>
        <w:ind w:firstLine="420"/>
      </w:pPr>
      <w:r>
        <w:rPr>
          <w:rFonts w:ascii="宋体" w:hAnsi="宋体" w:eastAsia="宋体"/>
          <w:b w:val="0"/>
          <w:sz w:val="24"/>
        </w:rPr>
        <w:t>文明互鉴的终极目标，是构建一个"和而不同"的文明共同体。"理一分殊"本是程朱理学的核心概念，在文明互鉴的语境中获得了新的解释：人类对美好生活的普遍追求（"理一"），在不同历史条件和文化土壤中形成不同的价值体系和制度安排（"分殊"）。这不是缺陷，而是人类创造力的体现。</w:t>
      </w:r>
    </w:p>
    <w:p>
      <w:pPr>
        <w:spacing w:line="360" w:lineRule="auto"/>
        <w:ind w:firstLine="420"/>
      </w:pPr>
      <w:r>
        <w:rPr>
          <w:rFonts w:ascii="宋体" w:hAnsi="宋体" w:eastAsia="宋体"/>
          <w:b w:val="0"/>
          <w:sz w:val="24"/>
        </w:rPr>
        <w:t>"和而不同"作为中华文明处理差异的智慧，可以在三个层面发挥作用：对话层面（建立常态化文明间对话机制）、项目层面（在具体领域开展合作项目）、制度层面（推动更包容的全球治理机制）。正如利玛窦与徐光启的相遇所示——当两种伟大文明碰撞时，对话是唯一的选择。今天，全球化的纵深发展使文明互鉴不再是"可选项"，而是"必选项"。</w:t>
      </w:r>
    </w:p>
    <w:p>
      <w:pPr>
        <w:pStyle w:val="Heading1"/>
        <w:spacing w:before="360" w:after="240"/>
      </w:pPr>
      <w:r>
        <w:rPr>
          <w:rFonts w:ascii="黑体" w:hAnsi="黑体" w:eastAsia="黑体"/>
          <w:b/>
          <w:sz w:val="36"/>
        </w:rPr>
        <w:t>第六章 结语</w:t>
      </w:r>
    </w:p>
    <w:p>
      <w:pPr>
        <w:spacing w:line="360" w:lineRule="auto"/>
        <w:ind w:firstLine="420"/>
      </w:pPr>
      <w:r>
        <w:rPr>
          <w:rFonts w:ascii="宋体" w:hAnsi="宋体" w:eastAsia="宋体"/>
          <w:b w:val="0"/>
          <w:sz w:val="24"/>
        </w:rPr>
        <w:t>在全球史与跨文化研究的视域下，明末耶稣会士利玛窦（Matteo Ricci）的“译名实践”绝非仅仅是传教策略中的技术性选择，而是一场深刻触及中国哲学核心地基的“思想事件”。通过前文对“太极”、“理”等关键范畴的细致考辨，以及对其“功能性保留”与“本体论否定”双重策略的剖析，我们已经清晰地勾勒出利玛窦如何以基督教神学为基准，重构儒家形而上学的深层语法。本章将基于前述论证，对这场跨文明对话的逻辑、性质与历史启示进行最终的提炼与升华。</w:t>
      </w:r>
    </w:p>
    <w:p>
      <w:pPr>
        <w:pStyle w:val="Heading2"/>
        <w:spacing w:before="240" w:after="160"/>
      </w:pPr>
      <w:r>
        <w:rPr>
          <w:rFonts w:ascii="黑体" w:hAnsi="黑体" w:eastAsia="黑体"/>
          <w:b/>
          <w:sz w:val="32"/>
        </w:rPr>
        <w:t>6.1 总结全文：一场“置换核心”的哲学工程</w:t>
      </w:r>
    </w:p>
    <w:p>
      <w:pPr>
        <w:spacing w:line="360" w:lineRule="auto"/>
        <w:ind w:firstLine="420"/>
      </w:pPr>
      <w:r>
        <w:rPr>
          <w:rFonts w:ascii="宋体" w:hAnsi="宋体" w:eastAsia="宋体"/>
          <w:b w:val="0"/>
          <w:sz w:val="24"/>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p>
    <w:p>
      <w:pPr>
        <w:pStyle w:val="Heading2"/>
        <w:spacing w:before="240" w:after="160"/>
      </w:pPr>
      <w:r>
        <w:rPr>
          <w:rFonts w:ascii="黑体" w:hAnsi="黑体" w:eastAsia="黑体"/>
          <w:b/>
          <w:sz w:val="32"/>
        </w:rPr>
        <w:t>6.2 定性评价：一场跨文明的“化学反应”</w:t>
      </w:r>
    </w:p>
    <w:p>
      <w:pPr>
        <w:spacing w:line="360" w:lineRule="auto"/>
        <w:ind w:firstLine="420"/>
      </w:pPr>
      <w:r>
        <w:rPr>
          <w:rFonts w:ascii="宋体" w:hAnsi="宋体" w:eastAsia="宋体"/>
          <w:b w:val="0"/>
          <w:sz w:val="24"/>
        </w:rPr>
        <w:t>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 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p>
    <w:p>
      <w:pPr>
        <w:pStyle w:val="Heading2"/>
        <w:spacing w:before="240" w:after="160"/>
      </w:pPr>
      <w:r>
        <w:rPr>
          <w:rFonts w:ascii="黑体" w:hAnsi="黑体" w:eastAsia="黑体"/>
          <w:b/>
          <w:sz w:val="32"/>
        </w:rPr>
        <w:t>6.3 最终升华：深度对话的灵魂叩问</w:t>
      </w:r>
    </w:p>
    <w:p>
      <w:pPr>
        <w:spacing w:line="360" w:lineRule="auto"/>
        <w:ind w:firstLine="420"/>
      </w:pPr>
      <w:r>
        <w:rPr>
          <w:rFonts w:ascii="宋体" w:hAnsi="宋体" w:eastAsia="宋体"/>
          <w:b w:val="0"/>
          <w:sz w:val="24"/>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p>
    <w:p>
      <w:r>
        <w:br w:type="page"/>
      </w:r>
    </w:p>
    <w:p>
      <w:pPr>
        <w:pStyle w:val="Heading1"/>
        <w:spacing w:before="360" w:after="240"/>
      </w:pPr>
      <w:r>
        <w:rPr>
          <w:rFonts w:ascii="黑体" w:hAnsi="黑体" w:eastAsia="黑体"/>
          <w:b/>
          <w:sz w:val="36"/>
        </w:rPr>
        <w:t>参考文献</w:t>
      </w:r>
    </w:p>
    <w:p>
      <w:pPr>
        <w:spacing w:line="300" w:lineRule="auto"/>
      </w:pPr>
      <w:r>
        <w:rPr>
          <w:rFonts w:ascii="宋体" w:hAnsi="宋体" w:eastAsia="宋体"/>
          <w:b w:val="0"/>
          <w:sz w:val="18"/>
        </w:rPr>
        <w:t>[1] 朱熹. 朱子语类[M]. 北京: 中华书局, 1986.</w:t>
      </w:r>
    </w:p>
    <w:p>
      <w:pPr>
        <w:spacing w:line="300" w:lineRule="auto"/>
      </w:pPr>
      <w:r>
        <w:rPr>
          <w:rFonts w:ascii="宋体" w:hAnsi="宋体" w:eastAsia="宋体"/>
          <w:b w:val="0"/>
          <w:sz w:val="18"/>
        </w:rPr>
        <w:t>[2] 周敦颐. 周敦颐集[M]. 北京: 中华书局, 2009.</w:t>
      </w:r>
    </w:p>
    <w:p>
      <w:pPr>
        <w:spacing w:line="300" w:lineRule="auto"/>
      </w:pPr>
      <w:r>
        <w:rPr>
          <w:rFonts w:ascii="宋体" w:hAnsi="宋体" w:eastAsia="宋体"/>
          <w:b w:val="0"/>
          <w:sz w:val="18"/>
        </w:rPr>
        <w:t>[3] 利玛窦. 天主实义[A]. 利玛窦中文著译集[C]. 上海: 复旦大学出版社, 2001.</w:t>
      </w:r>
    </w:p>
    <w:p>
      <w:pPr>
        <w:spacing w:line="300" w:lineRule="auto"/>
      </w:pPr>
      <w:r>
        <w:rPr>
          <w:rFonts w:ascii="宋体" w:hAnsi="宋体" w:eastAsia="宋体"/>
          <w:b w:val="0"/>
          <w:sz w:val="18"/>
        </w:rPr>
        <w:t>[4] 孙尚扬. 明末耶儒之间的论辩及其现代意义[J]. 世界宗教研究, 1993(3): 25-36.</w:t>
      </w:r>
    </w:p>
    <w:p>
      <w:pPr>
        <w:spacing w:line="300" w:lineRule="auto"/>
      </w:pPr>
      <w:r>
        <w:rPr>
          <w:rFonts w:ascii="宋体" w:hAnsi="宋体" w:eastAsia="宋体"/>
          <w:b w:val="0"/>
          <w:sz w:val="18"/>
        </w:rPr>
        <w:t>[5] Wiest, J.-P. From Matteo Ricci to Jacques Gernet: The Changing Image of the Chinese in Western Scholarship[J]. Chinese Studies, 1997, 9(1): 23-47.</w:t>
      </w:r>
    </w:p>
    <w:p>
      <w:pPr>
        <w:spacing w:line="300" w:lineRule="auto"/>
      </w:pPr>
      <w:r>
        <w:rPr>
          <w:rFonts w:ascii="宋体" w:hAnsi="宋体" w:eastAsia="宋体"/>
          <w:b w:val="0"/>
          <w:sz w:val="18"/>
        </w:rPr>
        <w:t>[6] 朱谦之. 中国哲学对欧洲的影响[M]. 石家庄: 河北人民出版社, 2004.</w:t>
      </w:r>
    </w:p>
    <w:p>
      <w:pPr>
        <w:spacing w:line="300" w:lineRule="auto"/>
      </w:pPr>
      <w:r>
        <w:rPr>
          <w:rFonts w:ascii="宋体" w:hAnsi="宋体" w:eastAsia="宋体"/>
          <w:b w:val="0"/>
          <w:sz w:val="18"/>
        </w:rPr>
        <w:t>[7] Huang, P. Confronting Confucianism: The Christian Understanding of Ru Tradition in Late Ming China[M]. Leiden: Brill, 2007.</w:t>
      </w:r>
    </w:p>
    <w:p>
      <w:pPr>
        <w:spacing w:line="300" w:lineRule="auto"/>
      </w:pPr>
      <w:r>
        <w:rPr>
          <w:rFonts w:ascii="宋体" w:hAnsi="宋体" w:eastAsia="宋体"/>
          <w:b w:val="0"/>
          <w:sz w:val="18"/>
        </w:rPr>
        <w:t>[8] 林金水. 徐光启与利玛窦关系考[J]. 中国史研究, 2001(2): 81-93.</w:t>
      </w:r>
    </w:p>
    <w:p>
      <w:pPr>
        <w:spacing w:line="300" w:lineRule="auto"/>
      </w:pPr>
      <w:r>
        <w:rPr>
          <w:rFonts w:ascii="宋体" w:hAnsi="宋体" w:eastAsia="宋体"/>
          <w:b w:val="0"/>
          <w:sz w:val="18"/>
        </w:rPr>
        <w:t>[9] 黄宗羲. 明夷待访录[M]. 北京: 中华书局, 2011.</w:t>
      </w:r>
    </w:p>
    <w:p>
      <w:pPr>
        <w:spacing w:line="300" w:lineRule="auto"/>
      </w:pPr>
      <w:r>
        <w:rPr>
          <w:rFonts w:ascii="宋体" w:hAnsi="宋体" w:eastAsia="宋体"/>
          <w:b w:val="0"/>
          <w:sz w:val="18"/>
        </w:rPr>
        <w:t>[10] Koselleck, R. Begriffsgeschichte und Sozialgeschichte[A]. In: Vergangene Zukunft: Zur Semantik geschichtlicher Zeiten[C]. Frankfurt: Suhrkamp, 1979: 107-129.</w:t>
      </w:r>
    </w:p>
    <w:p>
      <w:pPr>
        <w:spacing w:line="300" w:lineRule="auto"/>
      </w:pPr>
      <w:r>
        <w:rPr>
          <w:rFonts w:ascii="宋体" w:hAnsi="宋体" w:eastAsia="宋体"/>
          <w:b w:val="0"/>
          <w:sz w:val="18"/>
        </w:rPr>
        <w:t>[11] 谢和耐(J. Gernet). 中国与基督教：一种文化的冲突[M]. 上海: 上海古籍出版社, 2003.</w:t>
      </w:r>
    </w:p>
    <w:p>
      <w:pPr>
        <w:spacing w:line="300" w:lineRule="auto"/>
      </w:pPr>
      <w:r>
        <w:rPr>
          <w:rFonts w:ascii="宋体" w:hAnsi="宋体" w:eastAsia="宋体"/>
          <w:b w:val="0"/>
          <w:sz w:val="18"/>
        </w:rPr>
        <w:t>[12] 伽达默尔(H.-G. Gadamer). 真理与方法[M]. 上海: 上海译文出版社, 1999.</w:t>
      </w:r>
    </w:p>
    <w:p>
      <w:pPr>
        <w:spacing w:line="300" w:lineRule="auto"/>
      </w:pPr>
      <w:r>
        <w:rPr>
          <w:rFonts w:ascii="宋体" w:hAnsi="宋体" w:eastAsia="宋体"/>
          <w:b w:val="0"/>
          <w:sz w:val="18"/>
        </w:rPr>
        <w:t>[13] 张翔. 儒学史叙述的分断与孔子之义的比附式诠释[EB/OL]. 爱思想网, 2022-03-15.</w:t>
      </w:r>
    </w:p>
    <w:p>
      <w:pPr>
        <w:spacing w:line="300" w:lineRule="auto"/>
      </w:pPr>
      <w:r>
        <w:rPr>
          <w:rFonts w:ascii="宋体" w:hAnsi="宋体" w:eastAsia="宋体"/>
          <w:b w:val="0"/>
          <w:sz w:val="18"/>
        </w:rPr>
        <w:t>[14] 维尔维达基斯(S. Verividakis). 在差异与共通之间重建理解[N]. 中国社会科学报, 2026-03-06.</w:t>
      </w:r>
    </w:p>
    <w:p>
      <w:pPr>
        <w:spacing w:line="300" w:lineRule="auto"/>
      </w:pPr>
      <w:r>
        <w:rPr>
          <w:rFonts w:ascii="宋体" w:hAnsi="宋体" w:eastAsia="宋体"/>
          <w:b w:val="0"/>
          <w:sz w:val="18"/>
        </w:rPr>
        <w:t>[15] 丁耘. 西方哲学中国化的第一阶段[J]. 哲学研究, 2010(5).</w:t>
      </w:r>
    </w:p>
    <w:p>
      <w:pPr>
        <w:spacing w:line="300" w:lineRule="auto"/>
      </w:pPr>
      <w:r>
        <w:rPr>
          <w:rFonts w:ascii="宋体" w:hAnsi="宋体" w:eastAsia="宋体"/>
          <w:b w:val="0"/>
          <w:sz w:val="18"/>
        </w:rPr>
        <w:t>[16] Spence, J. The Memory Palace of Matteo Ricci[M]. New York: Viking, 1984.</w:t>
      </w:r>
    </w:p>
    <w:p>
      <w:pPr>
        <w:spacing w:line="300" w:lineRule="auto"/>
      </w:pPr>
      <w:r>
        <w:rPr>
          <w:rFonts w:ascii="宋体" w:hAnsi="宋体" w:eastAsia="宋体"/>
          <w:b w:val="0"/>
          <w:sz w:val="18"/>
        </w:rPr>
        <w:t>[17] 徐光启. 农政全书[M]. 上海: 上海古籍出版社, 1979.</w:t>
      </w:r>
    </w:p>
    <w:p>
      <w:pPr>
        <w:spacing w:line="300" w:lineRule="auto"/>
      </w:pPr>
      <w:r>
        <w:rPr>
          <w:rFonts w:ascii="宋体" w:hAnsi="宋体" w:eastAsia="宋体"/>
          <w:b w:val="0"/>
          <w:sz w:val="18"/>
        </w:rPr>
        <w:t>[18] 张之洞. 劝学篇[M]. 武汉: 湖北人民出版社, 2012.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