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40"/>
      </w:pPr>
      <w:r>
        <w:rPr>
          <w:rFonts w:ascii="黑体" w:hAnsi="黑体" w:eastAsia="黑体"/>
          <w:b/>
          <w:sz w:val="36"/>
        </w:rPr>
        <w:t>摘要</w:t>
      </w:r>
    </w:p>
    <w:p>
      <w:pPr>
        <w:spacing w:line="360" w:lineRule="auto"/>
        <w:ind w:firstLine="420"/>
      </w:pPr>
      <w:r>
        <w:rPr>
          <w:rFonts w:ascii="宋体" w:hAnsi="宋体" w:eastAsia="宋体"/>
          <w:b w:val="0"/>
          <w:sz w:val="24"/>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机制—意义”为主线：首先分析利玛窦在《天主实义》中采用的“釜底抽薪”与“借壳上市”两种修辞策略；其次揭示“以西格中”的概念化过程，即用阿奎那式的“存有”层级学说改造宋儒的“理—气—太极”体系；再次跟踪明清士大夫（徐光启、李贽、黄宗羲等）对利玛窦理论的接受与变异，展示“创造性误解”在跨文化传播中的关键作用；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p>
    <w:p>
      <w:pPr>
        <w:spacing w:line="360" w:lineRule="auto"/>
      </w:pPr>
      <w:r>
        <w:rPr>
          <w:rFonts w:ascii="黑体" w:hAnsi="黑体" w:eastAsia="黑体"/>
          <w:b w:val="0"/>
          <w:sz w:val="24"/>
        </w:rPr>
        <w:t>关键词：</w:t>
      </w:r>
      <w:r>
        <w:rPr>
          <w:rFonts w:ascii="宋体" w:hAnsi="宋体" w:eastAsia="宋体"/>
          <w:b w:val="0"/>
          <w:sz w:val="24"/>
        </w:rPr>
        <w:t>利玛窦；《天主实义》；理与太极；耶儒对话；概念挪用</w:t>
      </w:r>
    </w:p>
    <w:p>
      <w:pPr>
        <w:pStyle w:val="Heading1"/>
        <w:spacing w:before="360" w:after="240"/>
      </w:pPr>
      <w:r>
        <w:rPr>
          <w:rFonts w:ascii="黑体" w:hAnsi="黑体" w:eastAsia="黑体"/>
          <w:b/>
          <w:sz w:val="36"/>
        </w:rPr>
        <w:t>第一章 绪论</w:t>
      </w:r>
    </w:p>
    <w:p>
      <w:pPr>
        <w:pStyle w:val="Heading2"/>
        <w:spacing w:before="240" w:after="160"/>
      </w:pPr>
      <w:r>
        <w:rPr>
          <w:rFonts w:ascii="黑体" w:hAnsi="黑体" w:eastAsia="黑体"/>
          <w:b/>
          <w:sz w:val="32"/>
        </w:rPr>
        <w:t>1.1 问题缘起</w:t>
      </w:r>
    </w:p>
    <w:p>
      <w:pPr>
        <w:spacing w:line="360" w:lineRule="auto"/>
        <w:ind w:firstLine="420"/>
      </w:pPr>
      <w:r>
        <w:rPr>
          <w:rFonts w:ascii="宋体" w:hAnsi="宋体" w:eastAsia="宋体"/>
          <w:b w:val="0"/>
          <w:sz w:val="24"/>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如果不理解“理”与“太极”在宋明思想世界中的位置，就无法理解利玛窦所面对的困难。朱熹（1130–1200）在《朱子语类》中明确说过：“太极只是一个理字。”① 在程朱理学的体系里，“理”既是宇宙万物的本源秩序，又是人伦道德的终极根据。它无形无象、无生无灭，却又遍在一切——既是“所以然之故”，又是“所当然之则”。周敦颐（1017–1073）《太极图说》开篇便称“无极而太极”，标志着宇宙论与本体论的统一。② 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③ 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 注释：</w:t>
      </w:r>
    </w:p>
    <w:p>
      <w:pPr>
        <w:spacing w:line="300" w:lineRule="auto"/>
      </w:pPr>
      <w:r>
        <w:rPr>
          <w:rFonts w:ascii="宋体" w:hAnsi="宋体" w:eastAsia="宋体"/>
          <w:b w:val="0"/>
          <w:sz w:val="18"/>
        </w:rPr>
        <w:t>① 朱熹：《朱子语类》卷一，中华书局，1986年，第1页。</w:t>
      </w:r>
    </w:p>
    <w:p>
      <w:pPr>
        <w:spacing w:line="300" w:lineRule="auto"/>
      </w:pPr>
      <w:r>
        <w:rPr>
          <w:rFonts w:ascii="宋体" w:hAnsi="宋体" w:eastAsia="宋体"/>
          <w:b w:val="0"/>
          <w:sz w:val="18"/>
        </w:rPr>
        <w:t>② 周敦颐：《周敦颐集》，中华书局，2009年，第3–8页。</w:t>
      </w:r>
    </w:p>
    <w:p>
      <w:pPr>
        <w:spacing w:line="300" w:lineRule="auto"/>
      </w:pPr>
      <w:r>
        <w:rPr>
          <w:rFonts w:ascii="宋体" w:hAnsi="宋体" w:eastAsia="宋体"/>
          <w:b w:val="0"/>
          <w:sz w:val="18"/>
        </w:rPr>
        <w:t>③ 利玛窦：《天主实义》，载《利玛窦中文著译集》，复旦大学出版社，2001年，第16–20页。</w:t>
      </w:r>
    </w:p>
    <w:p>
      <w:pPr>
        <w:pStyle w:val="Heading2"/>
        <w:spacing w:before="240" w:after="160"/>
      </w:pPr>
      <w:r>
        <w:rPr>
          <w:rFonts w:ascii="黑体" w:hAnsi="黑体" w:eastAsia="黑体"/>
          <w:b/>
          <w:sz w:val="32"/>
        </w:rPr>
        <w:t>1.2 研究现状</w:t>
      </w:r>
    </w:p>
    <w:p>
      <w:pPr>
        <w:spacing w:line="360" w:lineRule="auto"/>
        <w:ind w:firstLine="420"/>
      </w:pPr>
      <w:r>
        <w:rPr>
          <w:rFonts w:ascii="宋体" w:hAnsi="宋体" w:eastAsia="宋体"/>
          <w:b w:val="0"/>
          <w:sz w:val="24"/>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④ 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⑤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⑥ 然而，另一派学者，如香港中文大学的黄保罗（Paulos Huang），则主张利玛窦对“理”的批评实际上是一种“有意扭曲”，其目的不是为了理解朱熹，而是为了在儒耶之间制造出一个“可替换的间隙”，从而在语义上为“Deus”的进入预留空间。⑦ 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⑧ 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⑨ 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pPr>
        <w:spacing w:line="300" w:lineRule="auto"/>
      </w:pPr>
      <w:r>
        <w:rPr>
          <w:rFonts w:ascii="宋体" w:hAnsi="宋体" w:eastAsia="宋体"/>
          <w:b w:val="0"/>
          <w:sz w:val="18"/>
        </w:rPr>
        <w:t>④ 孙尚扬：《明末耶儒之间的论辩及其现代意义》，《世界宗教研究》，1993年第3期，第25–36页。</w:t>
      </w:r>
    </w:p>
    <w:p>
      <w:pPr>
        <w:spacing w:line="300" w:lineRule="auto"/>
      </w:pPr>
      <w:r>
        <w:rPr>
          <w:rFonts w:ascii="宋体" w:hAnsi="宋体" w:eastAsia="宋体"/>
          <w:b w:val="0"/>
          <w:sz w:val="18"/>
        </w:rPr>
        <w:t>⑤ Jean-Paul Wiest, “From Matteo Ricci to Jacques Gernet: The Changing Image of the Chinese in Western Scholarship,” Chinese Studies, vol. 9, no. 1 (1997), pp. 23–47.</w:t>
      </w:r>
    </w:p>
    <w:p>
      <w:pPr>
        <w:spacing w:line="300" w:lineRule="auto"/>
      </w:pPr>
      <w:r>
        <w:rPr>
          <w:rFonts w:ascii="宋体" w:hAnsi="宋体" w:eastAsia="宋体"/>
          <w:b w:val="0"/>
          <w:sz w:val="18"/>
        </w:rPr>
        <w:t>⑥ 朱谦之：《中国哲学对欧洲的影响》，河北人民出版社，2004年，第67–70页。</w:t>
      </w:r>
    </w:p>
    <w:p>
      <w:pPr>
        <w:spacing w:line="300" w:lineRule="auto"/>
      </w:pPr>
      <w:r>
        <w:rPr>
          <w:rFonts w:ascii="宋体" w:hAnsi="宋体" w:eastAsia="宋体"/>
          <w:b w:val="0"/>
          <w:sz w:val="18"/>
        </w:rPr>
        <w:t>⑦ Paulos Huang, Confronting Confucianism: The Christian Understanding of Ru Tradition in Late Ming China (Leiden: Brill, 2007), pp. 98–110.</w:t>
      </w:r>
    </w:p>
    <w:p>
      <w:pPr>
        <w:spacing w:line="300" w:lineRule="auto"/>
      </w:pPr>
      <w:r>
        <w:rPr>
          <w:rFonts w:ascii="宋体" w:hAnsi="宋体" w:eastAsia="宋体"/>
          <w:b w:val="0"/>
          <w:sz w:val="18"/>
        </w:rPr>
        <w:t>⑧ 林金水：《徐光启与利玛窦关系考》，《中国史研究》，2001年第2期，第81–93页。</w:t>
      </w:r>
    </w:p>
    <w:p>
      <w:pPr>
        <w:spacing w:line="300" w:lineRule="auto"/>
      </w:pPr>
      <w:r>
        <w:rPr>
          <w:rFonts w:ascii="宋体" w:hAnsi="宋体" w:eastAsia="宋体"/>
          <w:b w:val="0"/>
          <w:sz w:val="18"/>
        </w:rPr>
        <w:t>⑨ 黄宗羲：《明夷待访录》，中华书局，2011年，第45页。</w:t>
      </w:r>
    </w:p>
    <w:p>
      <w:pPr>
        <w:pStyle w:val="Heading2"/>
        <w:spacing w:before="240" w:after="160"/>
      </w:pPr>
      <w:r>
        <w:rPr>
          <w:rFonts w:ascii="黑体" w:hAnsi="黑体" w:eastAsia="黑体"/>
          <w:b/>
          <w:sz w:val="32"/>
        </w:rPr>
        <w:t>1.3 方法与主线</w:t>
      </w:r>
    </w:p>
    <w:p>
      <w:pPr>
        <w:spacing w:line="360" w:lineRule="auto"/>
        <w:ind w:firstLine="420"/>
      </w:pPr>
      <w:r>
        <w:rPr>
          <w:rFonts w:ascii="宋体" w:hAnsi="宋体" w:eastAsia="宋体"/>
          <w:b w:val="0"/>
          <w:sz w:val="24"/>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 德国学者科塞雷克（Reinhart Koselleck）在其奠基性著作《概念史与社会史》中提出，每一个重要的哲学或政治概念，都承载着特定历史语境中的经验与期待。当概念穿越不同文化边界时，它们的“语义场”会发生系统性的位移。① 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机制（第四章）。本章是全文的核心分析模块。在利玛窦的文本中，存在着一套虽然未明确表述却可清晰辨识的“概念化”机制——即如何将一个经院哲学的概念体系转换成中文术语，并使其看似“自然”地嵌入儒家话语。本文将以阿奎那的“存有层级”（gradus entium）学说为参照，揭示利玛窦的“理”批判背后所依赖的西方形而上学预设，进而展示一种跨文化“意义置换”的具体操作方法。 第三阶：意义（第五章、第六章）。在完成了策略与机制的剖析之后，本文转向对整体案例的评估。第五章分析利玛窦之后明清士大夫的接受状况——他们实际上接受了什么、拒绝了什么、又创造了什么。第六章结语则将视野拉回当代，讨论利玛窦案例对于今天全球语境下跨文明对话的理论启示，尤其是“概念挪用”作为一种不可避免的文化行为，其积极与消极面向分别是什么。 这一“策略—机制—意义”的链条，并非线性的因果序列，而是三个彼此缠绕的分析层次。策略的选择受到机制的制约，而机制只有在接受者的实际反应中才显现出完整的意义。本文的目的不是提供一把万能钥匙，而是尝试将这三个层次同时纳入视野，以期对利玛窦的思想操作做出一次较为系统的理解。 注释：</w:t>
      </w:r>
    </w:p>
    <w:p>
      <w:pPr>
        <w:spacing w:line="300" w:lineRule="auto"/>
      </w:pPr>
      <w:r>
        <w:rPr>
          <w:rFonts w:ascii="宋体" w:hAnsi="宋体" w:eastAsia="宋体"/>
          <w:b w:val="0"/>
          <w:sz w:val="18"/>
        </w:rPr>
        <w:t>① Reinhart Koselleck, “Begriffsgeschichte und Sozialgeschichte,” in Vergangene Zukunft: Zur Semantik geschichtlicher Zeiten (Frankfurt: Suhrkamp, 1979), S. 107–129.</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机制—意义”三层联动分析的尝试，仍尚付阙如。为此，本文提出以概念史、修辞分析与接受史为三重方法，沿着“策略（第二章、第三章）—机制（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p>
    <w:p>
      <w:pPr>
        <w:pStyle w:val="Heading1"/>
        <w:spacing w:before="360" w:after="240"/>
      </w:pPr>
      <w:r>
        <w:rPr>
          <w:rFonts w:ascii="黑体" w:hAnsi="黑体" w:eastAsia="黑体"/>
          <w:b/>
          <w:sz w:val="36"/>
        </w:rPr>
        <w:t>第二章 利玛窦面对的“理—太极”困境</w:t>
      </w:r>
    </w:p>
    <w:p>
      <w:pPr>
        <w:pStyle w:val="Heading2"/>
        <w:spacing w:before="240" w:after="160"/>
      </w:pPr>
      <w:r>
        <w:rPr>
          <w:rFonts w:ascii="黑体" w:hAnsi="黑体" w:eastAsia="黑体"/>
          <w:b/>
          <w:sz w:val="32"/>
        </w:rPr>
        <w:t>2.1 宋儒体系中的“理”与“太极”：本体论与宇宙论的双重功能</w:t>
      </w:r>
    </w:p>
    <w:p>
      <w:pPr>
        <w:spacing w:line="360" w:lineRule="auto"/>
        <w:ind w:firstLine="420"/>
      </w:pPr>
      <w:r>
        <w:rPr>
          <w:rFonts w:ascii="宋体" w:hAnsi="宋体" w:eastAsia="宋体"/>
          <w:b w:val="0"/>
          <w:sz w:val="24"/>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p>
    <w:p>
      <w:pPr>
        <w:pStyle w:val="Heading2"/>
        <w:spacing w:before="240" w:after="160"/>
      </w:pPr>
      <w:r>
        <w:rPr>
          <w:rFonts w:ascii="黑体" w:hAnsi="黑体" w:eastAsia="黑体"/>
          <w:b/>
          <w:sz w:val="32"/>
        </w:rPr>
        <w:t>2.1.1 “太极”的词源与哲学化过程</w:t>
      </w:r>
    </w:p>
    <w:p>
      <w:pPr>
        <w:spacing w:line="360" w:lineRule="auto"/>
        <w:ind w:firstLine="420"/>
      </w:pPr>
      <w:r>
        <w:rPr>
          <w:rFonts w:ascii="宋体" w:hAnsi="宋体" w:eastAsia="宋体"/>
          <w:b w:val="0"/>
          <w:sz w:val="24"/>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 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 。这样，“太极”就同时承担了本体论（为何存在）与宇宙论（如何生成）的双重功能：从存在层级上说，太极是“理”的全体；从生成过程上说，太极通过“动静”推动阴阳五行，化生万物。</w:t>
      </w:r>
    </w:p>
    <w:p>
      <w:pPr>
        <w:pStyle w:val="Heading2"/>
        <w:spacing w:before="240" w:after="160"/>
      </w:pPr>
      <w:r>
        <w:rPr>
          <w:rFonts w:ascii="黑体" w:hAnsi="黑体" w:eastAsia="黑体"/>
          <w:b/>
          <w:sz w:val="32"/>
        </w:rPr>
        <w:t>2.1.2 “理”的多重含义</w:t>
      </w:r>
    </w:p>
    <w:p>
      <w:pPr>
        <w:spacing w:line="360" w:lineRule="auto"/>
        <w:ind w:firstLine="420"/>
      </w:pPr>
      <w:r>
        <w:rPr>
          <w:rFonts w:ascii="宋体" w:hAnsi="宋体" w:eastAsia="宋体"/>
          <w:b w:val="0"/>
          <w:sz w:val="24"/>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 。这里的“理”，不依赖于任何具体事物而独立存在，是宇宙万物存在的终极根据。它无形无象，却实实在在地“存在”着——这种存在是逻辑上的先在，而非时间上的先在。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p>
    <w:p>
      <w:pPr>
        <w:pStyle w:val="Heading2"/>
        <w:spacing w:before="240" w:after="160"/>
      </w:pPr>
      <w:r>
        <w:rPr>
          <w:rFonts w:ascii="黑体" w:hAnsi="黑体" w:eastAsia="黑体"/>
          <w:b/>
          <w:sz w:val="32"/>
        </w:rPr>
        <w:t>2.1.3 “太极即理”的理论张力</w:t>
      </w:r>
    </w:p>
    <w:p>
      <w:pPr>
        <w:spacing w:line="360" w:lineRule="auto"/>
        <w:ind w:firstLine="420"/>
      </w:pPr>
      <w:r>
        <w:rPr>
          <w:rFonts w:ascii="宋体" w:hAnsi="宋体" w:eastAsia="宋体"/>
          <w:b w:val="0"/>
          <w:sz w:val="24"/>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p>
    <w:p>
      <w:pPr>
        <w:pStyle w:val="Heading2"/>
        <w:spacing w:before="240" w:after="160"/>
      </w:pPr>
      <w:r>
        <w:rPr>
          <w:rFonts w:ascii="黑体" w:hAnsi="黑体" w:eastAsia="黑体"/>
          <w:b/>
          <w:sz w:val="32"/>
        </w:rPr>
        <w:t>2.2 《天主实义》的文本结构与论辩策略</w:t>
      </w:r>
    </w:p>
    <w:p>
      <w:pPr>
        <w:spacing w:line="360" w:lineRule="auto"/>
        <w:ind w:firstLine="420"/>
      </w:pPr>
      <w:r>
        <w:rPr>
          <w:rFonts w:ascii="宋体" w:hAnsi="宋体" w:eastAsia="宋体"/>
          <w:b w:val="0"/>
          <w:sz w:val="24"/>
        </w:rPr>
        <w:t>在厘清了程朱理学中“理”与“太极”的本来面貌之后，我们现在可以转向利玛窦的文本，分析他如何在《天主实义》中展开对这两个概念的批判。</w:t>
      </w:r>
    </w:p>
    <w:p>
      <w:pPr>
        <w:pStyle w:val="Heading2"/>
        <w:spacing w:before="240" w:after="160"/>
      </w:pPr>
      <w:r>
        <w:rPr>
          <w:rFonts w:ascii="黑体" w:hAnsi="黑体" w:eastAsia="黑体"/>
          <w:b/>
          <w:sz w:val="32"/>
        </w:rPr>
        <w:t>2.2.1 “中士”与“西士”的对话形式</w:t>
      </w:r>
    </w:p>
    <w:p>
      <w:pPr>
        <w:spacing w:line="360" w:lineRule="auto"/>
        <w:ind w:left="567" w:right="567"/>
      </w:pPr>
      <w:r>
        <w:rPr>
          <w:rFonts w:ascii="楷体" w:hAnsi="楷体" w:eastAsia="楷体"/>
          <w:b w:val="0"/>
          <w:sz w:val="22"/>
        </w:rPr>
        <w:t>《天主实义》的写作形式本身就具有深意。利玛窦将全书设置为“中士”与“西士”的对话——“中士”代表中国士人的立场（在大多数情况下，相当于程朱理学家的立场），而“西士”则代表利玛窦本人的立场</w:t>
      </w:r>
    </w:p>
    <w:p>
      <w:pPr>
        <w:spacing w:line="360" w:lineRule="auto"/>
        <w:ind w:firstLine="420"/>
      </w:pPr>
      <w:r>
        <w:rPr>
          <w:rFonts w:ascii="宋体" w:hAnsi="宋体" w:eastAsia="宋体"/>
          <w:b w:val="0"/>
          <w:sz w:val="24"/>
        </w:rPr>
        <w:t>。这种对话体的选择，至少具有双重效果：第一，它营造出一种平等交流的氛围，使中国读者不至于感到被居高临下地“说教”；第二，它巧妙地将利玛窦的论点包装成对“中士”问题的回应，从而在论证中占据了“主动解疑”而非“被动辩解”的位置。 值得注意的是，书中“中士”并非一个完全被动的角色。他经常提出尖锐的质疑，而这些质疑恰恰反映了利玛窦所预期的中国读者的“思想防线”。通过让“西士”逐一化解这些质疑，利玛窦实际上完成了一场针对潜在读者心理的“预演式”说服。</w:t>
      </w:r>
    </w:p>
    <w:p>
      <w:pPr>
        <w:pStyle w:val="Heading2"/>
        <w:spacing w:before="240" w:after="160"/>
      </w:pPr>
      <w:r>
        <w:rPr>
          <w:rFonts w:ascii="黑体" w:hAnsi="黑体" w:eastAsia="黑体"/>
          <w:b/>
          <w:sz w:val="32"/>
        </w:rPr>
        <w:t>2.2.2 利玛窦对“太极”的批判</w:t>
      </w:r>
    </w:p>
    <w:p>
      <w:pPr>
        <w:spacing w:line="360" w:lineRule="auto"/>
        <w:ind w:left="567" w:right="567"/>
      </w:pPr>
      <w:r>
        <w:rPr>
          <w:rFonts w:ascii="楷体" w:hAnsi="楷体" w:eastAsia="楷体"/>
          <w:b w:val="0"/>
          <w:sz w:val="22"/>
        </w:rPr>
        <w:t>《天主实义》中直接针对“太极”的批判出现在第二篇“解释世人错认天主”中。利玛窦的主要论点可以概括为三点：</w:t>
      </w:r>
    </w:p>
    <w:p>
      <w:pPr>
        <w:spacing w:line="360" w:lineRule="auto"/>
        <w:ind w:firstLine="420"/>
      </w:pPr>
      <w:r>
        <w:rPr>
          <w:rFonts w:ascii="宋体" w:hAnsi="宋体" w:eastAsia="宋体"/>
          <w:b w:val="0"/>
          <w:sz w:val="24"/>
        </w:rPr>
        <w:t>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 。这一批判的核心依据正是西方经院哲学中“自立者”（substance）与“依赖者”（accident）的区分——利玛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p>
    <w:p>
      <w:pPr>
        <w:pStyle w:val="Heading2"/>
        <w:spacing w:before="240" w:after="160"/>
      </w:pPr>
      <w:r>
        <w:rPr>
          <w:rFonts w:ascii="黑体" w:hAnsi="黑体" w:eastAsia="黑体"/>
          <w:b/>
          <w:sz w:val="32"/>
        </w:rPr>
        <w:t>2.2.3 将“理”判定为“依赖者”：经院哲学框架的引入</w:t>
      </w:r>
    </w:p>
    <w:p>
      <w:pPr>
        <w:spacing w:line="360" w:lineRule="auto"/>
        <w:ind w:firstLine="420"/>
      </w:pPr>
      <w:r>
        <w:rPr>
          <w:rFonts w:ascii="宋体" w:hAnsi="宋体" w:eastAsia="宋体"/>
          <w:b w:val="0"/>
          <w:sz w:val="24"/>
        </w:rPr>
        <w:t>在上述批判中，最具根本性的一步是利玛窦将“理”判定为“依赖者”。他依据经院哲学的分类原则——“物之宗品有二，有自立者，有依赖者”——将“理”归入后者 。这一判定的理论前提是：存在者可以分为两类——一类是“自立者”（substance），即能够独立存在的实体；另一类是“依赖者”（accident），即必须依附于实体才能存在的属性或关系。在利玛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p>
    <w:p>
      <w:pPr>
        <w:pStyle w:val="Heading2"/>
        <w:spacing w:before="240" w:after="160"/>
      </w:pPr>
      <w:r>
        <w:rPr>
          <w:rFonts w:ascii="黑体" w:hAnsi="黑体" w:eastAsia="黑体"/>
          <w:b/>
          <w:sz w:val="32"/>
        </w:rPr>
        <w:t>2.3 两种本体论路径的相遇与错位</w:t>
      </w:r>
    </w:p>
    <w:p>
      <w:pPr>
        <w:spacing w:line="360" w:lineRule="auto"/>
        <w:ind w:firstLine="420"/>
      </w:pPr>
      <w:r>
        <w:rPr>
          <w:rFonts w:ascii="宋体" w:hAnsi="宋体" w:eastAsia="宋体"/>
          <w:b w:val="0"/>
          <w:sz w:val="24"/>
        </w:rPr>
        <w:t>经过前两节的分析，我们现在可以更系统地审视利玛窦与程朱理学之间的根本分歧。这一分歧，远不止于对几个概念的异义理解，而是两种本体论路径的深层相遇与错位。</w:t>
      </w:r>
    </w:p>
    <w:p>
      <w:pPr>
        <w:pStyle w:val="Heading2"/>
        <w:spacing w:before="240" w:after="160"/>
      </w:pPr>
      <w:r>
        <w:rPr>
          <w:rFonts w:ascii="黑体" w:hAnsi="黑体" w:eastAsia="黑体"/>
          <w:b/>
          <w:sz w:val="32"/>
        </w:rPr>
        <w:t>2.3.1 从“理”与“上帝”的错位看跨文化对话的困境</w:t>
      </w:r>
    </w:p>
    <w:p>
      <w:pPr>
        <w:spacing w:line="360" w:lineRule="auto"/>
        <w:ind w:firstLine="420"/>
      </w:pPr>
      <w:r>
        <w:rPr>
          <w:rFonts w:ascii="宋体" w:hAnsi="宋体" w:eastAsia="宋体"/>
          <w:b w:val="0"/>
          <w:sz w:val="24"/>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p>
    <w:p>
      <w:pPr>
        <w:pStyle w:val="Heading2"/>
        <w:spacing w:before="240" w:after="160"/>
      </w:pPr>
      <w:r>
        <w:rPr>
          <w:rFonts w:ascii="黑体" w:hAnsi="黑体" w:eastAsia="黑体"/>
          <w:b/>
          <w:sz w:val="32"/>
        </w:rPr>
        <w:t>2.3.2 谁误解了谁？——跨文化理解中的“有意曲解”</w:t>
      </w:r>
    </w:p>
    <w:p>
      <w:pPr>
        <w:spacing w:line="360" w:lineRule="auto"/>
        <w:ind w:firstLine="420"/>
      </w:pPr>
      <w:r>
        <w:rPr>
          <w:rFonts w:ascii="宋体" w:hAnsi="宋体" w:eastAsia="宋体"/>
          <w:b w:val="0"/>
          <w:sz w:val="24"/>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p>
    <w:p>
      <w:pPr>
        <w:pStyle w:val="Heading1"/>
        <w:spacing w:before="360" w:after="240"/>
      </w:pPr>
      <w:r>
        <w:rPr>
          <w:rFonts w:ascii="黑体" w:hAnsi="黑体" w:eastAsia="黑体"/>
          <w:b/>
          <w:sz w:val="36"/>
        </w:rPr>
        <w:t>第三章 概念挪用与改造</w:t>
      </w:r>
    </w:p>
    <w:p>
      <w:pPr>
        <w:pStyle w:val="Heading2"/>
        <w:spacing w:before="240" w:after="160"/>
      </w:pPr>
      <w:r>
        <w:rPr>
          <w:rFonts w:ascii="黑体" w:hAnsi="黑体" w:eastAsia="黑体"/>
          <w:b/>
          <w:sz w:val="32"/>
        </w:rPr>
        <w:t>3.1 “釜底抽薪”：拆解“理”与“太极”的本体论地位</w:t>
      </w:r>
    </w:p>
    <w:p>
      <w:pPr>
        <w:spacing w:line="360" w:lineRule="auto"/>
        <w:ind w:firstLine="420"/>
      </w:pPr>
      <w:r>
        <w:rPr>
          <w:rFonts w:ascii="宋体" w:hAnsi="宋体" w:eastAsia="宋体"/>
          <w:b w:val="0"/>
          <w:sz w:val="24"/>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p>
    <w:p>
      <w:pPr>
        <w:pStyle w:val="Heading2"/>
        <w:spacing w:before="240" w:after="160"/>
      </w:pPr>
      <w:r>
        <w:rPr>
          <w:rFonts w:ascii="黑体" w:hAnsi="黑体" w:eastAsia="黑体"/>
          <w:b/>
          <w:sz w:val="32"/>
        </w:rPr>
        <w:t>3.1.1 概念层级的下移：从“本体”到“属性”</w:t>
      </w:r>
    </w:p>
    <w:p>
      <w:pPr>
        <w:spacing w:line="360" w:lineRule="auto"/>
        <w:ind w:firstLine="420"/>
      </w:pPr>
      <w:r>
        <w:rPr>
          <w:rFonts w:ascii="宋体" w:hAnsi="宋体" w:eastAsia="宋体"/>
          <w:b w:val="0"/>
          <w:sz w:val="24"/>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p>
    <w:p>
      <w:pPr>
        <w:pStyle w:val="Heading2"/>
        <w:spacing w:before="240" w:after="160"/>
      </w:pPr>
      <w:r>
        <w:rPr>
          <w:rFonts w:ascii="黑体" w:hAnsi="黑体" w:eastAsia="黑体"/>
          <w:b/>
          <w:sz w:val="32"/>
        </w:rPr>
        <w:t>3.1.2 功能属性的剥离：否定“理”作为生成原则的身份</w:t>
      </w:r>
    </w:p>
    <w:p>
      <w:pPr>
        <w:spacing w:line="360" w:lineRule="auto"/>
        <w:ind w:firstLine="420"/>
      </w:pPr>
      <w:r>
        <w:rPr>
          <w:rFonts w:ascii="宋体" w:hAnsi="宋体" w:eastAsia="宋体"/>
          <w:b w:val="0"/>
          <w:sz w:val="24"/>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p>
    <w:p>
      <w:pPr>
        <w:pStyle w:val="Heading2"/>
        <w:spacing w:before="240" w:after="160"/>
      </w:pPr>
      <w:r>
        <w:rPr>
          <w:rFonts w:ascii="黑体" w:hAnsi="黑体" w:eastAsia="黑体"/>
          <w:b/>
          <w:sz w:val="32"/>
        </w:rPr>
        <w:t>3.1.3 经典权威的反转：以“古儒”压“今儒”</w:t>
      </w:r>
    </w:p>
    <w:p>
      <w:pPr>
        <w:spacing w:line="360" w:lineRule="auto"/>
        <w:ind w:firstLine="420"/>
      </w:pPr>
      <w:r>
        <w:rPr>
          <w:rFonts w:ascii="宋体" w:hAnsi="宋体" w:eastAsia="宋体"/>
          <w:b w:val="0"/>
          <w:sz w:val="24"/>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w:t>
      </w:r>
    </w:p>
    <w:p>
      <w:pPr>
        <w:spacing w:line="360" w:lineRule="auto"/>
        <w:ind w:left="567" w:right="567"/>
      </w:pPr>
      <w:r>
        <w:rPr>
          <w:rFonts w:ascii="楷体" w:hAnsi="楷体" w:eastAsia="楷体"/>
          <w:b w:val="0"/>
          <w:sz w:val="22"/>
        </w:rPr>
        <w:t>《诗》云：“皇矣上帝，临下有赫。”又云：“上帝临汝，无贰尔心。”</w:t>
      </w:r>
    </w:p>
    <w:p>
      <w:pPr>
        <w:spacing w:line="360" w:lineRule="auto"/>
        <w:ind w:left="567" w:right="567"/>
      </w:pPr>
      <w:r>
        <w:rPr>
          <w:rFonts w:ascii="楷体" w:hAnsi="楷体" w:eastAsia="楷体"/>
          <w:b w:val="0"/>
          <w:sz w:val="22"/>
        </w:rPr>
        <w:t>《书》曰：“惟上帝不常，作善降之百祥，作不善降之百殃。”</w:t>
      </w:r>
    </w:p>
    <w:p>
      <w:pPr>
        <w:spacing w:line="360" w:lineRule="auto"/>
        <w:ind w:firstLine="420"/>
      </w:pPr>
      <w:r>
        <w:rPr>
          <w:rFonts w:ascii="宋体" w:hAnsi="宋体" w:eastAsia="宋体"/>
          <w:b w:val="0"/>
          <w:sz w:val="24"/>
        </w:rPr>
        <w:t>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p>
    <w:p>
      <w:pPr>
        <w:pStyle w:val="Heading2"/>
        <w:spacing w:before="240" w:after="160"/>
      </w:pPr>
      <w:r>
        <w:rPr>
          <w:rFonts w:ascii="黑体" w:hAnsi="黑体" w:eastAsia="黑体"/>
          <w:b/>
          <w:sz w:val="32"/>
        </w:rPr>
        <w:t>3.2 “借壳上市”：重塑“上帝”概念的权威性</w:t>
      </w:r>
    </w:p>
    <w:p>
      <w:pPr>
        <w:spacing w:line="360" w:lineRule="auto"/>
        <w:ind w:firstLine="420"/>
      </w:pPr>
      <w:r>
        <w:rPr>
          <w:rFonts w:ascii="宋体" w:hAnsi="宋体" w:eastAsia="宋体"/>
          <w:b w:val="0"/>
          <w:sz w:val="24"/>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p>
    <w:p>
      <w:pPr>
        <w:pStyle w:val="Heading2"/>
        <w:spacing w:before="240" w:after="160"/>
      </w:pPr>
      <w:r>
        <w:rPr>
          <w:rFonts w:ascii="黑体" w:hAnsi="黑体" w:eastAsia="黑体"/>
          <w:b/>
          <w:sz w:val="32"/>
        </w:rPr>
        <w:t>3.2.1 重新定义“上帝”：“生生”之力与位格性</w:t>
      </w:r>
    </w:p>
    <w:p>
      <w:pPr>
        <w:spacing w:line="360" w:lineRule="auto"/>
        <w:ind w:firstLine="420"/>
      </w:pPr>
      <w:r>
        <w:rPr>
          <w:rFonts w:ascii="宋体" w:hAnsi="宋体" w:eastAsia="宋体"/>
          <w:b w:val="0"/>
          <w:sz w:val="24"/>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p>
    <w:p>
      <w:pPr>
        <w:pStyle w:val="Heading2"/>
        <w:spacing w:before="240" w:after="160"/>
      </w:pPr>
      <w:r>
        <w:rPr>
          <w:rFonts w:ascii="黑体" w:hAnsi="黑体" w:eastAsia="黑体"/>
          <w:b/>
          <w:sz w:val="32"/>
        </w:rPr>
        <w:t>3.2.2 经典证据的拼合：“上帝”在先秦儒家中的角色</w:t>
      </w:r>
    </w:p>
    <w:p>
      <w:pPr>
        <w:spacing w:line="360" w:lineRule="auto"/>
        <w:ind w:firstLine="420"/>
      </w:pPr>
      <w:r>
        <w:rPr>
          <w:rFonts w:ascii="宋体" w:hAnsi="宋体" w:eastAsia="宋体"/>
          <w:b w:val="0"/>
          <w:sz w:val="24"/>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p>
    <w:p>
      <w:pPr>
        <w:pStyle w:val="Heading2"/>
        <w:spacing w:before="240" w:after="160"/>
      </w:pPr>
      <w:r>
        <w:rPr>
          <w:rFonts w:ascii="黑体" w:hAnsi="黑体" w:eastAsia="黑体"/>
          <w:b/>
          <w:sz w:val="32"/>
        </w:rPr>
        <w:t>3.2.3 “借壳”还是“换核”？——概念移植的内在张力</w:t>
      </w:r>
    </w:p>
    <w:p>
      <w:pPr>
        <w:spacing w:line="360" w:lineRule="auto"/>
        <w:ind w:firstLine="420"/>
      </w:pPr>
      <w:r>
        <w:rPr>
          <w:rFonts w:ascii="宋体" w:hAnsi="宋体" w:eastAsia="宋体"/>
          <w:b w:val="0"/>
          <w:sz w:val="24"/>
        </w:rPr>
        <w:t>“借壳上市”这一比喻，虽然形象地描述了利玛窦的策略，但也隐含着一个内在张力：当“外壳”（“上帝”一词）被移植到一个全新的文化语境中时，它原有的“内容”（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p>
    <w:p>
      <w:pPr>
        <w:pStyle w:val="Heading2"/>
        <w:spacing w:before="240" w:after="160"/>
      </w:pPr>
      <w:r>
        <w:rPr>
          <w:rFonts w:ascii="黑体" w:hAnsi="黑体" w:eastAsia="黑体"/>
          <w:b/>
          <w:sz w:val="32"/>
        </w:rPr>
        <w:t>3.3 两种策略的内在关联与张力</w:t>
      </w:r>
    </w:p>
    <w:p>
      <w:pPr>
        <w:spacing w:line="360" w:lineRule="auto"/>
        <w:ind w:firstLine="420"/>
      </w:pPr>
      <w:r>
        <w:rPr>
          <w:rFonts w:ascii="宋体" w:hAnsi="宋体" w:eastAsia="宋体"/>
          <w:b w:val="0"/>
          <w:sz w:val="24"/>
        </w:rPr>
        <w:t>经过前两节的分别分析，我们现在可以回到一个更根本的问题：“釜底抽薪”与“借壳上市”这两种策略之间，存在着怎样的内在关联与张力？</w:t>
      </w:r>
    </w:p>
    <w:p>
      <w:pPr>
        <w:pStyle w:val="Heading2"/>
        <w:spacing w:before="240" w:after="160"/>
      </w:pPr>
      <w:r>
        <w:rPr>
          <w:rFonts w:ascii="黑体" w:hAnsi="黑体" w:eastAsia="黑体"/>
          <w:b/>
          <w:sz w:val="32"/>
        </w:rPr>
        <w:t>3.3.1 策略的内在统一：破与立的共生关系</w:t>
      </w:r>
    </w:p>
    <w:p>
      <w:pPr>
        <w:spacing w:line="360" w:lineRule="auto"/>
        <w:ind w:firstLine="420"/>
      </w:pPr>
      <w:r>
        <w:rPr>
          <w:rFonts w:ascii="宋体" w:hAnsi="宋体" w:eastAsia="宋体"/>
          <w:b w:val="0"/>
          <w:sz w:val="24"/>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p>
    <w:p>
      <w:pPr>
        <w:pStyle w:val="Heading2"/>
        <w:spacing w:before="240" w:after="160"/>
      </w:pPr>
      <w:r>
        <w:rPr>
          <w:rFonts w:ascii="黑体" w:hAnsi="黑体" w:eastAsia="黑体"/>
          <w:b/>
          <w:sz w:val="32"/>
        </w:rPr>
        <w:t>3.3.2 策略的内在张力：适应与抗拒的辩证</w:t>
      </w:r>
    </w:p>
    <w:p>
      <w:pPr>
        <w:spacing w:line="360" w:lineRule="auto"/>
        <w:ind w:firstLine="420"/>
      </w:pPr>
      <w:r>
        <w:rPr>
          <w:rFonts w:ascii="宋体" w:hAnsi="宋体" w:eastAsia="宋体"/>
          <w:b w:val="0"/>
          <w:sz w:val="24"/>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p>
    <w:p>
      <w:pPr>
        <w:pStyle w:val="Heading2"/>
        <w:spacing w:before="240" w:after="160"/>
      </w:pPr>
      <w:r>
        <w:rPr>
          <w:rFonts w:ascii="黑体" w:hAnsi="黑体" w:eastAsia="黑体"/>
          <w:b/>
          <w:sz w:val="32"/>
        </w:rPr>
        <w:t>3.3.3 “以西洋的格中国文化之物”——概念挪用的深层本质</w:t>
      </w:r>
    </w:p>
    <w:p>
      <w:pPr>
        <w:spacing w:line="360" w:lineRule="auto"/>
        <w:ind w:firstLine="420"/>
      </w:pPr>
      <w:r>
        <w:rPr>
          <w:rFonts w:ascii="宋体" w:hAnsi="宋体" w:eastAsia="宋体"/>
          <w:b w:val="0"/>
          <w:sz w:val="24"/>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p>
    <w:p>
      <w:pPr>
        <w:pStyle w:val="Heading1"/>
        <w:spacing w:before="360" w:after="240"/>
      </w:pPr>
      <w:r>
        <w:rPr>
          <w:rFonts w:ascii="黑体" w:hAnsi="黑体" w:eastAsia="黑体"/>
          <w:b/>
          <w:sz w:val="36"/>
        </w:rPr>
        <w:t>第四章 接受与变异</w:t>
      </w:r>
    </w:p>
    <w:p>
      <w:pPr>
        <w:pStyle w:val="Heading2"/>
        <w:spacing w:before="240" w:after="160"/>
      </w:pPr>
      <w:r>
        <w:rPr>
          <w:rFonts w:ascii="黑体" w:hAnsi="黑体" w:eastAsia="黑体"/>
          <w:b/>
          <w:sz w:val="32"/>
        </w:rPr>
        <w:t>4.1 接受的分野：三种不同类型的回应</w:t>
      </w:r>
    </w:p>
    <w:p>
      <w:pPr>
        <w:spacing w:line="360" w:lineRule="auto"/>
        <w:ind w:firstLine="420"/>
      </w:pPr>
      <w:r>
        <w:rPr>
          <w:rFonts w:ascii="宋体" w:hAnsi="宋体" w:eastAsia="宋体"/>
          <w:b w:val="0"/>
          <w:sz w:val="24"/>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p>
    <w:p>
      <w:pPr>
        <w:pStyle w:val="Heading2"/>
        <w:spacing w:before="240" w:after="160"/>
      </w:pPr>
      <w:r>
        <w:rPr>
          <w:rFonts w:ascii="黑体" w:hAnsi="黑体" w:eastAsia="黑体"/>
          <w:b/>
          <w:sz w:val="32"/>
        </w:rPr>
        <w:t>4.1.1 合作性接受：徐光启与李之藻的“补儒”路径</w:t>
      </w:r>
    </w:p>
    <w:p>
      <w:pPr>
        <w:spacing w:line="360" w:lineRule="auto"/>
        <w:ind w:firstLine="420"/>
      </w:pPr>
      <w:r>
        <w:rPr>
          <w:rFonts w:ascii="宋体" w:hAnsi="宋体" w:eastAsia="宋体"/>
          <w:b w:val="0"/>
          <w:sz w:val="24"/>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p>
    <w:p>
      <w:pPr>
        <w:pStyle w:val="Heading2"/>
        <w:spacing w:before="240" w:after="160"/>
      </w:pPr>
      <w:r>
        <w:rPr>
          <w:rFonts w:ascii="黑体" w:hAnsi="黑体" w:eastAsia="黑体"/>
          <w:b/>
          <w:sz w:val="32"/>
        </w:rPr>
        <w:t>4.1.2 选择性借鉴：李贽等异端思想家的独特视角</w:t>
      </w:r>
    </w:p>
    <w:p>
      <w:pPr>
        <w:spacing w:line="360" w:lineRule="auto"/>
        <w:ind w:firstLine="420"/>
      </w:pPr>
      <w:r>
        <w:rPr>
          <w:rFonts w:ascii="宋体" w:hAnsi="宋体" w:eastAsia="宋体"/>
          <w:b w:val="0"/>
          <w:sz w:val="24"/>
        </w:rPr>
        <w:t>与徐光启、李之藻的“皈依式接受”不同，李贽（1527–1602）等异端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p>
    <w:p>
      <w:pPr>
        <w:pStyle w:val="Heading2"/>
        <w:spacing w:before="240" w:after="160"/>
      </w:pPr>
      <w:r>
        <w:rPr>
          <w:rFonts w:ascii="黑体" w:hAnsi="黑体" w:eastAsia="黑体"/>
          <w:b/>
          <w:sz w:val="32"/>
        </w:rPr>
        <w:t>4.1.3 批判性拒绝：黄宗羲与明清之际的反教浪潮</w:t>
      </w:r>
    </w:p>
    <w:p>
      <w:pPr>
        <w:spacing w:line="360" w:lineRule="auto"/>
        <w:ind w:firstLine="420"/>
      </w:pPr>
      <w:r>
        <w:rPr>
          <w:rFonts w:ascii="宋体" w:hAnsi="宋体" w:eastAsia="宋体"/>
          <w:b w:val="0"/>
          <w:sz w:val="24"/>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p>
    <w:p>
      <w:pPr>
        <w:pStyle w:val="Heading2"/>
        <w:spacing w:before="240" w:after="160"/>
      </w:pPr>
      <w:r>
        <w:rPr>
          <w:rFonts w:ascii="黑体" w:hAnsi="黑体" w:eastAsia="黑体"/>
          <w:b/>
          <w:sz w:val="32"/>
        </w:rPr>
        <w:t>4.1.4 三种模式的方法论启示</w:t>
      </w:r>
    </w:p>
    <w:p>
      <w:pPr>
        <w:spacing w:line="360" w:lineRule="auto"/>
        <w:ind w:firstLine="420"/>
      </w:pPr>
      <w:r>
        <w:rPr>
          <w:rFonts w:ascii="宋体" w:hAnsi="宋体" w:eastAsia="宋体"/>
          <w:b w:val="0"/>
          <w:sz w:val="24"/>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p>
    <w:p>
      <w:pPr>
        <w:pStyle w:val="Heading2"/>
        <w:spacing w:before="240" w:after="160"/>
      </w:pPr>
      <w:r>
        <w:rPr>
          <w:rFonts w:ascii="黑体" w:hAnsi="黑体" w:eastAsia="黑体"/>
          <w:b/>
          <w:sz w:val="32"/>
        </w:rPr>
        <w:t>4.2 “创造性误解”的机制分析</w:t>
      </w:r>
    </w:p>
    <w:p>
      <w:pPr>
        <w:spacing w:line="360" w:lineRule="auto"/>
        <w:ind w:firstLine="420"/>
      </w:pPr>
      <w:r>
        <w:rPr>
          <w:rFonts w:ascii="宋体" w:hAnsi="宋体" w:eastAsia="宋体"/>
          <w:b w:val="0"/>
          <w:sz w:val="24"/>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p>
    <w:p>
      <w:pPr>
        <w:pStyle w:val="Heading2"/>
        <w:spacing w:before="240" w:after="160"/>
      </w:pPr>
      <w:r>
        <w:rPr>
          <w:rFonts w:ascii="黑体" w:hAnsi="黑体" w:eastAsia="黑体"/>
          <w:b/>
          <w:sz w:val="32"/>
        </w:rPr>
        <w:t>4.2.1 “前理解”的结构性制约：接受者为何必然“误读”</w:t>
      </w:r>
    </w:p>
    <w:p>
      <w:pPr>
        <w:spacing w:line="360" w:lineRule="auto"/>
        <w:ind w:firstLine="420"/>
      </w:pPr>
      <w:r>
        <w:rPr>
          <w:rFonts w:ascii="宋体" w:hAnsi="宋体" w:eastAsia="宋体"/>
          <w:b w:val="0"/>
          <w:sz w:val="24"/>
        </w:rPr>
        <w:t>德国哲学家伽达默尔（Hans-Georg Gadamer）在其《真理与方法》中提出了一个重要的解释学命题：任何理解都不可能从“白板”开始，而是必然带着理解者自身的“前理解”（Vorverständnis）。这种“前理解”由理解者所处的文化传统、语言结构、历史境遇和个人经验共同构成，它既是理解的必要条件，也是理解的限度所在。一个没有“前理解”的理解者，根本无法进入理解的过程——因为他没有任何可以“把捉”陌生文本的抓手；但正是这个“前理解”，又使得理解者不可避免地以自己的方式“歪曲”文本的原意。 利玛窦的《天主实义》在明清士大夫那里遭遇的命运，正是这一解释学原理的绝佳注脚。徐光启之所以能够接受利玛窦的学说，是因为他将其纳入了自己原有的“补儒易佛”框架之中——这个框架来自他多年的儒学修养和对佛教的不满，是他在接触利玛窦之前就已经形成的“前理解”。李贽之所以对利玛窦的“理”批判产生共鸣，是因为他早已是程朱理学的批判者——利玛窦的论点只是为他已有的立场提供了“异域佐证”。黄宗羲之所以拒绝利玛窦，是因为他从自己作为宋明理学总结者的“前理解”出发，判断利玛窦的学说是对儒学传统的根本挑战。 这些案例表明，接受者的“前理解”不是理解过程中的“噪音”，而是理解可能发生的“条件”。不同的“前理解”决定了不同的“误解方向”——有的走向接受，有的走向拒绝，有的走向选择性的挪用。跨文化传播的关键问题，不在于如何“消除”误解（这是不可能做到的），而在于如何理解和利用误解的创造性潜力。</w:t>
      </w:r>
    </w:p>
    <w:p>
      <w:pPr>
        <w:pStyle w:val="Heading2"/>
        <w:spacing w:before="240" w:after="160"/>
      </w:pPr>
      <w:r>
        <w:rPr>
          <w:rFonts w:ascii="黑体" w:hAnsi="黑体" w:eastAsia="黑体"/>
          <w:b/>
          <w:sz w:val="32"/>
        </w:rPr>
        <w:t>4.2.2 “意义的游移”：从作者意图到接受者意义的滑移</w:t>
      </w:r>
    </w:p>
    <w:p>
      <w:pPr>
        <w:spacing w:line="360" w:lineRule="auto"/>
        <w:ind w:firstLine="420"/>
      </w:pPr>
      <w:r>
        <w:rPr>
          <w:rFonts w:ascii="宋体" w:hAnsi="宋体" w:eastAsia="宋体"/>
          <w:b w:val="0"/>
          <w:sz w:val="24"/>
        </w:rPr>
        <w:t>解释学传统中另一个重要概念是“意义的游移”（slippage of meaning）。这一概念揭示了一个基本的传播学事实：当信息从发送者经由媒介传递到接收者时，意义总会发生某种程度的偏移。这种偏移既可能发生于编码环节（发送者未能精确表达其意图），也可能发生于解码环节（接收者根据自己的理解框架对信息进行重组）。在跨文化传播中，由于发送者和接收者处于不同的文化系统之中，这种意义偏移的幅度往往更大。 利玛窦在《天主实义》中精心设计的论证结构——即将“上帝”作为对“理”与“太极”的替代——在传递给中国士人时，经历了复杂的意义游移。以徐光启为例，他并没有完全接受利玛窦对“理”的彻底否定；相反，他采取了一种“兼容”的立场：承认“上帝”的地位，但并未放弃“理”的本体论意义。在徐光启的思想中，“上帝”与“理”并不是非此即彼的替代关系，而是可以并存共生的——这与利玛窦的原始意图已相距甚远。 李贽的情况则更为复杂。他接受了利玛窦对程朱理学的批判，却忽略了利玛窦批判背后的神学动机——即用“上帝”替代“理”的位置。对于李贽而言，利玛窦的批判只是他用来支持自己反程朱立场的一个“工具”，至于利玛窦自己主张什么，他并不真正关心。这种“为我所用”式的接受，是意义游移的极端表现形式——接受者“借用”外来思想的外壳，却将其内容重构为自己的东西。 黄宗羲的“防御性解读”同样是一种意义游移。他站在儒家卫道者的立场，将利玛窦的学说解读为对儒家传统的全面挑战——这一解读夸大了利玛窦对儒家的批判力度。事实上，利玛窦虽然批判宋儒，却对“古儒”抱持相当的尊重。黄宗羲的“误解”，是将整体性的儒家传统视为一个不可分割的整体，从而将利玛窦对宋儒的批评理解为对儒家全体的攻击。 这三种意义游移的模式，对应着三种不同的接受策略：同化（将外来思想纳入原有框架）、借用（仅取所需，舍其整体）、防御（将外来思想建构为威胁，以强化自身边界）。这三种策略并非彼此排斥，在不同的历史情境中可能交替出现。</w:t>
      </w:r>
    </w:p>
    <w:p>
      <w:pPr>
        <w:pStyle w:val="Heading2"/>
        <w:spacing w:before="240" w:after="160"/>
      </w:pPr>
      <w:r>
        <w:rPr>
          <w:rFonts w:ascii="黑体" w:hAnsi="黑体" w:eastAsia="黑体"/>
          <w:b/>
          <w:sz w:val="32"/>
        </w:rPr>
        <w:t>4.2.3 “创造性误解”的历史效果：新思想的诞生</w:t>
      </w:r>
    </w:p>
    <w:p>
      <w:pPr>
        <w:spacing w:line="360" w:lineRule="auto"/>
        <w:ind w:firstLine="420"/>
      </w:pPr>
      <w:r>
        <w:rPr>
          <w:rFonts w:ascii="宋体" w:hAnsi="宋体" w:eastAsia="宋体"/>
          <w:b w:val="0"/>
          <w:sz w:val="24"/>
        </w:rPr>
        <w:t>如果说“误解”在传播学意义上是一个“问题”，那么在思想史意义上，它却往往是一个“契机”。许多伟大的思想创新，恰恰产生于对既有文本的“创造性误解”之中。 利玛窦的案例再次印证了这一规律。徐光启对利玛窦的“误解”——即将“上帝”理解为“补儒”的工具——催生了一种新的思想形态：耶儒融合的实践神学。徐光启不是简单地“接受”或“拒绝”利玛窦，而是在“接受”的过程中对两者都进行了改造。他创造性地提出，基督教可以“补儒”，即弥补儒家在终极关怀和死后世界方面的不足，而儒家的伦理体系本身是完备的。这一主张虽然偏离了利玛窦的原始意图（利玛窦更希望用基督教“取代”儒家），却在实践中产生了深远的影响——它使得基督教在中国的传播获得了最初的文化合法性。 李贽的“误解”则催生了另一种思想后果：跨文化的批判资源借用。尽管李贽并未皈依基督教，但他与利玛窦的交往以及对利玛窦思想的“选择性借鉴”，为明清之际的思想异端提供了新的武器。利玛窦对“理”的批判，成为了李贽等人批判程朱理学的“异域参照”——这种“借外力以攻内敌”的策略，在后来的历史中反复出现。 而黄宗羲等人的“防御性误解”，虽然表面上是“保守”的，却在反面产生了积极效果——它刺激了儒家思想的自我反思与更新。面对利玛窦的挑战，黄宗羲等儒者不得不重新审视儒家经典中“天”“上帝”等概念的原始含义，以回应西来学说的冲击。这种“回应”本身，就是一种思想深化——它促使儒家学者在捍卫传统的同时，也重新发现了传统内部的复杂性与丰富性。 这三种“创造性误解”的共同特征在于，它们都不是对利玛窦的“错误理解”，而是对利玛窦的“有效借用”——接受者没有“忠实”地再现利玛窦的原意，却成功地利用利玛窦的思想资源实现了自己的文化目标。从跨文化传播的长程效果来看，这种“有效借用”比“忠实理解”更具历史穿透力。</w:t>
      </w:r>
    </w:p>
    <w:p>
      <w:pPr>
        <w:pStyle w:val="Heading2"/>
        <w:spacing w:before="240" w:after="160"/>
      </w:pPr>
      <w:r>
        <w:rPr>
          <w:rFonts w:ascii="黑体" w:hAnsi="黑体" w:eastAsia="黑体"/>
          <w:b/>
          <w:sz w:val="32"/>
        </w:rPr>
        <w:t>4.2.4 “误解”作为跨文化传播的常态与动力</w:t>
      </w:r>
    </w:p>
    <w:p>
      <w:pPr>
        <w:spacing w:line="360" w:lineRule="auto"/>
        <w:ind w:firstLine="420"/>
      </w:pPr>
      <w:r>
        <w:rPr>
          <w:rFonts w:ascii="宋体" w:hAnsi="宋体" w:eastAsia="宋体"/>
          <w:b w:val="0"/>
          <w:sz w:val="24"/>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p>
    <w:p>
      <w:pPr>
        <w:pStyle w:val="Heading2"/>
        <w:spacing w:before="240" w:after="160"/>
      </w:pPr>
      <w:r>
        <w:rPr>
          <w:rFonts w:ascii="黑体" w:hAnsi="黑体" w:eastAsia="黑体"/>
          <w:b/>
          <w:sz w:val="32"/>
        </w:rPr>
        <w:t>4.3 从“礼仪之争”到思想遗产</w:t>
      </w:r>
    </w:p>
    <w:p>
      <w:pPr>
        <w:spacing w:line="360" w:lineRule="auto"/>
        <w:ind w:firstLine="420"/>
      </w:pPr>
      <w:r>
        <w:rPr>
          <w:rFonts w:ascii="宋体" w:hAnsi="宋体" w:eastAsia="宋体"/>
          <w:b w:val="0"/>
          <w:sz w:val="24"/>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p>
    <w:p>
      <w:pPr>
        <w:pStyle w:val="Heading2"/>
        <w:spacing w:before="240" w:after="160"/>
      </w:pPr>
      <w:r>
        <w:rPr>
          <w:rFonts w:ascii="黑体" w:hAnsi="黑体" w:eastAsia="黑体"/>
          <w:b/>
          <w:sz w:val="32"/>
        </w:rPr>
        <w:t>4.3.1 “礼仪之争”中的核心分歧：两个关键问题的回响</w:t>
      </w:r>
    </w:p>
    <w:p>
      <w:pPr>
        <w:spacing w:line="360" w:lineRule="auto"/>
        <w:ind w:firstLine="420"/>
      </w:pPr>
      <w:r>
        <w:rPr>
          <w:rFonts w:ascii="宋体" w:hAnsi="宋体" w:eastAsia="宋体"/>
          <w:b w:val="0"/>
          <w:sz w:val="24"/>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p>
    <w:p>
      <w:pPr>
        <w:pStyle w:val="Heading2"/>
        <w:spacing w:before="240" w:after="160"/>
      </w:pPr>
      <w:r>
        <w:rPr>
          <w:rFonts w:ascii="黑体" w:hAnsi="黑体" w:eastAsia="黑体"/>
          <w:b/>
          <w:sz w:val="32"/>
        </w:rPr>
        <w:t>4.3.2 利玛窦策略的未完成性</w:t>
      </w:r>
    </w:p>
    <w:p>
      <w:pPr>
        <w:spacing w:line="360" w:lineRule="auto"/>
        <w:ind w:firstLine="420"/>
      </w:pPr>
      <w:r>
        <w:rPr>
          <w:rFonts w:ascii="宋体" w:hAnsi="宋体" w:eastAsia="宋体"/>
          <w:b w:val="0"/>
          <w:sz w:val="24"/>
        </w:rPr>
        <w:t>“礼仪之争”的爆发及其后果，揭示了利玛窦策略的一个根本困境：概念挪用虽然能在短期内创造跨文化对话的空间，但在长期的历史进程中，它难以同时满足“内部纯正性”与“外部适应性”的双重要求。 从基督教内部（特别是从后来的龙华民、多明我会视角）来看，利玛窦的策略是一种危险的妥协。它允许中国信徒在使用“天”和“上帝”等词汇的同时，保留了这些词汇在儒家语境中的原有含义——这实际上造成了教义的严重混淆。在龙华民看来，利玛窦的策略虽然在传教初期很有效，但长期来看却损害了教义的纯正性。因此，“礼仪之争”中的反利玛窦阵营，实际上是在为基督教教义的“纯正性”而战——他们宁可牺牲传教的效率，也要确保教义不被中国文化的语境所“污染”。 从这个角度来看，“礼仪之争”是利玛窦“概念挪用”策略从短期有效向长期困境转化的必然结果。利玛窦本人在世时，凭借其个人威望和对中国文化的深刻理解，能够在一定程度上控制这种“概念挪用”的风险——他既借用中国概念，又不断通过《天主实义》等著作“纠正”中国士人对这些概念的理解。但是，当他去世后，继任者们既缺乏他对中国文化的理解深度，也缺乏他在中国士人中的个人威望，这种“概念挪用”的平衡就不复存在了。传教士们分裂为“利玛窦派”和“反利玛窦派”，在概念使用的精细程度上各执一词，最终导致了罗马教廷的干预和清朝的禁教。</w:t>
      </w:r>
    </w:p>
    <w:p>
      <w:pPr>
        <w:pStyle w:val="Heading2"/>
        <w:spacing w:before="240" w:after="160"/>
      </w:pPr>
      <w:r>
        <w:rPr>
          <w:rFonts w:ascii="黑体" w:hAnsi="黑体" w:eastAsia="黑体"/>
          <w:b/>
          <w:sz w:val="32"/>
        </w:rPr>
        <w:t>4.3.3 利玛窦案例的思想遗产：跨文化对话的范式意义</w:t>
      </w:r>
    </w:p>
    <w:p>
      <w:pPr>
        <w:spacing w:line="360" w:lineRule="auto"/>
        <w:ind w:firstLine="420"/>
      </w:pPr>
      <w:r>
        <w:rPr>
          <w:rFonts w:ascii="宋体" w:hAnsi="宋体" w:eastAsia="宋体"/>
          <w:b w:val="0"/>
          <w:sz w:val="24"/>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p>
    <w:p>
      <w:pPr>
        <w:pStyle w:val="Heading3"/>
        <w:spacing w:before="160" w:after="120"/>
      </w:pPr>
      <w:r>
        <w:rPr>
          <w:rFonts w:ascii="黑体" w:hAnsi="黑体" w:eastAsia="黑体"/>
          <w:b/>
          <w:sz w:val="28"/>
        </w:rPr>
        <w:t>本章小结</w:t>
      </w:r>
    </w:p>
    <w:p>
      <w:pPr>
        <w:spacing w:line="360" w:lineRule="auto"/>
        <w:ind w:firstLine="420"/>
      </w:pPr>
      <w:r>
        <w:rPr>
          <w:rFonts w:ascii="宋体" w:hAnsi="宋体" w:eastAsia="宋体"/>
          <w:b w:val="0"/>
          <w:sz w:val="24"/>
        </w:rPr>
        <w:t>本章从“接受与变异”的角度，考察了明清之际士大夫对利玛窦思想的三种不同类型的回应。徐光启的“合作性接受”展示了“以儒摄耶”的同化模式；李贽的“选择性借鉴”揭示了“为我所用”的借用策略；黄宗羲的“批判性拒绝”则体现了“防御性建构”的边界维护功能。在此基础上，本章进一步分析了“创造性误解”的机制——从“前理解”的结构性制约到“意义游移”的具体路径，再到“误解”作为跨文化传播常态的理论总结。最后，通过追溯“礼仪之争”的缘起与后果，本章揭示了利玛窦“概念挪用”策略的内在张力：它在短期有效性与长期持续性之间，在内部纯正性与外部适应性之间，始终面临着难以完全克服的两难困境。然而，正是这种“未完成性”赋予了利玛窦案例持久的理论价值——它为我们理解跨文化对话的困难与可能，提供了一份珍贵的历史样本。</w:t>
      </w:r>
    </w:p>
    <w:p>
      <w:pPr>
        <w:pStyle w:val="Heading1"/>
        <w:spacing w:before="360" w:after="240"/>
      </w:pPr>
      <w:r>
        <w:rPr>
          <w:rFonts w:ascii="黑体" w:hAnsi="黑体" w:eastAsia="黑体"/>
          <w:b/>
          <w:sz w:val="36"/>
        </w:rPr>
        <w:t>第五章 历史效应与反思</w:t>
      </w:r>
    </w:p>
    <w:p>
      <w:pPr>
        <w:pStyle w:val="Heading2"/>
        <w:spacing w:before="240" w:after="160"/>
      </w:pPr>
      <w:r>
        <w:rPr>
          <w:rFonts w:ascii="黑体" w:hAnsi="黑体" w:eastAsia="黑体"/>
          <w:b/>
          <w:sz w:val="32"/>
        </w:rPr>
        <w:t>5.1 从“概念挪用”到“思想再生产”：利玛窦案例的历史效应</w:t>
      </w:r>
    </w:p>
    <w:p>
      <w:pPr>
        <w:spacing w:line="360" w:lineRule="auto"/>
        <w:ind w:firstLine="420"/>
      </w:pPr>
      <w:r>
        <w:rPr>
          <w:rFonts w:ascii="宋体" w:hAnsi="宋体" w:eastAsia="宋体"/>
          <w:b w:val="0"/>
          <w:sz w:val="24"/>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p>
    <w:p>
      <w:pPr>
        <w:pStyle w:val="Heading2"/>
        <w:spacing w:before="240" w:after="160"/>
      </w:pPr>
      <w:r>
        <w:rPr>
          <w:rFonts w:ascii="黑体" w:hAnsi="黑体" w:eastAsia="黑体"/>
          <w:b/>
          <w:sz w:val="32"/>
        </w:rPr>
        <w:t>5.1.1 从“挪用”到“再挪用”：接受者的二次创造</w:t>
      </w:r>
    </w:p>
    <w:p>
      <w:pPr>
        <w:spacing w:line="360" w:lineRule="auto"/>
        <w:ind w:firstLine="420"/>
      </w:pPr>
      <w:r>
        <w:rPr>
          <w:rFonts w:ascii="宋体" w:hAnsi="宋体" w:eastAsia="宋体"/>
          <w:b w:val="0"/>
          <w:sz w:val="24"/>
        </w:rPr>
        <w:t>徐光启、李之藻等人对利玛窦思想的接受，并非被动的“照单全收”，而是主动的“再创造”。这种“再创造”的过程，本质上是一种“再挪用”——接受者从自己的文化立场出发，对利玛窦已经“挪用”过的中国概念（如“上帝”“天”“理”）进行第二次改造，使其适应自己的思想需求。 徐光启的“补儒”路径是“再挪用”的典型案例。他接受了利玛窦关于“上帝”是宇宙主宰的基本命题，但拒绝接受利玛窦对“理”与“太极”的彻底否定。在徐光启的思想体系中，“上帝”与“理”并非非此即彼的替代关系，而是可以并存的——基督教为儒家提供了“终极关怀”的补充，而儒家则为基督教提供了伦理实践的基础。徐光启曾上书为天主教辩护，认为天主教能“补益王化，左右儒术，救正佛法，裨益当朝” 。这种“耶儒融合”的方案，既不是纯粹的基督教，也不是纯粹的儒家，而是一种全新的思想形态。 李之藻的“心同理同”论则是另一种“再挪用”路径。他将利玛窦的“上帝”等同于儒家经典中的“天”，从而消解了利玛窦精心构建的“耶儒差异”。李之藻在为《天主实义》所作的序言中写道：“信哉！东海西海，心同理同。不同者，特言语文字之际。” 这种解读虽然偏离了利玛窦的原意，却为天主教在中国的传播提供了一种强有力的文化合法性论证——如果“上帝”本来就是中国古人所崇拜的，那么接受天主教就不是“背弃传统”，而是“回归传统”。 杨廷筠作为“圣教三柱石”之一，其接受路径又有所不同。他更侧重于从天主教的“灵修”实践中寻找与儒家“修身”传统的对应点。在杨廷筠看来，天主教的忏悔、祈祷等灵修方式，与儒家的“省身”“克己”工夫具有内在的一致性——两者都追求个体的道德完善和与终极实在的和解。这种“灵修对接”，使得天主教在实践层面获得了儒家士人的认同。 这三种“再挪用”路径，共同揭示了一个重要的跨文化传播规律：接受者的“再创造”往往比发送者的“原意”更具历史影响力。利玛窦本人的《天主实义》虽然在当时引起了广泛关注，但真正产生持久影响的，却是徐光启、李之藻、杨廷筠等人对利玛窦思想的“二次加工”——他们的著作和实践活动，使得天主教在中国获得了初步的本土化形态。</w:t>
      </w:r>
    </w:p>
    <w:p>
      <w:pPr>
        <w:pStyle w:val="Heading2"/>
        <w:spacing w:before="240" w:after="160"/>
      </w:pPr>
      <w:r>
        <w:rPr>
          <w:rFonts w:ascii="黑体" w:hAnsi="黑体" w:eastAsia="黑体"/>
          <w:b/>
          <w:sz w:val="32"/>
        </w:rPr>
        <w:t>5.1.2 对儒家思想的刺激与激活：明清思想转型中的西学因素</w:t>
      </w:r>
    </w:p>
    <w:p>
      <w:pPr>
        <w:spacing w:line="360" w:lineRule="auto"/>
        <w:ind w:firstLine="420"/>
      </w:pPr>
      <w:r>
        <w:rPr>
          <w:rFonts w:ascii="宋体" w:hAnsi="宋体" w:eastAsia="宋体"/>
          <w:b w:val="0"/>
          <w:sz w:val="24"/>
        </w:rPr>
        <w:t>利玛窦的“概念挪用”不仅影响了天主教的在华传播，还对儒家思想本身产生了刺激与激活作用。明清之际的思想转型——从程朱理学的“天理”本位转向清初的“经世致用”与“考据学”——虽然有其内部的思想逻辑，但西学的传入无疑为这一转型提供了重要的外部推力。 第一，利玛窦对“理”与“太极”的批判，客观上暴露了程朱理学内部的理论张力。 利玛窦在《天主实义》中批驳宋明理学的核心范畴“太极”与“理”时指出：“但闻古先君子，敬恭于天地之上帝，未闻有尊奉太极者。如太极为上帝，万物之祖，古圣何隐其说乎？” 这种批判虽然在学理上存在“策略性曲解”的成分，但它确实击中了一个要害问题——程朱理学中“理”作为“净洁空阔”的形而上者，如何能够成为“动而生阳”的生成原理？这一张力，在利玛窦的批判中被放大和凸显，促使一些儒家学者重新思考“理”与“气”的关系。 第二，利玛窦对“古儒”与“今儒”的区分，刺激了清初“回归原典”的考据学运动。 利玛窦在《天主实义》中反复援引先秦儒家经典中的“上帝”概念，以论证天主教与古儒的一致性、以及对宋儒“理”学的批判。他以秦始皇“焚书坑儒”为节点，将儒学史一截为二，认为暴秦之后的儒学发展悖离了孔子之义，尤其是认为宋明儒学的发展本质上是援佛入儒，严重歪曲先圣之意 。这种“尊古抑今”的论证策略，与清初考据学家们的“回归原典”诉求存在着某种“家族相似”——顾炎武、黄宗羲、王夫之等人都主张抛开宋儒的注疏，直接回到先秦经典中寻找儒学的真精神。正如张翔所指出的，利玛窦以“秦火”作为断裂节点叙述儒学史的做法，是其以“西儒”角色展开适应策略的关键依托。 第三，利玛窦带来的西方科学知识，推动了明清之际“经世致用”思潮的发展。 1607年，利玛窦与徐光启耗时三年完成《几何原本》前六卷翻译，书中“点无大小，线无粗细”的定义，挑战了中国传统“格物致知”的思维范式 。徐光启在序言中写道：“此书为用至广，在此时尤所急需。”李之藻与利玛窦合作翻译的《浑盖通宪图说》等科学著作，使得西方数学、天文学、地理学知识传入中国。这些科学知识不仅丰富了中国的知识体系，还促进了“实事求是”的学风——学者们开始重视实测、实验和逻辑推理。 这种“科学精神”的传入，与清初“经世致用”思潮形成了良性互动。利玛窦传入的哥白尼学说，经李之藻《浑盖通宪图说》传播，使徐光启在《农政全书》中提出“欲求超胜，必先会通”的科学观 。方以智在《物理小识》中引用利玛窦理论，批判“天圆地方”说，开启中国近代科学思想的先河。</w:t>
      </w:r>
    </w:p>
    <w:p>
      <w:pPr>
        <w:pStyle w:val="Heading2"/>
        <w:spacing w:before="240" w:after="160"/>
      </w:pPr>
      <w:r>
        <w:rPr>
          <w:rFonts w:ascii="黑体" w:hAnsi="黑体" w:eastAsia="黑体"/>
          <w:b/>
          <w:sz w:val="32"/>
        </w:rPr>
        <w:t>5.1.3 近代中国思想史中的回响：从“中体西用”到“全盘西化”</w:t>
      </w:r>
    </w:p>
    <w:p>
      <w:pPr>
        <w:spacing w:line="360" w:lineRule="auto"/>
        <w:ind w:firstLine="420"/>
      </w:pPr>
      <w:r>
        <w:rPr>
          <w:rFonts w:ascii="宋体" w:hAnsi="宋体" w:eastAsia="宋体"/>
          <w:b w:val="0"/>
          <w:sz w:val="24"/>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 ；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 。利玛窦的“适应策略”被现代天主教重新发现并加以推崇。正如哈佛大学史景迁教授所言：“利玛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p>
    <w:p>
      <w:pPr>
        <w:pStyle w:val="Heading2"/>
        <w:spacing w:before="240" w:after="160"/>
      </w:pPr>
      <w:r>
        <w:rPr>
          <w:rFonts w:ascii="黑体" w:hAnsi="黑体" w:eastAsia="黑体"/>
          <w:b/>
          <w:sz w:val="32"/>
        </w:rPr>
        <w:t>5.2 跨文化对话中的“不可通约性”问题</w:t>
      </w:r>
    </w:p>
    <w:p>
      <w:pPr>
        <w:spacing w:line="360" w:lineRule="auto"/>
        <w:ind w:firstLine="420"/>
      </w:pPr>
      <w:r>
        <w:rPr>
          <w:rFonts w:ascii="宋体" w:hAnsi="宋体" w:eastAsia="宋体"/>
          <w:b w:val="0"/>
          <w:sz w:val="24"/>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p>
    <w:p>
      <w:pPr>
        <w:pStyle w:val="Heading2"/>
        <w:spacing w:before="240" w:after="160"/>
      </w:pPr>
      <w:r>
        <w:rPr>
          <w:rFonts w:ascii="黑体" w:hAnsi="黑体" w:eastAsia="黑体"/>
          <w:b/>
          <w:sz w:val="32"/>
        </w:rPr>
        <w:t>5.2.1 “不可通约性”的理论内涵及其在利玛窦案例中的体现</w:t>
      </w:r>
    </w:p>
    <w:p>
      <w:pPr>
        <w:spacing w:line="360" w:lineRule="auto"/>
        <w:ind w:firstLine="420"/>
      </w:pPr>
      <w:r>
        <w:rPr>
          <w:rFonts w:ascii="宋体" w:hAnsi="宋体" w:eastAsia="宋体"/>
          <w:b w:val="0"/>
          <w:sz w:val="24"/>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p>
    <w:p>
      <w:pPr>
        <w:pStyle w:val="Heading2"/>
        <w:spacing w:before="240" w:after="160"/>
      </w:pPr>
      <w:r>
        <w:rPr>
          <w:rFonts w:ascii="黑体" w:hAnsi="黑体" w:eastAsia="黑体"/>
          <w:b/>
          <w:sz w:val="32"/>
        </w:rPr>
        <w:t>5.2.2 “翻译即背离”：语言转换中的意义流失</w:t>
      </w:r>
    </w:p>
    <w:p>
      <w:pPr>
        <w:spacing w:line="360" w:lineRule="auto"/>
        <w:ind w:firstLine="420"/>
      </w:pPr>
      <w:r>
        <w:rPr>
          <w:rFonts w:ascii="宋体" w:hAnsi="宋体" w:eastAsia="宋体"/>
          <w:b w:val="0"/>
          <w:sz w:val="24"/>
        </w:rPr>
        <w:t>与“不可通约性”密切相关的另一个概念是“不可译性”。根据百度百科的定义，不可译性指“因语言结构、文化背景或思维模式差异，导致源语文本在翻译为目的语时无法被准确、完整地再现，或根本无法被翻译的现象” 。这一概念，直接切中了利玛窦“概念挪用”策略的核心困难。 利玛窦面临的第一重困难是“语言不可译性”——即“源于两种语言在语音、词汇、语法、修辞等形式特征上的差异”所导致的翻译困难。当利玛窦试图将“Deus”翻译为“上帝”时，他需要在中文词汇库中找到一个与“Deus”在概念外延和内涵上都相近的词。但他很快发现，“上帝”在中国经典中的含义与“Deus”并不完全重合——前者更多地是与“天”相联系的人格化象征，后者则是一个经过数百年神学讨论精确定义的哲学概念。这种不完全重合，使得“上帝”这一译名从一开始就携带了“误读”的风险。 利玛窦将天主教“天主”译为《尚书》中的“上帝”，在《天主实义》中论证：“吾天主，乃古经书所称上帝也。” 这种“附儒合儒”策略，使徐光启等士大夫在不背弃传统的前提下接受教义。然而，利玛窦的继任者龙华民对此持强烈反对态度，他认为“天主”、“上帝”不能代表创造万物的“神”，主张采用音译“泰初”或“陡斯”来表示拉丁文的Deus。 利玛窦面临的第二重困难是“文化不可译性”——即“由文化负载词差异导致”的翻译困难。诸如“理”“太极”“气”“仁”等中国哲学的核心概念，都是高度“文化负载”的——它们的内涵是由数千年的中国思想史所塑造的，无法被简单地“剥离”出其文化语境而移植到另一个语言系统之中。当利玛窦用“依赖者”来翻译“理”时，他不仅是在做一种语言转换，更是在做一种“文化暴力”——他用自己的文化框架“肢解”了对方的概念，使其失去了原有的意义完整性和思想穿透力。 有学者在分析《道德经》的翻译时曾深刻指出：“古汉语与现代英语之间存在不可通约性” 。译者居延安也感叹，他在翻译《道德经》时仿佛置身“万丈深渊的断桥”之上，“经常是早晨跳过去了，晚上又得跳回来”。这种“断桥”的意象，同样适用于利玛窦的处境——他试图在中西哲学之间架设一座桥梁，但每一座桥都建立在“断裂”之上，每一次翻译都面临着意义的流失与扭曲。 正如维尔维达基斯所指出的那样，“翻译并非中性工具，而是涉及深层概念重构” 。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p>
    <w:p>
      <w:pPr>
        <w:pStyle w:val="Heading2"/>
        <w:spacing w:before="240" w:after="160"/>
      </w:pPr>
      <w:r>
        <w:rPr>
          <w:rFonts w:ascii="黑体" w:hAnsi="黑体" w:eastAsia="黑体"/>
          <w:b/>
          <w:sz w:val="32"/>
        </w:rPr>
        <w:t>5.2.3 如何在“不可通约”中寻找“可通约”？</w:t>
      </w:r>
    </w:p>
    <w:p>
      <w:pPr>
        <w:spacing w:line="360" w:lineRule="auto"/>
        <w:ind w:firstLine="420"/>
      </w:pPr>
      <w:r>
        <w:rPr>
          <w:rFonts w:ascii="宋体" w:hAnsi="宋体" w:eastAsia="宋体"/>
          <w:b w:val="0"/>
          <w:sz w:val="24"/>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 。丁耘进一步指出：“格义对于准确地理解外来思想是不利的，但好处是在未尝触及中国学术思想传统的主体性的前提下，从另外的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既……又……”的辩证姿态，或许才是跨文化对话的成熟之道。</w:t>
      </w:r>
    </w:p>
    <w:p>
      <w:pPr>
        <w:pStyle w:val="Heading2"/>
        <w:spacing w:before="240" w:after="160"/>
      </w:pPr>
      <w:r>
        <w:rPr>
          <w:rFonts w:ascii="黑体" w:hAnsi="黑体" w:eastAsia="黑体"/>
          <w:b/>
          <w:sz w:val="32"/>
        </w:rPr>
        <w:t>5.2.4 利玛窦案例的理论启示：从“不可通约”到“视域融合”</w:t>
      </w:r>
    </w:p>
    <w:p>
      <w:pPr>
        <w:spacing w:line="360" w:lineRule="auto"/>
        <w:ind w:firstLine="420"/>
      </w:pPr>
      <w:r>
        <w:rPr>
          <w:rFonts w:ascii="宋体" w:hAnsi="宋体" w:eastAsia="宋体"/>
          <w:b w:val="0"/>
          <w:sz w:val="24"/>
        </w:rPr>
        <w:t>德国哲学家伽达默尔在其《真理与方法》中提出了“视域融合”的概念，用以描述理解过程中理解者与文本之间“视域”的交互与融合。根据现代释义学的阐释，理解者总是带着自身的“视域”来理解文本，而文本也有自己的视域，理解过程就是这两种视域融合的过程，“在保留各自视域的基础上生成了新的视域” 。正如伽达默尔所说：“理解就不只是一种复制的行为，而始终是一种创造性的行为”。这种理解本体论的视角，为跨文化对话研究提供了重要的理论资源。 利玛窦的案例，可以视为“视域融合”的一个经典案例——虽然它不是一个“成功”的案例（因为它最终以“礼仪之争”和禁教令而告终），但它确实展示了“视域融合”的基本特征：两种异质文化在相遇中产生了新的意义空间，这些意义既不属于纯粹的西方，也不属于纯粹的中国，而是一种“第三种空间”的产物。 徐光启的“补儒”思想、李之藻的“心同理同”论、杨廷筠的“灵修对接”说，都是这种“视域融合”的产物。它们既不是纯粹的天主教教义，也不是纯粹的儒家思想，而是一种在两者的交汇处生成的新的思想形态。正如《发现东亚》一文所指出的，利玛窦采取“求同存异”的办法，“主要讲基督教文化和中国文化的相同之处，试图通过对‘原儒’的崇敬来沟通两种文化” 。这种策略虽然在学术精确性上存在不足，却在实践层面打开了跨文化对话的空间。 “视域融合”的概念对我们理解跨文化对话的启示在于：我们不应该追求一种“绝对客观”的跨文化理解——这种理解本身就是不可能实现的乌托邦。相反，我们应当接受一个事实：跨文化理解永远是不完全的、有条件的、受限于理解者自身“前理解”的。但这并不意味着跨文化理解没有价值——恰恰相反，正是这种“不完全的理解”，才催生了新的思想可能。 从“不可通约”到“视域融合”，从“翻译即背离”到“创造性误解”，跨文化对话的路径从来都不是一条坦途，而是一次充满风险但同时也充满创造潜力的旅程。利玛窦的案例，为这段旅程提供了珍贵的历史经验与教训——它告诉我们，跨文化对话的关键，不在于找到一种“完美”的翻译方案（这是不存在的），而在于在意识到“不可通约性”的前提下，依然保持对话的开放性和创造性。</w:t>
      </w:r>
    </w:p>
    <w:p>
      <w:pPr>
        <w:pStyle w:val="Heading2"/>
        <w:spacing w:before="240" w:after="160"/>
      </w:pPr>
      <w:r>
        <w:rPr>
          <w:rFonts w:ascii="黑体" w:hAnsi="黑体" w:eastAsia="黑体"/>
          <w:b/>
          <w:sz w:val="32"/>
        </w:rPr>
        <w:t>5.3 从案例到原则：文明互鉴的方法论提炼</w:t>
      </w:r>
    </w:p>
    <w:p>
      <w:pPr>
        <w:spacing w:line="360" w:lineRule="auto"/>
        <w:ind w:firstLine="420"/>
      </w:pPr>
      <w:r>
        <w:rPr>
          <w:rFonts w:ascii="宋体" w:hAnsi="宋体" w:eastAsia="宋体"/>
          <w:b w:val="0"/>
          <w:sz w:val="24"/>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p>
    <w:p>
      <w:pPr>
        <w:pStyle w:val="Heading2"/>
        <w:spacing w:before="240" w:after="160"/>
      </w:pPr>
      <w:r>
        <w:rPr>
          <w:rFonts w:ascii="黑体" w:hAnsi="黑体" w:eastAsia="黑体"/>
          <w:b/>
          <w:sz w:val="32"/>
        </w:rPr>
        <w:t>5.3.1 原则一：文化适应与身份重构</w:t>
      </w:r>
    </w:p>
    <w:p>
      <w:pPr>
        <w:spacing w:line="360" w:lineRule="auto"/>
        <w:ind w:firstLine="420"/>
      </w:pPr>
      <w:r>
        <w:rPr>
          <w:rFonts w:ascii="宋体" w:hAnsi="宋体" w:eastAsia="宋体"/>
          <w:b w:val="0"/>
          <w:sz w:val="24"/>
        </w:rPr>
        <w:t>利玛窦案例最核心的启示在于“文化适应”策略。他初入中国时身着僧袍，自称“西僧”，却很快发现僧侣在中国社会地位远低于儒家士大夫 。于是，在弟子瞿汝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p>
    <w:p>
      <w:pPr>
        <w:pStyle w:val="Heading2"/>
        <w:spacing w:before="240" w:after="160"/>
      </w:pPr>
      <w:r>
        <w:rPr>
          <w:rFonts w:ascii="黑体" w:hAnsi="黑体" w:eastAsia="黑体"/>
          <w:b/>
          <w:sz w:val="32"/>
        </w:rPr>
        <w:t>5.3.2 原则二：双向互惠与知识共建</w:t>
      </w:r>
    </w:p>
    <w:p>
      <w:pPr>
        <w:spacing w:line="360" w:lineRule="auto"/>
        <w:ind w:firstLine="420"/>
      </w:pPr>
      <w:r>
        <w:rPr>
          <w:rFonts w:ascii="宋体" w:hAnsi="宋体" w:eastAsia="宋体"/>
          <w:b w:val="0"/>
          <w:sz w:val="24"/>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Lippiello）所指出的：“我们应该研究文明之间的亲和力，而不是过多强调差异……我们应该致力于不同价值观的分享，而不是取而代之。” 真正的互鉴，是双方都因对方的存在而变得更加丰富。 利玛窦与徐光启合译《几何原本》，利玛窦获得了在中国传播学术的合法性，徐光启则接触到了全新的科学体系——这是双赢的典范。</w:t>
      </w:r>
    </w:p>
    <w:p>
      <w:pPr>
        <w:pStyle w:val="Heading2"/>
        <w:spacing w:before="240" w:after="160"/>
      </w:pPr>
      <w:r>
        <w:rPr>
          <w:rFonts w:ascii="黑体" w:hAnsi="黑体" w:eastAsia="黑体"/>
          <w:b/>
          <w:sz w:val="32"/>
        </w:rPr>
        <w:t>5.3.3 原则三：和而不同与求同存异</w:t>
      </w:r>
    </w:p>
    <w:p>
      <w:pPr>
        <w:spacing w:line="360" w:lineRule="auto"/>
        <w:ind w:firstLine="420"/>
      </w:pPr>
      <w:r>
        <w:rPr>
          <w:rFonts w:ascii="宋体" w:hAnsi="宋体" w:eastAsia="宋体"/>
          <w:b w:val="0"/>
          <w:sz w:val="24"/>
        </w:rPr>
        <w:t>“和而不同”是中华文明处理差异的核心智慧，也是文明互鉴的根本原则。南宋鹅湖之会上，朱熹与陆九渊激烈论辩三日，事后朱熹却诚邀陆九渊赴白鹿洞书院讲学，陆九渊的演讲令听者“多有泣下”，朱熹“为之避席称善” 。这种“在分歧中保持尊重”的精神，穿透了数百年的时光。 在当代语境下，这种精神转化为对文明多样性的自觉维护。正如泰国前副总理披尼·扎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p>
    <w:p>
      <w:pPr>
        <w:pStyle w:val="Heading2"/>
        <w:spacing w:before="240" w:after="160"/>
      </w:pPr>
      <w:r>
        <w:rPr>
          <w:rFonts w:ascii="黑体" w:hAnsi="黑体" w:eastAsia="黑体"/>
          <w:b/>
          <w:sz w:val="32"/>
        </w:rPr>
        <w:t>5.3.4 原则四：制度化保障与代际传承</w:t>
      </w:r>
    </w:p>
    <w:p>
      <w:pPr>
        <w:spacing w:line="360" w:lineRule="auto"/>
        <w:ind w:firstLine="420"/>
      </w:pPr>
      <w:r>
        <w:rPr>
          <w:rFonts w:ascii="宋体" w:hAnsi="宋体" w:eastAsia="宋体"/>
          <w:b w:val="0"/>
          <w:sz w:val="24"/>
        </w:rPr>
        <w:t>利玛窦与徐光启的交往，本质上是个体与个体之间的信任缔结。而当代的文明互鉴，已经发展出更为制度化、常态化的形式。从白鹿洞书院与韩国陶山书院的定期学术交流 ，到复旦大学设立的“利玛窦—徐光启文明对话研究中心”，再到那不勒斯中华书院历经数百年演变成为今天的东方大学——这些机构平台为跨文化对话提供了稳定、持续的保障。 尤为重要的是代际传承。利玛窦最初在中国传教时，其服饰转变得到了传教团负责人范礼安的支持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入彼此的生活环境，和当地人成为朋友。” 文明互鉴的生命力，最终取决于一代又一代人的接续努力。</w:t>
      </w:r>
    </w:p>
    <w:p>
      <w:pPr>
        <w:pStyle w:val="Heading2"/>
        <w:spacing w:before="240" w:after="160"/>
      </w:pPr>
      <w:r>
        <w:rPr>
          <w:rFonts w:ascii="黑体" w:hAnsi="黑体" w:eastAsia="黑体"/>
          <w:b/>
          <w:sz w:val="32"/>
        </w:rPr>
        <w:t>5.3.5 一个方法论总结</w:t>
      </w:r>
    </w:p>
    <w:p>
      <w:pPr>
        <w:spacing w:line="360" w:lineRule="auto"/>
        <w:ind w:firstLine="420"/>
      </w:pPr>
      <w:r>
        <w:rPr>
          <w:rFonts w:ascii="宋体" w:hAnsi="宋体" w:eastAsia="宋体"/>
          <w:b w:val="0"/>
          <w:sz w:val="24"/>
        </w:rPr>
        <w:t>从以上四个原则可以看出，文明互鉴不是一场偶然的“邂逅”，而是一套有方法、有原则、有制度的系统工程。它要求参与者同时具备三种能力：文化敏感力（能够识别他者文化的核心逻辑）、对话建构力（能够创造性地建立沟通桥梁）、以及历史延续力（能够将个体实践转化为制度传承）。</w:t>
      </w:r>
    </w:p>
    <w:p>
      <w:pPr>
        <w:pStyle w:val="Heading2"/>
        <w:spacing w:before="240" w:after="160"/>
      </w:pPr>
      <w:r>
        <w:rPr>
          <w:rFonts w:ascii="黑体" w:hAnsi="黑体" w:eastAsia="黑体"/>
          <w:b/>
          <w:sz w:val="32"/>
        </w:rPr>
        <w:t>5.4 文明互鉴的当代挑战与应对</w:t>
      </w:r>
    </w:p>
    <w:p>
      <w:pPr>
        <w:spacing w:line="360" w:lineRule="auto"/>
        <w:ind w:firstLine="420"/>
      </w:pPr>
      <w:r>
        <w:rPr>
          <w:rFonts w:ascii="宋体" w:hAnsi="宋体" w:eastAsia="宋体"/>
          <w:b w:val="0"/>
          <w:sz w:val="24"/>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p>
    <w:p>
      <w:pPr>
        <w:pStyle w:val="Heading2"/>
        <w:spacing w:before="240" w:after="160"/>
      </w:pPr>
      <w:r>
        <w:rPr>
          <w:rFonts w:ascii="黑体" w:hAnsi="黑体" w:eastAsia="黑体"/>
          <w:b/>
          <w:sz w:val="32"/>
        </w:rPr>
        <w:t>5.4.1 挑战一：文化焦虑与身份政治的张力</w:t>
      </w:r>
    </w:p>
    <w:p>
      <w:pPr>
        <w:spacing w:line="360" w:lineRule="auto"/>
        <w:ind w:firstLine="420"/>
      </w:pPr>
      <w:r>
        <w:rPr>
          <w:rFonts w:ascii="宋体" w:hAnsi="宋体" w:eastAsia="宋体"/>
          <w:b w:val="0"/>
          <w:sz w:val="24"/>
        </w:rPr>
        <w:t>在全球化的浪潮中，“文化焦虑”成为普遍现象。一方面，西方大众文化（电影、社交媒体、消费品牌）的全球传播，引发了非西方社会对自身文化传统被侵蚀的担忧；另一方面，一些地区以“文化保护”为名，走向了排外主义和文化封闭。这种焦虑的根源，在于对“文化主体性”的误解——以为主体性意味着“纯洁性”，以为开放必然导致身份的丧失。 利玛窦的案例恰恰提供了一个破解这一误区的范本。他始终保持着基督教传教士的主体身份——他使用儒家的语汇，却对“上帝”的理解始终以基督教教义为内核；他穿儒服、读经书，却从未放弃自己的信仰立场。这表明：文化主体性的维护，不在于拒绝外部影响，而在于有能力对影响进行选择和转化。徐光启同样如此——他在接受西方天文历算时，始终从“补儒”的框架出发，将西学纳入“经世致用”的体系中，而非简单地照搬。 当前，中国提出的“文明互鉴”倡议，正是对“文化焦虑”的积极回应：不是以封闭来应对同质化，而是以更主动的交流来构建文化自信。正如“一带一路”建设中强调的“共商、共建、共享”原则，本质上是一种基于对话而非支配的合作模式，它承认各文明的主体性，同时寻求共建的可能。</w:t>
      </w:r>
    </w:p>
    <w:p>
      <w:pPr>
        <w:pStyle w:val="Heading2"/>
        <w:spacing w:before="240" w:after="160"/>
      </w:pPr>
      <w:r>
        <w:rPr>
          <w:rFonts w:ascii="黑体" w:hAnsi="黑体" w:eastAsia="黑体"/>
          <w:b/>
          <w:sz w:val="32"/>
        </w:rPr>
        <w:t>5.4.2 挑战二：数字时代的“信息茧房”与认知壁垒</w:t>
      </w:r>
    </w:p>
    <w:p>
      <w:pPr>
        <w:spacing w:line="360" w:lineRule="auto"/>
        <w:ind w:firstLine="420"/>
      </w:pPr>
      <w:r>
        <w:rPr>
          <w:rFonts w:ascii="宋体" w:hAnsi="宋体" w:eastAsia="宋体"/>
          <w:b w:val="0"/>
          <w:sz w:val="24"/>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p>
    <w:p>
      <w:pPr>
        <w:pStyle w:val="Heading2"/>
        <w:spacing w:before="240" w:after="160"/>
      </w:pPr>
      <w:r>
        <w:rPr>
          <w:rFonts w:ascii="黑体" w:hAnsi="黑体" w:eastAsia="黑体"/>
          <w:b/>
          <w:sz w:val="32"/>
        </w:rPr>
        <w:t>5.4.3 挑战三：从“精英对话”到“大众互鉴”的拓展</w:t>
      </w:r>
    </w:p>
    <w:p>
      <w:pPr>
        <w:spacing w:line="360" w:lineRule="auto"/>
        <w:ind w:firstLine="420"/>
      </w:pPr>
      <w:r>
        <w:rPr>
          <w:rFonts w:ascii="宋体" w:hAnsi="宋体" w:eastAsia="宋体"/>
          <w:b w:val="0"/>
          <w:sz w:val="24"/>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p>
    <w:p>
      <w:pPr>
        <w:pStyle w:val="Heading2"/>
        <w:spacing w:before="240" w:after="160"/>
      </w:pPr>
      <w:r>
        <w:rPr>
          <w:rFonts w:ascii="黑体" w:hAnsi="黑体" w:eastAsia="黑体"/>
          <w:b/>
          <w:sz w:val="32"/>
        </w:rPr>
        <w:t>5.5 从互鉴到融合：文明共同体的构建之路</w:t>
      </w:r>
    </w:p>
    <w:p>
      <w:pPr>
        <w:spacing w:line="360" w:lineRule="auto"/>
        <w:ind w:firstLine="420"/>
      </w:pPr>
      <w:r>
        <w:rPr>
          <w:rFonts w:ascii="宋体" w:hAnsi="宋体" w:eastAsia="宋体"/>
          <w:b w:val="0"/>
          <w:sz w:val="24"/>
        </w:rPr>
        <w:t>经历了历史经验的梳理、方法原则的提炼、当代挑战的分析之后，我们终于可以回到文明互鉴的终极目标：一个“和而不同”的文明共同体的构建。这不仅是理想主义的愿景，也是现实需求的产物——全球性挑战（气候变化、公共卫生、人工智能治理），没有一个国家或文明能够单独应对，不同文明之间的合作既是必要，也是必然。</w:t>
      </w:r>
    </w:p>
    <w:p>
      <w:pPr>
        <w:pStyle w:val="Heading2"/>
        <w:spacing w:before="240" w:after="160"/>
      </w:pPr>
      <w:r>
        <w:rPr>
          <w:rFonts w:ascii="黑体" w:hAnsi="黑体" w:eastAsia="黑体"/>
          <w:b/>
          <w:sz w:val="32"/>
        </w:rPr>
        <w:t>5.5.1 “理一分殊”的当代诠释</w:t>
      </w:r>
    </w:p>
    <w:p>
      <w:pPr>
        <w:spacing w:line="360" w:lineRule="auto"/>
        <w:ind w:firstLine="420"/>
      </w:pPr>
      <w:r>
        <w:rPr>
          <w:rFonts w:ascii="宋体" w:hAnsi="宋体" w:eastAsia="宋体"/>
          <w:b w:val="0"/>
          <w:sz w:val="24"/>
        </w:rPr>
        <w:t>“理一分殊”本是程朱理学的核心概念，意指“天理”是统一的，但其在具体事物中的显现是多元的。这一概念在文明互鉴的语境中获得了新的解释：人类对美好生活的普遍追求（“理一”），在不同的历史条件和文化土壤中，形成了不同的价值体系和制度安排（“分殊”）。这不是缺陷，而是人类创造力的体现。 在当代全球治理的实践中，这一思路具有直接的方法论意义。联合国《世界文化多样性宣言》明确指出：“文化多样性是人类的共同遗产，应当为了所有人和所有社会的利益加以珍视和维护。”文明互鉴不是要将差异统一为某种普世模式，而是要在尊重差异的前提下，寻找可以共同行动的议程。这正是“求同存异”原则在当代全球治理中的体现。</w:t>
      </w:r>
    </w:p>
    <w:p>
      <w:pPr>
        <w:pStyle w:val="Heading2"/>
        <w:spacing w:before="240" w:after="160"/>
      </w:pPr>
      <w:r>
        <w:rPr>
          <w:rFonts w:ascii="黑体" w:hAnsi="黑体" w:eastAsia="黑体"/>
          <w:b/>
          <w:sz w:val="32"/>
        </w:rPr>
        <w:t>5.5.2 “和而不同”的实践路径</w:t>
      </w:r>
    </w:p>
    <w:p>
      <w:pPr>
        <w:spacing w:line="360" w:lineRule="auto"/>
        <w:ind w:firstLine="420"/>
      </w:pPr>
      <w:r>
        <w:rPr>
          <w:rFonts w:ascii="宋体" w:hAnsi="宋体" w:eastAsia="宋体"/>
          <w:b w:val="0"/>
          <w:sz w:val="24"/>
        </w:rPr>
        <w:t>“和而不同”作为中华文明处理差异的智慧，可以在全球治理的三个层面上发挥作用： 对话层面：建立常态化的文明间对话机制，如“朱子学与全球文明对话大会”，使不同文明背景的学者能够定期交流，积累相互理解。 项目层面：在具体领域（环境保护、文化遗产保护、公共卫生）开展合作项目，让合作的实践为对话提供实质内容。 制度层面：在国际组织和多边框架中，推动更加包容的治理机制，让不同文明的代表都有参与规则制定的机会。 正如利玛窦与徐光启的相遇不是偶然，而是历史必然性的体现——当两种伟大的文明在大航海时代的碰撞中相遇，对话是唯一的选择。今天，全球化的纵深发展使不同文明的联系更加紧密，文明的对话与互鉴，已经不再是“可选项”，而是“必选答”。</w:t>
      </w:r>
    </w:p>
    <w:p>
      <w:pPr>
        <w:pStyle w:val="Heading2"/>
        <w:spacing w:before="240" w:after="160"/>
      </w:pPr>
      <w:r>
        <w:rPr>
          <w:rFonts w:ascii="黑体" w:hAnsi="黑体" w:eastAsia="黑体"/>
          <w:b/>
          <w:sz w:val="32"/>
        </w:rPr>
        <w:t>5.5.3 未来的图景</w:t>
      </w:r>
    </w:p>
    <w:p>
      <w:pPr>
        <w:spacing w:line="360" w:lineRule="auto"/>
        <w:ind w:firstLine="420"/>
      </w:pPr>
      <w:r>
        <w:rPr>
          <w:rFonts w:ascii="宋体" w:hAnsi="宋体" w:eastAsia="宋体"/>
          <w:b w:val="0"/>
          <w:sz w:val="24"/>
        </w:rPr>
        <w:t>回望历史，从白鹿洞书院到马切拉塔，从《坤舆万国全图》到中意雕塑的互赠，文明互鉴的道路上始终有人在行走。这条道路没有终点，因为每一次对话都会开启新的理解，每一种理解都会催生新的问题。 正如习近平总书记所指出的，“文明因多样而交流，因交流而互鉴，因互鉴而发展”。文明互鉴的核心，不在于消除差异，而在于在尊重差异的前提下，寻求对话和合作的可能。从庐山白鹿洞到武夷山考亭，从朝鲜半岛陶山到意大利那不勒斯——当文明的种子以恰当的方式播撒，它便能在不同的土壤中生根发芽，开出既承袭本源、又融入当地的新花。这，正是文明互鉴最动人的图景，也是人类文明走向共同繁荣的必由之路。</w:t>
      </w:r>
    </w:p>
    <w:p>
      <w:pPr>
        <w:pStyle w:val="Heading1"/>
        <w:spacing w:before="360" w:after="240"/>
      </w:pPr>
      <w:r>
        <w:rPr>
          <w:rFonts w:ascii="黑体" w:hAnsi="黑体" w:eastAsia="黑体"/>
          <w:b/>
          <w:sz w:val="36"/>
        </w:rPr>
        <w:t>第六章 结语</w:t>
      </w:r>
    </w:p>
    <w:p>
      <w:pPr>
        <w:spacing w:line="360" w:lineRule="auto"/>
        <w:ind w:firstLine="420"/>
      </w:pPr>
      <w:r>
        <w:rPr>
          <w:rFonts w:ascii="宋体" w:hAnsi="宋体" w:eastAsia="宋体"/>
          <w:b w:val="0"/>
          <w:sz w:val="24"/>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p>
    <w:p>
      <w:pPr>
        <w:pStyle w:val="Heading2"/>
        <w:spacing w:before="240" w:after="160"/>
      </w:pPr>
      <w:r>
        <w:rPr>
          <w:rFonts w:ascii="黑体" w:hAnsi="黑体" w:eastAsia="黑体"/>
          <w:b/>
          <w:sz w:val="32"/>
        </w:rPr>
        <w:t>6.1 总结全文：一场“置换核心”的哲学工程</w:t>
      </w:r>
    </w:p>
    <w:p>
      <w:pPr>
        <w:spacing w:line="360" w:lineRule="auto"/>
        <w:ind w:firstLine="420"/>
      </w:pPr>
      <w:r>
        <w:rPr>
          <w:rFonts w:ascii="宋体" w:hAnsi="宋体" w:eastAsia="宋体"/>
          <w:b w:val="0"/>
          <w:sz w:val="24"/>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p>
    <w:p>
      <w:pPr>
        <w:pStyle w:val="Heading2"/>
        <w:spacing w:before="240" w:after="160"/>
      </w:pPr>
      <w:r>
        <w:rPr>
          <w:rFonts w:ascii="黑体" w:hAnsi="黑体" w:eastAsia="黑体"/>
          <w:b/>
          <w:sz w:val="32"/>
        </w:rPr>
        <w:t>6.2 定性评价：一场跨文明的“化学反应”</w:t>
      </w:r>
    </w:p>
    <w:p>
      <w:pPr>
        <w:spacing w:line="360" w:lineRule="auto"/>
        <w:ind w:firstLine="420"/>
      </w:pPr>
      <w:r>
        <w:rPr>
          <w:rFonts w:ascii="宋体" w:hAnsi="宋体" w:eastAsia="宋体"/>
          <w:b w:val="0"/>
          <w:sz w:val="24"/>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p>
    <w:p>
      <w:pPr>
        <w:pStyle w:val="Heading2"/>
        <w:spacing w:before="240" w:after="160"/>
      </w:pPr>
      <w:r>
        <w:rPr>
          <w:rFonts w:ascii="黑体" w:hAnsi="黑体" w:eastAsia="黑体"/>
          <w:b/>
          <w:sz w:val="32"/>
        </w:rPr>
        <w:t>6.3 最终升华：深度对话的灵魂叩问</w:t>
      </w:r>
    </w:p>
    <w:p>
      <w:pPr>
        <w:spacing w:line="360" w:lineRule="auto"/>
        <w:ind w:firstLine="420"/>
      </w:pPr>
      <w:r>
        <w:rPr>
          <w:rFonts w:ascii="宋体" w:hAnsi="宋体" w:eastAsia="宋体"/>
          <w:b w:val="0"/>
          <w:sz w:val="24"/>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p>
    <w:p>
      <w:r>
        <w:br w:type="page"/>
      </w:r>
    </w:p>
    <w:p>
      <w:pPr>
        <w:pStyle w:val="Heading1"/>
        <w:spacing w:before="360" w:after="240"/>
      </w:pPr>
      <w:r>
        <w:rPr>
          <w:rFonts w:ascii="黑体" w:hAnsi="黑体" w:eastAsia="黑体"/>
          <w:b/>
          <w:sz w:val="36"/>
        </w:rPr>
        <w:t>参考文献</w:t>
      </w:r>
    </w:p>
    <w:p>
      <w:pPr>
        <w:spacing w:line="300" w:lineRule="auto"/>
      </w:pPr>
      <w:r>
        <w:rPr>
          <w:rFonts w:ascii="宋体" w:hAnsi="宋体" w:eastAsia="宋体"/>
          <w:b w:val="0"/>
          <w:sz w:val="18"/>
        </w:rPr>
        <w:t>[1] 朱熹. 朱子语类[M]. 北京: 中华书局, 1986.</w:t>
      </w:r>
    </w:p>
    <w:p>
      <w:pPr>
        <w:spacing w:line="300" w:lineRule="auto"/>
      </w:pPr>
      <w:r>
        <w:rPr>
          <w:rFonts w:ascii="宋体" w:hAnsi="宋体" w:eastAsia="宋体"/>
          <w:b w:val="0"/>
          <w:sz w:val="18"/>
        </w:rPr>
        <w:t>[2] 周敦颐. 周敦颐集[M]. 北京: 中华书局, 2009.</w:t>
      </w:r>
    </w:p>
    <w:p>
      <w:pPr>
        <w:spacing w:line="300" w:lineRule="auto"/>
      </w:pPr>
      <w:r>
        <w:rPr>
          <w:rFonts w:ascii="宋体" w:hAnsi="宋体" w:eastAsia="宋体"/>
          <w:b w:val="0"/>
          <w:sz w:val="18"/>
        </w:rPr>
        <w:t>[3] 利玛窦. 天主实义[A]. 利玛窦中文著译集[C]. 上海: 复旦大学出版社, 2001.</w:t>
      </w:r>
    </w:p>
    <w:p>
      <w:pPr>
        <w:spacing w:line="300" w:lineRule="auto"/>
      </w:pPr>
      <w:r>
        <w:rPr>
          <w:rFonts w:ascii="宋体" w:hAnsi="宋体" w:eastAsia="宋体"/>
          <w:b w:val="0"/>
          <w:sz w:val="18"/>
        </w:rPr>
        <w:t>[4] 孙尚扬. 明末耶儒之间的论辩及其现代意义[J]. 世界宗教研究, 1993(3): 25-36.</w:t>
      </w:r>
    </w:p>
    <w:p>
      <w:pPr>
        <w:spacing w:line="300" w:lineRule="auto"/>
      </w:pPr>
      <w:r>
        <w:rPr>
          <w:rFonts w:ascii="宋体" w:hAnsi="宋体" w:eastAsia="宋体"/>
          <w:b w:val="0"/>
          <w:sz w:val="18"/>
        </w:rPr>
        <w:t>[5] Wiest, J.-P. From Matteo Ricci to Jacques Gernet: The Changing Image of the Chinese in Western Scholarship[J]. Chinese Studies, 1997, 9(1): 23-47.</w:t>
      </w:r>
    </w:p>
    <w:p>
      <w:pPr>
        <w:spacing w:line="300" w:lineRule="auto"/>
      </w:pPr>
      <w:r>
        <w:rPr>
          <w:rFonts w:ascii="宋体" w:hAnsi="宋体" w:eastAsia="宋体"/>
          <w:b w:val="0"/>
          <w:sz w:val="18"/>
        </w:rPr>
        <w:t>[6] 朱谦之. 中国哲学对欧洲的影响[M]. 石家庄: 河北人民出版社, 2004.</w:t>
      </w:r>
    </w:p>
    <w:p>
      <w:pPr>
        <w:spacing w:line="300" w:lineRule="auto"/>
      </w:pPr>
      <w:r>
        <w:rPr>
          <w:rFonts w:ascii="宋体" w:hAnsi="宋体" w:eastAsia="宋体"/>
          <w:b w:val="0"/>
          <w:sz w:val="18"/>
        </w:rPr>
        <w:t>[7] Huang, P. Confronting Confucianism: The Christian Understanding of Ru Tradition in Late Ming China[M]. Leiden: Brill, 2007.</w:t>
      </w:r>
    </w:p>
    <w:p>
      <w:pPr>
        <w:spacing w:line="300" w:lineRule="auto"/>
      </w:pPr>
      <w:r>
        <w:rPr>
          <w:rFonts w:ascii="宋体" w:hAnsi="宋体" w:eastAsia="宋体"/>
          <w:b w:val="0"/>
          <w:sz w:val="18"/>
        </w:rPr>
        <w:t>[8] 林金水. 徐光启与利玛窦关系考[J]. 中国史研究, 2001(2): 81-93.</w:t>
      </w:r>
    </w:p>
    <w:p>
      <w:pPr>
        <w:spacing w:line="300" w:lineRule="auto"/>
      </w:pPr>
      <w:r>
        <w:rPr>
          <w:rFonts w:ascii="宋体" w:hAnsi="宋体" w:eastAsia="宋体"/>
          <w:b w:val="0"/>
          <w:sz w:val="18"/>
        </w:rPr>
        <w:t>[9] 黄宗羲. 明夷待访录[M]. 北京: 中华书局, 2011.</w:t>
      </w:r>
    </w:p>
    <w:p>
      <w:pPr>
        <w:spacing w:line="300" w:lineRule="auto"/>
      </w:pPr>
      <w:r>
        <w:rPr>
          <w:rFonts w:ascii="宋体" w:hAnsi="宋体" w:eastAsia="宋体"/>
          <w:b w:val="0"/>
          <w:sz w:val="18"/>
        </w:rPr>
        <w:t>[10] Koselleck, R. Begriffsgeschichte und Sozialgeschichte[A]. In: Vergangene Zukunft: Zur Semantik geschichtlicher Zeiten[C]. Frankfurt: Suhrkamp, 1979: 107-129.</w:t>
      </w:r>
    </w:p>
    <w:p>
      <w:pPr>
        <w:spacing w:line="300" w:lineRule="auto"/>
      </w:pPr>
      <w:r>
        <w:rPr>
          <w:rFonts w:ascii="宋体" w:hAnsi="宋体" w:eastAsia="宋体"/>
          <w:b w:val="0"/>
          <w:sz w:val="18"/>
        </w:rPr>
        <w:t>[11] 谢和耐(J. Gernet). 中国与基督教：一种文化的冲突[M]. 上海: 上海古籍出版社, 2003.</w:t>
      </w:r>
    </w:p>
    <w:p>
      <w:pPr>
        <w:spacing w:line="300" w:lineRule="auto"/>
      </w:pPr>
      <w:r>
        <w:rPr>
          <w:rFonts w:ascii="宋体" w:hAnsi="宋体" w:eastAsia="宋体"/>
          <w:b w:val="0"/>
          <w:sz w:val="18"/>
        </w:rPr>
        <w:t>[12] 伽达默尔(H.-G. Gadamer). 真理与方法[M]. 上海: 上海译文出版社, 1999.</w:t>
      </w:r>
    </w:p>
    <w:p>
      <w:pPr>
        <w:spacing w:line="300" w:lineRule="auto"/>
      </w:pPr>
      <w:r>
        <w:rPr>
          <w:rFonts w:ascii="宋体" w:hAnsi="宋体" w:eastAsia="宋体"/>
          <w:b w:val="0"/>
          <w:sz w:val="18"/>
        </w:rPr>
        <w:t>[13] 张翔. 儒学史叙述的分断与孔子之义的比附式诠释[EB/OL]. 爱思想网, 2022-03-15.</w:t>
      </w:r>
    </w:p>
    <w:p>
      <w:pPr>
        <w:spacing w:line="300" w:lineRule="auto"/>
      </w:pPr>
      <w:r>
        <w:rPr>
          <w:rFonts w:ascii="宋体" w:hAnsi="宋体" w:eastAsia="宋体"/>
          <w:b w:val="0"/>
          <w:sz w:val="18"/>
        </w:rPr>
        <w:t>[14] 维尔维达基斯(S. Verividakis). 在差异与共通之间重建理解[N]. 中国社会科学报, 2026-03-06.</w:t>
      </w:r>
    </w:p>
    <w:p>
      <w:pPr>
        <w:spacing w:line="300" w:lineRule="auto"/>
      </w:pPr>
      <w:r>
        <w:rPr>
          <w:rFonts w:ascii="宋体" w:hAnsi="宋体" w:eastAsia="宋体"/>
          <w:b w:val="0"/>
          <w:sz w:val="18"/>
        </w:rPr>
        <w:t>[15] 丁耘. 西方哲学中国化的第一阶段[J]. 哲学研究, 2010(5).</w:t>
      </w:r>
    </w:p>
    <w:p>
      <w:pPr>
        <w:spacing w:line="300" w:lineRule="auto"/>
      </w:pPr>
      <w:r>
        <w:rPr>
          <w:rFonts w:ascii="宋体" w:hAnsi="宋体" w:eastAsia="宋体"/>
          <w:b w:val="0"/>
          <w:sz w:val="18"/>
        </w:rPr>
        <w:t>[16] Spence, J. The Memory Palace of Matteo Ricci[M]. New York: Viking, 1984.</w:t>
      </w:r>
    </w:p>
    <w:p>
      <w:pPr>
        <w:spacing w:line="300" w:lineRule="auto"/>
      </w:pPr>
      <w:r>
        <w:rPr>
          <w:rFonts w:ascii="宋体" w:hAnsi="宋体" w:eastAsia="宋体"/>
          <w:b w:val="0"/>
          <w:sz w:val="18"/>
        </w:rPr>
        <w:t>[17] 徐光启. 农政全书[M]. 上海: 上海古籍出版社, 1979.</w:t>
      </w:r>
    </w:p>
    <w:p>
      <w:pPr>
        <w:spacing w:line="300" w:lineRule="auto"/>
      </w:pPr>
      <w:r>
        <w:rPr>
          <w:rFonts w:ascii="宋体" w:hAnsi="宋体" w:eastAsia="宋体"/>
          <w:b w:val="0"/>
          <w:sz w:val="18"/>
        </w:rPr>
        <w:t>[18] 张之洞. 劝学篇[M]. 武汉: 湖北人民出版社, 2012.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