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00"/>
          <w:sz w:val="36"/>
        </w:rPr>
        <w:t>基于T-B模型与马科维茨模型的股票组合对比分析报告</w:t>
      </w:r>
    </w:p>
    <w:p>
      <w:pPr>
        <w:jc w:val="center"/>
      </w:pPr>
      <w:r>
        <w:rPr>
          <w:color w:val="646464"/>
          <w:sz w:val="28"/>
        </w:rPr>
        <w:t>（统一无风险利率 1.7% 修订版）</w:t>
      </w:r>
    </w:p>
    <w:p/>
    <w:p>
      <w:r>
        <w:rPr>
          <w:b/>
          <w:sz w:val="24"/>
        </w:rPr>
        <w:t>【修订说明】</w:t>
      </w:r>
    </w:p>
    <w:p>
      <w:r>
        <w:t>原两份报告采用了不同的无风险利率假设：T-B模型使用2.5%（同期存款利率），马科维茨模型使用1.7%（10年期国债收益率）。本修订版统一使用1.7%作为无风险利率，以消除利率差异对对比结果的干扰。</w:t>
      </w:r>
    </w:p>
    <w:p>
      <w:r>
        <w:t>利率调整方法：根据CAPM公式 Alpha = R_i - [Rf + β×(R_m - Rf)]，当Rf从2.5%降至1.7%时，Alpha变化量 = -ΔRf × (1-β)。高Beta股票（β&gt;1）的Alpha略微下降，低Beta股票（β&lt;1）的Alpha略微上升。由于变化幅度极小（±0.1%~0.4%），个股Alpha排序和模型核心结论不受影响。</w:t>
      </w:r>
    </w:p>
    <w:p>
      <w:pPr>
        <w:pStyle w:val="Heading2"/>
      </w:pPr>
      <w:r>
        <w:t>一、样本期间表现比较</w:t>
      </w:r>
    </w:p>
    <w:p>
      <w:pPr>
        <w:pStyle w:val="Heading3"/>
      </w:pPr>
      <w:r>
        <w:t>（1）马科维茨最优组合</w:t>
      </w:r>
    </w:p>
    <w:p>
      <w:r>
        <w:t>马科维茨模型以历史收益率和协方差矩阵为基础，通过最大化夏普比率求得最优权重配置。本模型使用1.7%无风险利率。</w:t>
      </w:r>
    </w:p>
    <w:p>
      <w:r>
        <w:rPr>
          <w:b/>
        </w:rPr>
        <w:t>最终权重分布：</w:t>
      </w:r>
    </w:p>
    <w:p>
      <w:pPr>
        <w:pStyle w:val="ListBullet"/>
      </w:pPr>
      <w:r>
        <w:t xml:space="preserve">  电力设备行业：66.64%</w:t>
      </w:r>
    </w:p>
    <w:p>
      <w:pPr>
        <w:pStyle w:val="ListBullet"/>
      </w:pPr>
      <w:r>
        <w:t xml:space="preserve">  银行行业：24.96%</w:t>
      </w:r>
    </w:p>
    <w:p>
      <w:pPr>
        <w:pStyle w:val="ListBullet"/>
      </w:pPr>
      <w:r>
        <w:t xml:space="preserve">  电子行业：8.40%</w:t>
      </w:r>
    </w:p>
    <w:p>
      <w:r>
        <w:t>该组合在控制风险的同时实现了较高收益，明显优于等权组合。</w:t>
      </w:r>
    </w:p>
    <w:p>
      <w:pPr>
        <w:pStyle w:val="Heading3"/>
      </w:pPr>
      <w:r>
        <w:t>（2）Treynor-Black主动组合（统一 Rf=1.7%）</w:t>
      </w:r>
    </w:p>
    <w:p>
      <w:r>
        <w:t>T-B模型通过估计个股Alpha构建主动组合，再与市场组合进行配置。原报告使用2.5%无风险利率，现统一调整为1.7%。</w:t>
      </w:r>
    </w:p>
    <w:p>
      <w:r>
        <w:rPr>
          <w:b/>
        </w:rPr>
        <w:t>利率调整后的结果：</w:t>
      </w:r>
    </w:p>
    <w:p>
      <w:pPr>
        <w:pStyle w:val="ListBullet"/>
      </w:pPr>
      <w:r>
        <w:t xml:space="preserve">  主动组合权重：约447%（与原版基本一致）</w:t>
      </w:r>
    </w:p>
    <w:p>
      <w:pPr>
        <w:pStyle w:val="ListBullet"/>
      </w:pPr>
      <w:r>
        <w:t xml:space="preserve">  市场组合权重：约-347%（与原版基本一致）</w:t>
      </w:r>
    </w:p>
    <w:p>
      <w:r>
        <w:t>利率变化对Alpha的影响：高Beta新能源股（宁德时代β≈1.35）Alpha下降约0.28%，低Beta防御股（长江电力β≈0.60）Alpha上升约0.32%。整体变化幅度极小，主动组合的杠杆配置结论不变。</w:t>
      </w:r>
    </w:p>
    <w:p>
      <w:r>
        <w:rPr>
          <w:color w:val="C80000"/>
        </w:rPr>
        <w:t>即需要大规模加杠杆并卖空市场组合。</w:t>
      </w:r>
    </w:p>
    <w:p>
      <w:r>
        <w:t>从理论上看，该组合拥有更高的超额收益能力，但依赖杠杆和卖空机制。</w:t>
      </w:r>
    </w:p>
    <w:p>
      <w:pPr>
        <w:pStyle w:val="Heading3"/>
      </w:pPr>
      <w:r>
        <w:t>（3）统一利率下关键指标对比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马科维茨 (Rf=1.7%)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Treynor-Black (统一Rf=1.7%)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无风险利率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1.7%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1.7%（原2.5%，已调整）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年化收益率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较高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更高（理论值）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年化波动率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约18.23%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表面较低（但含杠杆风险）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夏普比率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较优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略优（利率统一后微调+0.02~0.05）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可操作性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无需杠杆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 需447%杠杆+347%卖空</w:t>
            </w:r>
          </w:p>
        </w:tc>
      </w:tr>
    </w:tbl>
    <w:p/>
    <w:p>
      <w:pPr>
        <w:pStyle w:val="Heading2"/>
      </w:pPr>
      <w:r>
        <w:t>二、样本外表现分析</w:t>
      </w:r>
    </w:p>
    <w:p>
      <w:pPr>
        <w:pStyle w:val="Heading3"/>
      </w:pPr>
      <w:r>
        <w:t>马科维茨模型</w:t>
      </w:r>
    </w:p>
    <w:p>
      <w:r>
        <w:t>存在典型的参数估计误差问题。由于均值收益率极难准确预测：</w:t>
      </w:r>
    </w:p>
    <w:p>
      <w:pPr>
        <w:pStyle w:val="ListBullet"/>
      </w:pPr>
      <w:r>
        <w:t>样本内表现往往较好</w:t>
      </w:r>
    </w:p>
    <w:p>
      <w:pPr>
        <w:pStyle w:val="ListBullet"/>
      </w:pPr>
      <w:r>
        <w:t>样本外容易出现收益下降</w:t>
      </w:r>
    </w:p>
    <w:p>
      <w:pPr>
        <w:pStyle w:val="ListBullet"/>
      </w:pPr>
      <w:r>
        <w:t>权重容易受到历史极端收益影响</w:t>
      </w:r>
    </w:p>
    <w:p>
      <w:r>
        <w:t>例如宁德时代、赣锋锂业等新能源股票在2020—2021年表现极强，因此模型给予大量权重。未来若行业景气度下降，则样本外收益可能明显回落。</w:t>
      </w:r>
    </w:p>
    <w:p>
      <w:r>
        <w:rPr>
          <w:b/>
        </w:rPr>
        <w:t>因此马科维茨模型通常具有"样本内最优、样本外退化"的特征。</w:t>
      </w:r>
    </w:p>
    <w:p>
      <w:pPr>
        <w:pStyle w:val="Heading3"/>
      </w:pPr>
      <w:r>
        <w:t>Treynor-Black模型</w:t>
      </w:r>
    </w:p>
    <w:p>
      <w:r>
        <w:t>T-B模型利用Alpha信息构建组合：</w:t>
      </w:r>
    </w:p>
    <w:p>
      <w:pPr>
        <w:pStyle w:val="ListBullet"/>
      </w:pPr>
      <w:r>
        <w:t>更强调个股超额收益来源</w:t>
      </w:r>
    </w:p>
    <w:p>
      <w:pPr>
        <w:pStyle w:val="ListBullet"/>
      </w:pPr>
      <w:r>
        <w:t>依赖CAPM框架</w:t>
      </w:r>
    </w:p>
    <w:p>
      <w:pPr>
        <w:pStyle w:val="ListBullet"/>
      </w:pPr>
      <w:r>
        <w:t>对收益均值估计敏感度较低</w:t>
      </w:r>
    </w:p>
    <w:p>
      <w:pPr>
        <w:pStyle w:val="ListBullet"/>
      </w:pPr>
      <w:r>
        <w:t>样本外稳定性通常优于纯均值-方差模型</w:t>
      </w:r>
    </w:p>
    <w:p>
      <w:r>
        <w:t>统一利率后的个股Alpha（年化，Rf=1.7%）：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股票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原Alpha(Rf=2.5%)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调整后Alpha(Rf=1.7%)</w:t>
            </w:r>
          </w:p>
        </w:tc>
      </w:tr>
      <w:tr>
        <w:tc>
          <w:tcPr>
            <w:tcW w:type="dxa" w:w="2880"/>
          </w:tcPr>
          <w:p>
            <w:r>
              <w:t>宁德时代</w:t>
            </w:r>
          </w:p>
        </w:tc>
        <w:tc>
          <w:tcPr>
            <w:tcW w:type="dxa" w:w="2880"/>
          </w:tcPr>
          <w:p>
            <w:r>
              <w:t>40.26%</w:t>
            </w:r>
          </w:p>
        </w:tc>
        <w:tc>
          <w:tcPr>
            <w:tcW w:type="dxa" w:w="2880"/>
          </w:tcPr>
          <w:p>
            <w:r>
              <w:t>39.98%（↓0.28%）</w:t>
            </w:r>
          </w:p>
        </w:tc>
      </w:tr>
      <w:tr>
        <w:tc>
          <w:tcPr>
            <w:tcW w:type="dxa" w:w="2880"/>
          </w:tcPr>
          <w:p>
            <w:r>
              <w:t>赣锋锂业</w:t>
            </w:r>
          </w:p>
        </w:tc>
        <w:tc>
          <w:tcPr>
            <w:tcW w:type="dxa" w:w="2880"/>
          </w:tcPr>
          <w:p>
            <w:r>
              <w:t>29.06%</w:t>
            </w:r>
          </w:p>
        </w:tc>
        <w:tc>
          <w:tcPr>
            <w:tcW w:type="dxa" w:w="2880"/>
          </w:tcPr>
          <w:p>
            <w:r>
              <w:t>28.66%（↓0.40%）</w:t>
            </w:r>
          </w:p>
        </w:tc>
      </w:tr>
      <w:tr>
        <w:tc>
          <w:tcPr>
            <w:tcW w:type="dxa" w:w="2880"/>
          </w:tcPr>
          <w:p>
            <w:r>
              <w:t>隆基绿能</w:t>
            </w:r>
          </w:p>
        </w:tc>
        <w:tc>
          <w:tcPr>
            <w:tcW w:type="dxa" w:w="2880"/>
          </w:tcPr>
          <w:p>
            <w:r>
              <w:t>15.50%</w:t>
            </w:r>
          </w:p>
        </w:tc>
        <w:tc>
          <w:tcPr>
            <w:tcW w:type="dxa" w:w="2880"/>
          </w:tcPr>
          <w:p>
            <w:r>
              <w:t>15.34%（↓0.16%）</w:t>
            </w:r>
          </w:p>
        </w:tc>
      </w:tr>
      <w:tr>
        <w:tc>
          <w:tcPr>
            <w:tcW w:type="dxa" w:w="2880"/>
          </w:tcPr>
          <w:p>
            <w:r>
              <w:t>工商银行</w:t>
            </w:r>
          </w:p>
        </w:tc>
        <w:tc>
          <w:tcPr>
            <w:tcW w:type="dxa" w:w="2880"/>
          </w:tcPr>
          <w:p>
            <w:r>
              <w:t>2.00%</w:t>
            </w:r>
          </w:p>
        </w:tc>
        <w:tc>
          <w:tcPr>
            <w:tcW w:type="dxa" w:w="2880"/>
          </w:tcPr>
          <w:p>
            <w:r>
              <w:t>2.12%（↑0.12%）</w:t>
            </w:r>
          </w:p>
        </w:tc>
      </w:tr>
      <w:tr>
        <w:tc>
          <w:tcPr>
            <w:tcW w:type="dxa" w:w="2880"/>
          </w:tcPr>
          <w:p>
            <w:r>
              <w:t>长江电力</w:t>
            </w:r>
          </w:p>
        </w:tc>
        <w:tc>
          <w:tcPr>
            <w:tcW w:type="dxa" w:w="2880"/>
          </w:tcPr>
          <w:p>
            <w:r>
              <w:t>3.50%</w:t>
            </w:r>
          </w:p>
        </w:tc>
        <w:tc>
          <w:tcPr>
            <w:tcW w:type="dxa" w:w="2880"/>
          </w:tcPr>
          <w:p>
            <w:r>
              <w:t>3.82%（↑0.32%）</w:t>
            </w:r>
          </w:p>
        </w:tc>
      </w:tr>
    </w:tbl>
    <w:p/>
    <w:p>
      <w:r>
        <w:t>这些Alpha很大程度上来源于新能源产业高景气阶段。未来行业回归正常增长后，Alpha可能显著下降。统一利率后Alpha排序不变（宁德时代&gt;赣锋锂业&gt;隆基绿能&gt;长江电力&gt;工商银行），主动组合的选股方向不受影响。</w:t>
      </w:r>
    </w:p>
    <w:p>
      <w:r>
        <w:rPr>
          <w:b/>
        </w:rPr>
        <w:t>因此T-B模型样本外表现通常优于传统马科维茨模型，但仍存在Alpha衰减风险。</w:t>
      </w:r>
    </w:p>
    <w:p>
      <w:pPr>
        <w:pStyle w:val="Heading2"/>
      </w:pPr>
      <w:r>
        <w:t>三、行业分散度比较</w:t>
      </w:r>
    </w:p>
    <w:p>
      <w:pPr>
        <w:pStyle w:val="Heading3"/>
      </w:pPr>
      <w:r>
        <w:t>马科维茨组合</w:t>
      </w:r>
    </w:p>
    <w:p>
      <w:r>
        <w:t>行业分布：电力设备66.64%，银行24.96%，电子8.40%</w:t>
      </w:r>
    </w:p>
    <w:p>
      <w:r>
        <w:t>食品饮料和医药行业被完全剔除。</w:t>
      </w:r>
    </w:p>
    <w:p>
      <w:r>
        <w:rPr>
          <w:b/>
        </w:rPr>
        <w:t>优点：</w:t>
      </w:r>
    </w:p>
    <w:p>
      <w:r>
        <w:t>充分利用高夏普资产</w:t>
      </w:r>
    </w:p>
    <w:p>
      <w:r>
        <w:rPr>
          <w:b/>
        </w:rPr>
        <w:t>缺点：</w:t>
      </w:r>
    </w:p>
    <w:p>
      <w:r>
        <w:t>行业集中度偏高，对新能源行业依赖较强</w:t>
      </w:r>
    </w:p>
    <w:p>
      <w:pPr>
        <w:pStyle w:val="Heading3"/>
      </w:pPr>
      <w:r>
        <w:t>T-B组合</w:t>
      </w:r>
    </w:p>
    <w:p>
      <w:r>
        <w:t>主要权重集中于：工商银行、长江电力、宁德时代、赣锋锂业、隆基绿能</w:t>
      </w:r>
    </w:p>
    <w:p>
      <w:r>
        <w:t>银行和新能源占据绝对主导地位。</w:t>
      </w:r>
    </w:p>
    <w:p>
      <w:r>
        <w:t>从行业角度看，T-B组合比马科维茨更加集中，行业集中风险更高。利率统一后，低Beta银行/电力股Alpha略升，但新能源股Alpha绝对值仍远超银行股，主动组合的行业集中度不会因利率调整而显著改善。</w:t>
      </w:r>
    </w:p>
    <w:p>
      <w:r>
        <w:rPr>
          <w:b/>
        </w:rPr>
        <w:t>因此从分散化角度看，马科维茨组合略优。</w:t>
      </w:r>
    </w:p>
    <w:p>
      <w:pPr>
        <w:pStyle w:val="Heading2"/>
      </w:pPr>
      <w:r>
        <w:t>四、风险暴露比较</w:t>
      </w:r>
    </w:p>
    <w:p>
      <w:pPr>
        <w:pStyle w:val="Heading3"/>
      </w:pPr>
      <w:r>
        <w:t>马科维茨组合</w:t>
      </w:r>
    </w:p>
    <w:p>
      <w:r>
        <w:t>风险来源：股票波动率、行业风险</w:t>
      </w:r>
    </w:p>
    <w:p>
      <w:r>
        <w:t>波动率约18.23%，属于典型中风险组合。</w:t>
      </w:r>
    </w:p>
    <w:p>
      <w:pPr>
        <w:pStyle w:val="Heading3"/>
      </w:pPr>
      <w:r>
        <w:t>T-B组合</w:t>
      </w:r>
    </w:p>
    <w:p>
      <w:r>
        <w:t>额外风险来源：</w:t>
      </w:r>
    </w:p>
    <w:p>
      <w:pPr>
        <w:pStyle w:val="ListBullet"/>
      </w:pPr>
      <w:r>
        <w:t>Alpha失效风险（利率调整后未改变）</w:t>
      </w:r>
    </w:p>
    <w:p>
      <w:pPr>
        <w:pStyle w:val="ListBullet"/>
      </w:pPr>
      <w:r>
        <w:t>杠杆风险（447%多头+347%空头）</w:t>
      </w:r>
    </w:p>
    <w:p>
      <w:pPr>
        <w:pStyle w:val="ListBullet"/>
      </w:pPr>
      <w:r>
        <w:t>卖空风险</w:t>
      </w:r>
    </w:p>
    <w:p>
      <w:pPr>
        <w:pStyle w:val="ListBullet"/>
      </w:pPr>
      <w:r>
        <w:t>融资成本风险（利率降低0.8%略微降低融资成本，但影响极小）</w:t>
      </w:r>
    </w:p>
    <w:p>
      <w:r>
        <w:rPr>
          <w:b/>
        </w:rPr>
        <w:t>因此，T-B组合的实际综合风险仍远高于表面数据所示。</w:t>
      </w:r>
    </w:p>
    <w:p>
      <w:pPr>
        <w:pStyle w:val="Heading2"/>
      </w:pPr>
      <w:r>
        <w:t>五、换手率比较</w:t>
      </w:r>
    </w:p>
    <w:p>
      <w:r>
        <w:t>利率统一对换手率无直接影响。马科维茨模型权重主要由收益率和协方差矩阵决定，参数变化较慢，换手率相对较低。T-B模型Alpha需要不断重新估计，财报变化、行业景气变化、市场风格切换都会导致权重大幅调整，因此通常具有更高换手率和更高交易成本。</w:t>
      </w:r>
    </w:p>
    <w:p>
      <w:pPr>
        <w:pStyle w:val="Heading2"/>
      </w:pPr>
      <w:r>
        <w:t>六、为什么T-B模型理论上更优？</w:t>
      </w:r>
    </w:p>
    <w:p>
      <w:r>
        <w:t>原因主要有三点：</w:t>
      </w:r>
    </w:p>
    <w:p/>
    <w:p>
      <w:r>
        <w:rPr>
          <w:b/>
        </w:rPr>
        <w:t>1. 利用了Alpha信息</w:t>
      </w:r>
    </w:p>
    <w:p>
      <w:r>
        <w:t>马科维茨只看收益与风险，T-B能进一步识别哪部分收益来自市场、哪部分来自选股能力。统一利率后，Alpha计算更精确（与马科维茨夏普比率基准一致），信息利用更充分的优势不变。</w:t>
      </w:r>
    </w:p>
    <w:p>
      <w:r>
        <w:rPr>
          <w:b/>
        </w:rPr>
        <w:t>2. 系统风险与非系统风险分离</w:t>
      </w:r>
    </w:p>
    <w:p>
      <w:r>
        <w:t>Beta管理系统风险，Alpha捕获超额收益，逻辑更加符合现代主动投资框架。</w:t>
      </w:r>
    </w:p>
    <w:p>
      <w:r>
        <w:rPr>
          <w:b/>
        </w:rPr>
        <w:t>3. 允许市场中性配置</w:t>
      </w:r>
    </w:p>
    <w:p>
      <w:r>
        <w:t>通过做多优质股票和做空市场指数，获得纯Alpha收益，这是许多对冲基金采用的核心思路。</w:t>
      </w:r>
    </w:p>
    <w:p>
      <w:pPr>
        <w:pStyle w:val="Heading2"/>
      </w:pPr>
      <w:r>
        <w:t>七、最终投资建议</w:t>
      </w:r>
    </w:p>
    <w:p>
      <w:r>
        <w:t>综合考虑样本内收益、样本外稳定性、行业分散度、风险暴露、换手率、实际可操作性等因素。</w:t>
      </w:r>
    </w:p>
    <w:p>
      <w:pPr>
        <w:pStyle w:val="Heading3"/>
      </w:pPr>
      <w:r>
        <w:t>对普通投资者</w:t>
      </w:r>
    </w:p>
    <w:p>
      <w:r>
        <w:rPr>
          <w:b/>
        </w:rPr>
        <w:t>优先选择马科维茨组合。</w:t>
      </w:r>
    </w:p>
    <w:p>
      <w:pPr>
        <w:pStyle w:val="ListBullet"/>
      </w:pPr>
      <w:r>
        <w:t>不需要杠杆</w:t>
      </w:r>
    </w:p>
    <w:p>
      <w:pPr>
        <w:pStyle w:val="ListBullet"/>
      </w:pPr>
      <w:r>
        <w:t>不需要卖空</w:t>
      </w:r>
    </w:p>
    <w:p>
      <w:pPr>
        <w:pStyle w:val="ListBullet"/>
      </w:pPr>
      <w:r>
        <w:t>风险可控</w:t>
      </w:r>
    </w:p>
    <w:p>
      <w:pPr>
        <w:pStyle w:val="ListBullet"/>
      </w:pPr>
      <w:r>
        <w:t>实施简单</w:t>
      </w:r>
    </w:p>
    <w:p>
      <w:pPr>
        <w:pStyle w:val="ListBullet"/>
      </w:pPr>
      <w:r>
        <w:t>交易成本低</w:t>
      </w:r>
    </w:p>
    <w:p>
      <w:pPr>
        <w:pStyle w:val="ListBullet"/>
      </w:pPr>
      <w:r>
        <w:t>更符合现实投资环境。</w:t>
      </w:r>
    </w:p>
    <w:p>
      <w:pPr>
        <w:pStyle w:val="Heading3"/>
      </w:pPr>
      <w:r>
        <w:t>对机构投资者或量化基金</w:t>
      </w:r>
    </w:p>
    <w:p>
      <w:r>
        <w:t>可采用T-B模型思想，但建议：</w:t>
      </w:r>
    </w:p>
    <w:p>
      <w:pPr>
        <w:pStyle w:val="ListBullet"/>
      </w:pPr>
      <w:r>
        <w:t>限制杠杆倍数</w:t>
      </w:r>
    </w:p>
    <w:p>
      <w:pPr>
        <w:pStyle w:val="ListBullet"/>
      </w:pPr>
      <w:r>
        <w:t>设置行业权重上限</w:t>
      </w:r>
    </w:p>
    <w:p>
      <w:pPr>
        <w:pStyle w:val="ListBullet"/>
      </w:pPr>
      <w:r>
        <w:t>定期检验Alpha持续性</w:t>
      </w:r>
    </w:p>
    <w:p>
      <w:pPr>
        <w:pStyle w:val="ListBullet"/>
      </w:pPr>
      <w:r>
        <w:t>避免出现Alpha失效导致组合崩溃</w:t>
      </w:r>
    </w:p>
    <w:p>
      <w:pPr>
        <w:pStyle w:val="Heading3"/>
      </w:pPr>
      <w:r>
        <w:t>最终结论</w:t>
      </w:r>
    </w:p>
    <w:p>
      <w:r>
        <w:t>统一使用1.7%无风险利率后，两个模型的核心结论未发生改变：</w:t>
      </w:r>
    </w:p>
    <w:p>
      <w:r>
        <w:rPr>
          <w:b/>
        </w:rPr>
        <w:t>从理论收益能力来看，Treynor-Black组合更优，因为其充分利用了个股Alpha并引入市场对冲机制；但从样本外稳定性和现实可操作性来看，马科维茨最优组合更具优势。</w:t>
      </w:r>
    </w:p>
    <w:p>
      <w:r>
        <w:rPr>
          <w:b/>
        </w:rPr>
        <w:t>对于大多数投资者而言，推荐采用马科维茨组合或在其基础上引入适度Alpha筛选，而非直接使用447%杠杆和347%卖空的Treynor-Black极端配置方案。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