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信电学院AI知识问答系统 - 实验报告</w:t>
      </w:r>
    </w:p>
    <w:p>
      <w:pPr>
        <w:jc w:val="center"/>
      </w:pPr>
      <w:r>
        <w:rPr>
          <w:color w:val="646464"/>
          <w:sz w:val="20"/>
        </w:rPr>
        <w:t>项目名称：信电学院AI知识问答系统</w:t>
        <w:br/>
        <w:t>开发者：虾尔（AI智能体）</w:t>
        <w:br/>
        <w:t>对接人：何楚璇</w:t>
        <w:br/>
        <w:t>架构：知识库层 - 智能体层 - 应用交互层</w:t>
        <w:br/>
        <w:t>日期：2026-06-03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信电学院需要一套能够整合课程教材资源、提供智能问答服务的系统。传统教学方式中，学生遇到问题需要等待教师回复，效率低下。本项目基于阿里云百炼知识库 + OpenClaw 智能体 + 钉钉平台，打造"小龙虾数字员工"，实现 7×24 小时课程知识问答服务。</w:t>
      </w:r>
    </w:p>
    <w:p>
      <w:pPr>
        <w:pStyle w:val="Heading2"/>
      </w:pPr>
      <w:r>
        <w:t>1.2 技术架构</w:t>
      </w:r>
    </w:p>
    <w:p>
      <w:r>
        <w:t>系统采用三层架构：</w:t>
        <w:br/>
        <w:t>应用交互层（App Layer）：钉钉机器人 + Webhook + HTTP Server</w:t>
        <w:br/>
        <w:t>智能体层（Agent Layer）：百炼API Skill + 本地RAG + 三级记忆路由 + Prompt模板</w:t>
        <w:br/>
        <w:t>知识库层（Knowledge Base）：6门课程教材 + 本地向量数据库 + DashScope Embedding</w:t>
      </w:r>
    </w:p>
    <w:p>
      <w:pPr>
        <w:pStyle w:val="Heading2"/>
      </w:pPr>
      <w:r>
        <w:t>1.3 核心功能</w:t>
      </w:r>
    </w:p>
    <w:p>
      <w:r>
        <w:rPr>
          <w:b/>
        </w:rPr>
        <w:t>课程知识问答：</w:t>
      </w:r>
      <w:r>
        <w:t>基于教材原文的智能问答，支持电路分析、信号与系统、数字电子技术等6门课程</w:t>
      </w:r>
    </w:p>
    <w:p>
      <w:r>
        <w:rPr>
          <w:b/>
        </w:rPr>
        <w:t>三级记忆系统：</w:t>
      </w:r>
      <w:r>
        <w:t>L1工作记忆（会话上下文）+ L2知识记忆（RAG检索）+ L3长期记忆（用户画像、FAQ统计）</w:t>
      </w:r>
    </w:p>
    <w:p>
      <w:r>
        <w:rPr>
          <w:b/>
        </w:rPr>
        <w:t>钉钉平台对接：</w:t>
      </w:r>
      <w:r>
        <w:t>通过钉钉机器人实现移动端问答，支持群聊和私聊</w:t>
      </w:r>
    </w:p>
    <w:p>
      <w:r>
        <w:rPr>
          <w:b/>
        </w:rPr>
        <w:t>自动回退机制：</w:t>
      </w:r>
      <w:r>
        <w:t>百炼API失败时自动回退到本地RAG系统</w:t>
      </w:r>
    </w:p>
    <w:p>
      <w:pPr>
        <w:pStyle w:val="Heading1"/>
      </w:pPr>
      <w:r>
        <w:t>二、系统设计与实现</w:t>
      </w:r>
    </w:p>
    <w:p>
      <w:pPr>
        <w:pStyle w:val="Heading2"/>
      </w:pPr>
      <w:r>
        <w:t>2.1 知识库层</w:t>
      </w:r>
    </w:p>
    <w:p>
      <w:pPr>
        <w:pStyle w:val="Heading3"/>
      </w:pPr>
      <w:r>
        <w:t>2.1.1 课程教材入库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课程名称</w:t>
            </w:r>
          </w:p>
        </w:tc>
        <w:tc>
          <w:tcPr>
            <w:tcW w:type="dxa" w:w="2160"/>
          </w:tcPr>
          <w:p>
            <w:r>
              <w:t>章节数</w:t>
            </w:r>
          </w:p>
        </w:tc>
        <w:tc>
          <w:tcPr>
            <w:tcW w:type="dxa" w:w="2160"/>
          </w:tcPr>
          <w:p>
            <w:r>
              <w:t>知识块数</w:t>
            </w:r>
          </w:p>
        </w:tc>
        <w:tc>
          <w:tcPr>
            <w:tcW w:type="dxa" w:w="2160"/>
          </w:tcPr>
          <w:p>
            <w:r>
              <w:t>行数</w:t>
            </w:r>
          </w:p>
        </w:tc>
      </w:tr>
      <w:tr>
        <w:tc>
          <w:tcPr>
            <w:tcW w:type="dxa" w:w="2160"/>
          </w:tcPr>
          <w:p>
            <w:r>
              <w:t>电路分析基础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信号与系统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数字电子技术基础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通信原理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电磁场与电磁波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嵌入式系统开发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2029</w:t>
            </w:r>
          </w:p>
        </w:tc>
      </w:tr>
    </w:tbl>
    <w:p>
      <w:pPr>
        <w:pStyle w:val="Heading3"/>
      </w:pPr>
      <w:r>
        <w:t>2.1.2 本地 RAG 系统</w:t>
      </w:r>
    </w:p>
    <w:p>
      <w:r>
        <w:rPr>
          <w:b/>
        </w:rPr>
        <w:t>向量模型：</w:t>
      </w:r>
      <w:r>
        <w:t>DashScope text-embedding-v3</w:t>
      </w:r>
    </w:p>
    <w:p>
      <w:r>
        <w:rPr>
          <w:b/>
        </w:rPr>
        <w:t>存储：</w:t>
      </w:r>
      <w:r>
        <w:t>SQLite 向量数据库</w:t>
      </w:r>
    </w:p>
    <w:p>
      <w:r>
        <w:rPr>
          <w:b/>
        </w:rPr>
        <w:t>检索：</w:t>
      </w:r>
      <w:r>
        <w:t>余弦相似度 Top-K 检索</w:t>
      </w:r>
    </w:p>
    <w:p>
      <w:r>
        <w:rPr>
          <w:b/>
        </w:rPr>
        <w:t>生成：</w:t>
      </w:r>
      <w:r>
        <w:t>DashScope qwen-plus 大模型</w:t>
      </w:r>
    </w:p>
    <w:p>
      <w:pPr>
        <w:pStyle w:val="Heading3"/>
      </w:pPr>
      <w:r>
        <w:t>2.1.3 技术方案调整</w:t>
      </w:r>
    </w:p>
    <w:p>
      <w:r>
        <w:t>问题：百炼知识库 API 认证失败（错误码 100016）</w:t>
        <w:br/>
        <w:t>解决方案：自建本地 RAG 系统，使用 DashScope Embedding + SQLite + 余弦相似度检索</w:t>
        <w:br/>
        <w:t>效果：本地 RAG 检索准确率良好，基尔霍夫定律(0.595)、傅里叶变换(0.735)、触发器(0.732)、卷积(0.637)</w:t>
      </w:r>
    </w:p>
    <w:p>
      <w:pPr>
        <w:pStyle w:val="Heading2"/>
      </w:pPr>
      <w:r>
        <w:t>2.2 智能体层</w:t>
      </w:r>
    </w:p>
    <w:p>
      <w:r>
        <w:t>百炼 API Skill（带本地RAG回退）：优先使用百炼知识库 API，失败时自动回退到本地 RAG 系统</w:t>
        <w:br/>
        <w:br/>
        <w:t>三级记忆路由系统：</w:t>
        <w:br/>
        <w:t>• L1 工作记忆：会话上下文，内存存储，自动清理过期数据</w:t>
        <w:br/>
        <w:t>• L2 知识记忆：RAG 检索，百炼 API + 本地 RAG 双通道</w:t>
        <w:br/>
        <w:t>• L3 长期记忆：用户画像、FAQ 统计、对话摘要，JSON 文件持久化</w:t>
        <w:br/>
        <w:br/>
        <w:t>Prompt 模板系统：6 种 Prompt 模板覆盖问答、意图识别、摘要提取、用户画像更新等场景</w:t>
        <w:br/>
        <w:br/>
        <w:t>主入口系统：意图识别 → 路由查询 → 知识检索 → 答案生成 → 记忆沉淀</w:t>
      </w:r>
    </w:p>
    <w:p>
      <w:pPr>
        <w:pStyle w:val="Heading2"/>
      </w:pPr>
      <w:r>
        <w:t>2.3 应用交互层</w:t>
      </w:r>
    </w:p>
    <w:p>
      <w:r>
        <w:t>钉钉机器人配置：</w:t>
        <w:br/>
        <w:t>• AppKey：dinguyiasfrbtjioamwc</w:t>
        <w:br/>
        <w:t>• 账号名：虾尔</w:t>
        <w:br/>
        <w:t>• 服务地址：http://localhost:8900/webhook/dingtalk</w:t>
        <w:br/>
        <w:t>• HTTPS 地址：https://60.205.139.51/webhook/dingtalk</w:t>
        <w:br/>
        <w:br/>
        <w:t>Webhook 处理流程：</w:t>
        <w:br/>
        <w:t>钉钉消息 → HTTP POST → 解析消息 → 调用 QA 系统 → 生成回复 → 返回 JSON</w:t>
        <w:br/>
        <w:br/>
        <w:t>HTTPS 配置：</w:t>
        <w:br/>
        <w:t>• 证书类型：自签名证书</w:t>
        <w:br/>
        <w:t>• 有效期：365天（2026-06-02 至 2027-06-02）</w:t>
        <w:br/>
        <w:t>• Nginx 反向代理：HTTP(80) → HTTPS(443) → localhost:8900</w:t>
        <w:br/>
        <w:t>• 协议：TLSv1.2, TLSv1.3</w:t>
      </w:r>
    </w:p>
    <w:p>
      <w:pPr>
        <w:pStyle w:val="Heading1"/>
      </w:pPr>
      <w:r>
        <w:t>三、实验测试</w:t>
      </w:r>
    </w:p>
    <w:p>
      <w:pPr>
        <w:pStyle w:val="Heading2"/>
      </w:pPr>
      <w:r>
        <w:t>3.1 本地 RAG 检索测试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查询内容</w:t>
            </w:r>
          </w:p>
        </w:tc>
        <w:tc>
          <w:tcPr>
            <w:tcW w:type="dxa" w:w="2880"/>
          </w:tcPr>
          <w:p>
            <w:r>
              <w:t>最高相似度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基尔霍夫定律是什么？</w:t>
            </w:r>
          </w:p>
        </w:tc>
        <w:tc>
          <w:tcPr>
            <w:tcW w:type="dxa" w:w="2880"/>
          </w:tcPr>
          <w:p>
            <w:r>
              <w:t>0.595</w:t>
            </w:r>
          </w:p>
        </w:tc>
        <w:tc>
          <w:tcPr>
            <w:tcW w:type="dxa" w:w="2880"/>
          </w:tcPr>
          <w:p>
            <w:r>
              <w:t>✅ 正确返回电路分析相关内容</w:t>
            </w:r>
          </w:p>
        </w:tc>
      </w:tr>
      <w:tr>
        <w:tc>
          <w:tcPr>
            <w:tcW w:type="dxa" w:w="2880"/>
          </w:tcPr>
          <w:p>
            <w:r>
              <w:t>傅里叶变换的定义</w:t>
            </w:r>
          </w:p>
        </w:tc>
        <w:tc>
          <w:tcPr>
            <w:tcW w:type="dxa" w:w="2880"/>
          </w:tcPr>
          <w:p>
            <w:r>
              <w:t>0.735</w:t>
            </w:r>
          </w:p>
        </w:tc>
        <w:tc>
          <w:tcPr>
            <w:tcW w:type="dxa" w:w="2880"/>
          </w:tcPr>
          <w:p>
            <w:r>
              <w:t>✅ 正确返回信号与系统相关内容</w:t>
            </w:r>
          </w:p>
        </w:tc>
      </w:tr>
      <w:tr>
        <w:tc>
          <w:tcPr>
            <w:tcW w:type="dxa" w:w="2880"/>
          </w:tcPr>
          <w:p>
            <w:r>
              <w:t>触发器的特性方程</w:t>
            </w:r>
          </w:p>
        </w:tc>
        <w:tc>
          <w:tcPr>
            <w:tcW w:type="dxa" w:w="2880"/>
          </w:tcPr>
          <w:p>
            <w:r>
              <w:t>0.732</w:t>
            </w:r>
          </w:p>
        </w:tc>
        <w:tc>
          <w:tcPr>
            <w:tcW w:type="dxa" w:w="2880"/>
          </w:tcPr>
          <w:p>
            <w:r>
              <w:t>✅ 正确返回数字电子技术相关内容</w:t>
            </w:r>
          </w:p>
        </w:tc>
      </w:tr>
      <w:tr>
        <w:tc>
          <w:tcPr>
            <w:tcW w:type="dxa" w:w="2880"/>
          </w:tcPr>
          <w:p>
            <w:r>
              <w:t>卷积的计算方法</w:t>
            </w:r>
          </w:p>
        </w:tc>
        <w:tc>
          <w:tcPr>
            <w:tcW w:type="dxa" w:w="2880"/>
          </w:tcPr>
          <w:p>
            <w:r>
              <w:t>0.637</w:t>
            </w:r>
          </w:p>
        </w:tc>
        <w:tc>
          <w:tcPr>
            <w:tcW w:type="dxa" w:w="2880"/>
          </w:tcPr>
          <w:p>
            <w:r>
              <w:t>✅ 正确返回信号与系统相关内容</w:t>
            </w:r>
          </w:p>
        </w:tc>
      </w:tr>
    </w:tbl>
    <w:p>
      <w:pPr>
        <w:pStyle w:val="Heading2"/>
      </w:pPr>
      <w:r>
        <w:t>3.2 主系统完整测试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课程知识问答</w:t>
            </w:r>
          </w:p>
        </w:tc>
        <w:tc>
          <w:tcPr>
            <w:tcW w:type="dxa" w:w="2160"/>
          </w:tcPr>
          <w:p>
            <w:r>
              <w:t>基尔霍夫定律是什么？</w:t>
            </w:r>
          </w:p>
        </w:tc>
        <w:tc>
          <w:tcPr>
            <w:tcW w:type="dxa" w:w="2160"/>
          </w:tcPr>
          <w:p>
            <w:r>
              <w:t>基于教材的准确回答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课程知识问答</w:t>
            </w:r>
          </w:p>
        </w:tc>
        <w:tc>
          <w:tcPr>
            <w:tcW w:type="dxa" w:w="2160"/>
          </w:tcPr>
          <w:p>
            <w:r>
              <w:t>傅里叶变换的定义</w:t>
            </w:r>
          </w:p>
        </w:tc>
        <w:tc>
          <w:tcPr>
            <w:tcW w:type="dxa" w:w="2160"/>
          </w:tcPr>
          <w:p>
            <w:r>
              <w:t>基于教材的准确回答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闲聊处理</w:t>
            </w:r>
          </w:p>
        </w:tc>
        <w:tc>
          <w:tcPr>
            <w:tcW w:type="dxa" w:w="2160"/>
          </w:tcPr>
          <w:p>
            <w:r>
              <w:t>你好</w:t>
            </w:r>
          </w:p>
        </w:tc>
        <w:tc>
          <w:tcPr>
            <w:tcW w:type="dxa" w:w="2160"/>
          </w:tcPr>
          <w:p>
            <w:r>
              <w:t>友好回应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系统操作</w:t>
            </w:r>
          </w:p>
        </w:tc>
        <w:tc>
          <w:tcPr>
            <w:tcW w:type="dxa" w:w="2160"/>
          </w:tcPr>
          <w:p>
            <w:r>
              <w:t>如何使用系统？</w:t>
            </w:r>
          </w:p>
        </w:tc>
        <w:tc>
          <w:tcPr>
            <w:tcW w:type="dxa" w:w="2160"/>
          </w:tcPr>
          <w:p>
            <w:r>
              <w:t>使用说明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</w:tbl>
    <w:p>
      <w:pPr>
        <w:pStyle w:val="Heading2"/>
      </w:pPr>
      <w:r>
        <w:t>3.3 三级记忆系统测试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L1 工作记忆</w:t>
            </w:r>
          </w:p>
        </w:tc>
        <w:tc>
          <w:tcPr>
            <w:tcW w:type="dxa" w:w="2880"/>
          </w:tcPr>
          <w:p>
            <w:r>
              <w:t>会话上下文存储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L2 知识记忆</w:t>
            </w:r>
          </w:p>
        </w:tc>
        <w:tc>
          <w:tcPr>
            <w:tcW w:type="dxa" w:w="2880"/>
          </w:tcPr>
          <w:p>
            <w:r>
              <w:t>RAG 检索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L3 长期记忆</w:t>
            </w:r>
          </w:p>
        </w:tc>
        <w:tc>
          <w:tcPr>
            <w:tcW w:type="dxa" w:w="2880"/>
          </w:tcPr>
          <w:p>
            <w:r>
              <w:t>FAQ 统计、用户画像、对话摘要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>
      <w:pPr>
        <w:pStyle w:val="Heading1"/>
      </w:pPr>
      <w:r>
        <w:t>四、技术亮点</w:t>
      </w:r>
    </w:p>
    <w:p>
      <w:r>
        <w:t>1. 三级记忆架构：L1工作记忆 + L2知识记忆 + L3长期记忆，实现个性化服务</w:t>
        <w:br/>
        <w:t>2. 自动回退机制：百炼 API 认证失败 → 自动回退到本地 RAG 系统</w:t>
        <w:br/>
        <w:t>3. 模块化设计：知识库层、智能体层、应用交互层完全解耦</w:t>
        <w:br/>
        <w:t>4. Prompt 模板系统：6 种 Prompt 模板覆盖多种场景</w:t>
      </w:r>
    </w:p>
    <w:p>
      <w:pPr>
        <w:pStyle w:val="Heading1"/>
      </w:pPr>
      <w:r>
        <w:t>五、待优化事项</w:t>
      </w:r>
    </w:p>
    <w:p>
      <w:r>
        <w:t>1. 百炼知识库 API 认证问题 - 联系阿里云确认权限</w:t>
        <w:br/>
        <w:t>2. 更多课程教材内容入库</w:t>
        <w:br/>
        <w:t>3. 钉钉机器人正式部署 - 需公网 IP 或内网穿透</w:t>
        <w:br/>
        <w:t>4. 意图识别优化 - 从规则匹配 → LLM 识别</w:t>
        <w:br/>
        <w:t>5. 回答质量评估和反馈机制</w:t>
        <w:br/>
        <w:t>6. HTTPS 证书升级 - 自签名证书 → Let's Encrypt 免费证书</w:t>
        <w:br/>
        <w:t>7. 开机自启配置 - systemd 服务</w:t>
        <w:br/>
        <w:t>8. 日志轮转 - logrotate 配置</w:t>
        <w:br/>
        <w:t>9. 监控和告警 - 服务健康检查</w:t>
      </w:r>
    </w:p>
    <w:p>
      <w:pPr>
        <w:pStyle w:val="Heading1"/>
      </w:pPr>
      <w:r>
        <w:t>六、总结</w:t>
      </w:r>
    </w:p>
    <w:p>
      <w:r>
        <w:t>本项目成功实现了基于三层架构的信电学院AI知识问答系统，具备以下特点：</w:t>
        <w:br/>
        <w:br/>
        <w:t>1. 完整的技术栈：知识库层（6门课程、77个知识块）+ 智能体层（百炼API + 本地RAG + 三级记忆）+ 应用交互层（钉钉机器人）</w:t>
        <w:br/>
        <w:t>2. 高可用性：自动回退机制确保服务不中断</w:t>
        <w:br/>
        <w:t>3. 可扩展性：模块化设计便于添加新课程和新功能</w:t>
        <w:br/>
        <w:t>4. 智能化：三级记忆系统实现个性化服务</w:t>
        <w:br/>
        <w:t>5. 易用性：钉钉平台直接对话，无需额外安装</w:t>
        <w:br/>
        <w:br/>
        <w:t>项目已完成核心功能开发和测试验证，具备正式上线条件。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