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52F8594C">
            <w:pPr>
              <w:pStyle w:val="37"/>
              <w:rPr>
                <w:b/>
                <w:bCs/>
              </w:rPr>
            </w:pPr>
          </w:p>
        </w:tc>
        <w:tc>
          <w:tcPr>
            <w:tcW w:w="4203" w:type="dxa"/>
            <w:gridSpan w:val="3"/>
            <w:tcBorders>
              <w:top w:val="nil"/>
              <w:left w:val="nil"/>
              <w:bottom w:val="nil"/>
              <w:right w:val="nil"/>
            </w:tcBorders>
            <w:vAlign w:val="bottom"/>
          </w:tcPr>
          <w:p w14:paraId="0DA6361A">
            <w:pPr>
              <w:pStyle w:val="37"/>
            </w:pPr>
          </w:p>
        </w:tc>
        <w:tc>
          <w:tcPr>
            <w:tcW w:w="922" w:type="dxa"/>
            <w:gridSpan w:val="2"/>
            <w:tcBorders>
              <w:top w:val="nil"/>
              <w:left w:val="nil"/>
              <w:bottom w:val="nil"/>
              <w:right w:val="nil"/>
            </w:tcBorders>
            <w:vAlign w:val="bottom"/>
          </w:tcPr>
          <w:p w14:paraId="2DC6DD75">
            <w:pPr>
              <w:pStyle w:val="37"/>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3CA868D6">
            <w:pPr>
              <w:pStyle w:val="37"/>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pPr>
          </w:p>
        </w:tc>
        <w:tc>
          <w:tcPr>
            <w:tcW w:w="4203" w:type="dxa"/>
            <w:gridSpan w:val="3"/>
            <w:tcBorders>
              <w:top w:val="nil"/>
              <w:left w:val="nil"/>
              <w:bottom w:val="nil"/>
              <w:right w:val="nil"/>
            </w:tcBorders>
            <w:vAlign w:val="bottom"/>
          </w:tcPr>
          <w:p w14:paraId="23AC3EBA">
            <w:pPr>
              <w:pStyle w:val="37"/>
            </w:pPr>
          </w:p>
        </w:tc>
        <w:tc>
          <w:tcPr>
            <w:tcW w:w="922" w:type="dxa"/>
            <w:gridSpan w:val="2"/>
            <w:tcBorders>
              <w:top w:val="nil"/>
              <w:left w:val="nil"/>
              <w:bottom w:val="nil"/>
              <w:right w:val="nil"/>
            </w:tcBorders>
            <w:vAlign w:val="bottom"/>
          </w:tcPr>
          <w:p w14:paraId="5BE38EE3">
            <w:pPr>
              <w:pStyle w:val="37"/>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sz w:val="44"/>
              </w:rPr>
            </w:pPr>
            <w:r>
              <w:rPr>
                <w:rFonts w:hint="eastAsia" w:eastAsia="宋体"/>
                <w:color w:val="000000"/>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sz w:val="44"/>
                <w:lang w:val="en-US" w:eastAsia="zh-CN"/>
              </w:rPr>
            </w:pPr>
          </w:p>
          <w:p w14:paraId="0358660F">
            <w:pPr>
              <w:pStyle w:val="37"/>
              <w:jc w:val="center"/>
              <w:rPr>
                <w:rFonts w:hint="default" w:eastAsia="仿宋_GB2312"/>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0BD70198">
            <w:pPr>
              <w:pStyle w:val="38"/>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000000"/>
                <w:sz w:val="32"/>
                <w:szCs w:val="32"/>
                <w:lang w:eastAsia="zh-CN"/>
              </w:rPr>
            </w:pPr>
          </w:p>
          <w:p w14:paraId="5740EEA7">
            <w:pPr>
              <w:keepNext w:val="0"/>
              <w:keepLines w:val="0"/>
              <w:widowControl/>
              <w:suppressLineNumbers w:val="0"/>
              <w:jc w:val="center"/>
            </w:pPr>
            <w:r>
              <w:rPr>
                <w:rFonts w:hint="default" w:ascii="黑体" w:hAnsi="宋体" w:eastAsia="黑体" w:cs="黑体"/>
                <w:b/>
                <w:bCs/>
                <w:snapToGrid/>
                <w:color w:val="000000"/>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000000"/>
                <w:sz w:val="32"/>
                <w:szCs w:val="32"/>
                <w:lang w:val="en-US" w:eastAsia="zh-CN"/>
              </w:rPr>
            </w:pPr>
          </w:p>
          <w:p w14:paraId="525BDA62">
            <w:pPr>
              <w:adjustRightInd w:val="0"/>
              <w:snapToGrid w:val="0"/>
              <w:jc w:val="center"/>
              <w:rPr>
                <w:rFonts w:hint="eastAsia" w:eastAsia="宋体"/>
                <w:color w:val="000000"/>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53122898">
            <w:pPr>
              <w:pStyle w:val="40"/>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64FC411D">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spacing w:val="20"/>
                <w:lang w:val="en-US" w:eastAsia="zh-CN"/>
              </w:rPr>
            </w:pPr>
            <w:r>
              <w:rPr>
                <w:rFonts w:hint="eastAsia"/>
                <w:b/>
                <w:bCs/>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000000"/>
                <w:sz w:val="52"/>
              </w:rPr>
            </w:pPr>
          </w:p>
          <w:p w14:paraId="37018065">
            <w:pPr>
              <w:adjustRightInd w:val="0"/>
              <w:snapToGrid w:val="0"/>
              <w:rPr>
                <w:rFonts w:hint="eastAsia" w:eastAsia="楷体_GB2312"/>
                <w:color w:val="000000"/>
                <w:sz w:val="52"/>
              </w:rPr>
            </w:pPr>
          </w:p>
          <w:p w14:paraId="45990817">
            <w:pPr>
              <w:adjustRightInd w:val="0"/>
              <w:snapToGrid w:val="0"/>
              <w:rPr>
                <w:rFonts w:hint="eastAsia" w:eastAsia="楷体_GB2312"/>
                <w:color w:val="000000"/>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C96ED63">
            <w:pPr>
              <w:pStyle w:val="4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56436DBB">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6CC46EA1">
            <w: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000000"/>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3365C72">
            <w:pPr>
              <w:pStyle w:val="40"/>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0BE16A20">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lang w:val="en-US" w:eastAsia="zh-CN"/>
              </w:rPr>
            </w:pPr>
            <w:r>
              <w:rPr>
                <w:rFonts w:hint="eastAsia" w:eastAsia="宋体"/>
                <w:b/>
                <w:bCs/>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000000"/>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7F1108F">
            <w:pPr>
              <w:pStyle w:val="4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F9EA1D2">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000000"/>
                <w:sz w:val="52"/>
              </w:rPr>
            </w:pPr>
          </w:p>
        </w:tc>
      </w:tr>
      <w:tr w14:paraId="29C7B864">
        <w:trPr>
          <w:trHeight w:val="1718" w:hRule="atLeast"/>
          <w:jc w:val="center"/>
        </w:trPr>
        <w:tc>
          <w:tcPr>
            <w:tcW w:w="8918" w:type="dxa"/>
            <w:gridSpan w:val="9"/>
            <w:tcBorders>
              <w:top w:val="nil"/>
              <w:left w:val="nil"/>
              <w:bottom w:val="nil"/>
              <w:right w:val="nil"/>
            </w:tcBorders>
          </w:tcPr>
          <w:p w14:paraId="6BE88A6F">
            <w:r>
              <w:t>2026 年 6 月 15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w:t>
      </w:r>
      <w:r>
        <w:rPr>
          <w:rFonts w:hint="eastAsia" w:ascii="Times New Roman" w:hAnsi="Times New Roman" w:cs="Times New Roman"/>
          <w:b/>
          <w:bCs/>
          <w:sz w:val="30"/>
          <w:szCs w:val="30"/>
          <w:lang w:val="en-US" w:eastAsia="zh-CN"/>
        </w:rPr>
        <w:t xml:space="preserve">       </w:t>
      </w:r>
      <w:r>
        <w:rPr>
          <w:rFonts w:hint="eastAsia" w:cs="Times New Roman"/>
          <w:b/>
          <w:bCs/>
          <w:sz w:val="30"/>
          <w:szCs w:val="30"/>
          <w:lang w:val="en-US" w:eastAsia="zh-CN"/>
        </w:rPr>
        <w:t xml:space="preserve">    </w:t>
      </w:r>
      <w:r>
        <w:rPr>
          <w:rFonts w:hint="eastAsia" w:ascii="Times New Roman" w:hAnsi="Times New Roman" w:cs="Times New Roman"/>
          <w:b/>
          <w:bCs/>
          <w:sz w:val="30"/>
          <w:szCs w:val="30"/>
          <w:lang w:val="en-US" w:eastAsia="zh-CN"/>
        </w:rPr>
        <w:t xml:space="preserve">    </w:t>
      </w:r>
      <w:r>
        <w:rPr>
          <w:rFonts w:hint="default" w:eastAsia="楷体_GB2312" w:cs="Times New Roman"/>
          <w:b/>
          <w:bCs/>
          <w:sz w:val="30"/>
          <w:szCs w:val="30"/>
          <w:lang w:val="en-US" w:eastAsia="zh-CN"/>
        </w:rPr>
        <w:t>Y</w:t>
      </w:r>
      <w:r>
        <w:rPr>
          <w:rFonts w:hint="eastAsia" w:eastAsia="楷体_GB2312" w:cs="Times New Roman"/>
          <w:b/>
          <w:bCs/>
          <w:sz w:val="30"/>
          <w:szCs w:val="30"/>
          <w:lang w:val="en-US" w:eastAsia="zh-CN"/>
        </w:rPr>
        <w:t xml:space="preserve">e </w:t>
      </w:r>
      <w:r>
        <w:rPr>
          <w:rFonts w:hint="default" w:eastAsia="楷体_GB2312" w:cs="Times New Roman"/>
          <w:b/>
          <w:bCs/>
          <w:sz w:val="30"/>
          <w:szCs w:val="30"/>
          <w:lang w:val="en-US" w:eastAsia="zh-CN"/>
        </w:rPr>
        <w:t>W</w:t>
      </w:r>
      <w:r>
        <w:rPr>
          <w:rFonts w:hint="eastAsia" w:eastAsia="楷体_GB2312" w:cs="Times New Roman"/>
          <w:b/>
          <w:bCs/>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kern w:val="2"/>
          <w:sz w:val="30"/>
          <w:szCs w:val="30"/>
          <w:lang w:val="en-US" w:eastAsia="zh-CN" w:bidi="ar-SA"/>
        </w:rPr>
      </w:pPr>
      <w: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lang w:eastAsia="zh-CN"/>
        </w:rPr>
      </w:pPr>
      <w:bookmarkStart w:id="0" w:name="_Toc8830"/>
      <w:bookmarkStart w:id="1" w:name="_Toc18544"/>
      <w:bookmarkStart w:id="2" w:name="_Toc28263"/>
      <w:bookmarkStart w:id="3" w:name="_Toc19856"/>
      <w:bookmarkStart w:id="4" w:name="_Toc11059"/>
      <w:bookmarkStart w:id="5" w:name="_Toc31961"/>
      <w:bookmarkStart w:id="6" w:name="_Toc1471807053"/>
      <w:bookmarkStart w:id="7" w:name="_Toc20200"/>
      <w:bookmarkStart w:id="8" w:name="_Toc246172426"/>
      <w:bookmarkStart w:id="9" w:name="_Toc362486656"/>
      <w:bookmarkStart w:id="10" w:name="_Toc379257105"/>
      <w:bookmarkStart w:id="11" w:name="_Toc290983561"/>
      <w:bookmarkStart w:id="12" w:name="_Toc828490391"/>
      <w:bookmarkStart w:id="13" w:name="_Toc1705937017"/>
      <w:r>
        <w:rPr>
          <w:rFonts w:hint="eastAsia"/>
          <w:lang w:eastAsia="zh-CN"/>
        </w:rPr>
        <w:t>摘</w:t>
      </w:r>
      <w:r>
        <w:rPr>
          <w:rFonts w:hint="eastAsia"/>
          <w:lang w:val="en-US" w:eastAsia="zh-CN"/>
        </w:rPr>
        <w:t xml:space="preserve">  </w:t>
      </w:r>
      <w:r>
        <w:rPr>
          <w:rFonts w:hint="eastAsia"/>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lang w:val="en-US" w:eastAsia="zh-CN"/>
        </w:rPr>
        <w:t>Agape</w:t>
      </w:r>
      <w:r>
        <w:rPr>
          <w:rFonts w:hint="eastAsia" w:ascii="宋体" w:hAnsi="宋体" w:eastAsia="宋体" w:cs="宋体"/>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ascii="宋体" w:hAnsi="宋体" w:eastAsia="宋体" w:cs="宋体"/>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FF0000"/>
          <w:lang w:eastAsia="zh-CN"/>
        </w:rPr>
      </w:pPr>
      <w:r>
        <w:rPr>
          <w:rFonts w:hint="eastAsia"/>
          <w:color w:val="FF0000"/>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14" w:name="_Toc1944493625"/>
      <w:bookmarkStart w:id="15" w:name="_Toc1366459660"/>
      <w:bookmarkStart w:id="16" w:name="_Toc26499"/>
      <w:bookmarkStart w:id="17" w:name="_Toc3181"/>
      <w:bookmarkStart w:id="18" w:name="_Toc25068"/>
      <w:bookmarkStart w:id="19" w:name="_Toc2049604500"/>
      <w:bookmarkStart w:id="20" w:name="_Toc23274"/>
      <w:bookmarkStart w:id="21" w:name="_Toc13702"/>
      <w:bookmarkStart w:id="22" w:name="_Toc442699439"/>
      <w:bookmarkStart w:id="23" w:name="_Toc740445508"/>
      <w:bookmarkStart w:id="24" w:name="_Toc154034389"/>
      <w:bookmarkStart w:id="25" w:name="_Toc629273622"/>
      <w:r>
        <w:t>A</w:t>
      </w:r>
      <w:r>
        <w:rPr>
          <w:rFonts w:hint="eastAsia"/>
          <w:lang w:val="en-US" w:eastAsia="zh-CN"/>
        </w:rPr>
        <w:t>bstract</w:t>
      </w:r>
      <w:bookmarkEnd w:id="14"/>
      <w:bookmarkEnd w:id="15"/>
      <w:bookmarkEnd w:id="16"/>
      <w:bookmarkEnd w:id="17"/>
      <w:bookmarkEnd w:id="18"/>
      <w:bookmarkEnd w:id="19"/>
      <w:bookmarkEnd w:id="20"/>
      <w:bookmarkEnd w:id="21"/>
      <w:bookmarkEnd w:id="22"/>
      <w:bookmarkEnd w:id="23"/>
      <w:bookmarkEnd w:id="24"/>
      <w:bookmarkEnd w:id="25"/>
    </w:p>
    <w:p w14:paraId="1AF21548">
      <w:pPr>
        <w:pageBreakBefore w:val="0"/>
        <w:kinsoku/>
        <w:wordWrap/>
        <w:overflowPunct/>
        <w:topLinePunct w:val="0"/>
        <w:bidi w:val="0"/>
        <w:adjustRightInd w:val="0"/>
        <w:snapToGrid w:val="0"/>
        <w:ind w:firstLine="480" w:firstLineChars="200"/>
        <w:textAlignment w:val="auto"/>
        <w:rPr>
          <w:rFonts w:hint="eastAsia"/>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sz w:val="32"/>
          <w:szCs w:val="32"/>
          <w:lang w:val="en-US" w:eastAsia="zh-CN"/>
        </w:rPr>
      </w:pPr>
      <w:bookmarkStart w:id="26" w:name="_Toc14832"/>
      <w:bookmarkStart w:id="27" w:name="_Toc30510"/>
      <w:bookmarkStart w:id="28" w:name="_Toc2948"/>
      <w:bookmarkStart w:id="29" w:name="_Toc26892"/>
      <w:bookmarkStart w:id="30" w:name="_Toc160"/>
      <w:bookmarkStart w:id="31" w:name="_Toc3063"/>
      <w:bookmarkStart w:id="32" w:name="_Toc23385"/>
      <w:bookmarkStart w:id="33" w:name="_Toc28965"/>
      <w:bookmarkStart w:id="34" w:name="_Toc12205"/>
      <w:bookmarkStart w:id="35" w:name="_Toc27475"/>
      <w:bookmarkStart w:id="36" w:name="_Toc11803"/>
      <w:bookmarkStart w:id="37" w:name="_Toc29976"/>
      <w:bookmarkStart w:id="38" w:name="_Toc23833"/>
      <w:bookmarkStart w:id="39" w:name="_Toc31026"/>
      <w:bookmarkStart w:id="40" w:name="_Toc16558"/>
      <w:bookmarkStart w:id="41" w:name="_Toc23585"/>
      <w:r>
        <w:rPr>
          <w:rFonts w:hint="eastAsia" w:ascii="黑体" w:hAnsi="黑体" w:eastAsia="黑体" w:cs="黑体"/>
          <w:b/>
          <w:bCs/>
          <w:sz w:val="32"/>
          <w:szCs w:val="32"/>
          <w:lang w:val="en-US" w:eastAsia="zh-CN"/>
        </w:rPr>
        <w:br w:type="page"/>
      </w:r>
    </w:p>
    <w:p w14:paraId="5DEFBEBA">
      <w:pPr>
        <w:tabs>
          <w:tab w:val="right" w:leader="dot" w:pos="9071"/>
        </w:tabs>
        <w:spacing w:before="0" w:after="0" w:line="360" w:lineRule="auto"/>
        <w:ind w:left="891"/>
        <w:jc w:val="center"/>
        <w:rPr>
          <w:rFonts w:hint="eastAsia" w:ascii="黑体" w:hAnsi="黑体" w:eastAsia="黑体" w:cs="黑体"/>
          <w:b/>
          <w:bCs/>
          <w:sz w:val="32"/>
          <w:szCs w:val="32"/>
          <w:lang w:val="en-US" w:eastAsia="zh-CN"/>
        </w:rPr>
      </w:pPr>
      <w:bookmarkStart w:id="685" w:name="_GoBack"/>
      <w:r>
        <w:rPr>
          <w:rFonts w:hint="eastAsia" w:ascii="黑体" w:hAnsi="黑体" w:eastAsia="黑体" w:cs="黑体"/>
          <w:b/>
          <w:bCs/>
          <w:sz w:val="32"/>
          <w:szCs w:val="32"/>
          <w:lang w:val="en-US" w:eastAsia="zh-CN"/>
        </w:rPr>
        <w:t>目  录</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bookmarkEnd w:id="685"/>
    <w:p w14:paraId="3D41E650">
      <w:pPr>
        <w:pStyle w:val="15"/>
        <w:tabs>
          <w:tab w:val="right" w:leader="dot" w:pos="8786"/>
        </w:tabs>
      </w:pPr>
      <w:r>
        <w:rPr>
          <w:rFonts w:hint="eastAsia" w:ascii="黑体" w:hAnsi="黑体" w:eastAsia="黑体" w:cs="黑体"/>
          <w:b/>
          <w:bCs/>
          <w:sz w:val="32"/>
          <w:szCs w:val="32"/>
          <w:lang w:val="en-US" w:eastAsia="zh-CN"/>
        </w:rPr>
        <w:fldChar w:fldCharType="begin"/>
      </w:r>
      <w:r>
        <w:rPr>
          <w:rFonts w:hint="eastAsia" w:ascii="黑体" w:hAnsi="黑体" w:eastAsia="黑体" w:cs="黑体"/>
          <w:b/>
          <w:bCs/>
          <w:sz w:val="32"/>
          <w:szCs w:val="32"/>
          <w:lang w:val="en-US" w:eastAsia="zh-CN"/>
        </w:rPr>
        <w:instrText xml:space="preserve">TOC \o "1-3" \h \u </w:instrText>
      </w:r>
      <w:r>
        <w:rPr>
          <w:rFonts w:hint="eastAsia" w:ascii="黑体" w:hAnsi="黑体" w:eastAsia="黑体" w:cs="黑体"/>
          <w:b/>
          <w:bCs/>
          <w:sz w:val="32"/>
          <w:szCs w:val="32"/>
          <w:lang w:val="en-US" w:eastAsia="zh-CN"/>
        </w:rPr>
        <w:fldChar w:fldCharType="separate"/>
      </w: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_Toc1705937017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_Toc1705937017 \h </w:instrText>
      </w:r>
      <w:r>
        <w:fldChar w:fldCharType="separate"/>
      </w:r>
      <w:r>
        <w:t>III</w:t>
      </w:r>
      <w:r>
        <w:fldChar w:fldCharType="end"/>
      </w:r>
      <w:r>
        <w:rPr>
          <w:rFonts w:hint="eastAsia" w:ascii="黑体" w:hAnsi="黑体" w:eastAsia="黑体" w:cs="黑体"/>
          <w:bCs/>
          <w:szCs w:val="32"/>
          <w:lang w:val="en-US" w:eastAsia="zh-CN"/>
        </w:rPr>
        <w:fldChar w:fldCharType="end"/>
      </w:r>
    </w:p>
    <w:p w14:paraId="1B30E27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_Toc629273622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_Toc629273622 \h </w:instrText>
      </w:r>
      <w:r>
        <w:fldChar w:fldCharType="separate"/>
      </w:r>
      <w:r>
        <w:t>IV</w:t>
      </w:r>
      <w:r>
        <w:fldChar w:fldCharType="end"/>
      </w:r>
      <w:r>
        <w:rPr>
          <w:rFonts w:hint="eastAsia" w:ascii="黑体" w:hAnsi="黑体" w:eastAsia="黑体" w:cs="黑体"/>
          <w:bCs/>
          <w:szCs w:val="32"/>
          <w:lang w:val="en-US" w:eastAsia="zh-CN"/>
        </w:rPr>
        <w:fldChar w:fldCharType="end"/>
      </w:r>
    </w:p>
    <w:p w14:paraId="6EDFA26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_Toc1992287126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_Toc1992287126 \h </w:instrText>
      </w:r>
      <w:r>
        <w:fldChar w:fldCharType="separate"/>
      </w:r>
      <w:r>
        <w:t>1</w:t>
      </w:r>
      <w:r>
        <w:fldChar w:fldCharType="end"/>
      </w:r>
      <w:r>
        <w:rPr>
          <w:rFonts w:hint="eastAsia" w:ascii="黑体" w:hAnsi="黑体" w:eastAsia="黑体" w:cs="黑体"/>
          <w:bCs/>
          <w:szCs w:val="32"/>
          <w:lang w:val="en-US" w:eastAsia="zh-CN"/>
        </w:rPr>
        <w:fldChar w:fldCharType="end"/>
      </w:r>
    </w:p>
    <w:p w14:paraId="05DC28F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_Toc804702658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_Toc804702658 \h </w:instrText>
      </w:r>
      <w:r>
        <w:fldChar w:fldCharType="separate"/>
      </w:r>
      <w:r>
        <w:t>1</w:t>
      </w:r>
      <w:r>
        <w:fldChar w:fldCharType="end"/>
      </w:r>
      <w:r>
        <w:rPr>
          <w:rFonts w:hint="eastAsia" w:ascii="黑体" w:hAnsi="黑体" w:eastAsia="黑体" w:cs="黑体"/>
          <w:bCs/>
          <w:szCs w:val="32"/>
          <w:lang w:val="en-US" w:eastAsia="zh-CN"/>
        </w:rPr>
        <w:fldChar w:fldCharType="end"/>
      </w:r>
    </w:p>
    <w:p w14:paraId="38E5279F">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_Toc1933047847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_Toc1933047847 \h </w:instrText>
      </w:r>
      <w:r>
        <w:fldChar w:fldCharType="separate"/>
      </w:r>
      <w:r>
        <w:t>1</w:t>
      </w:r>
      <w:r>
        <w:fldChar w:fldCharType="end"/>
      </w:r>
      <w:r>
        <w:rPr>
          <w:rFonts w:hint="eastAsia" w:ascii="黑体" w:hAnsi="黑体" w:eastAsia="黑体" w:cs="黑体"/>
          <w:bCs/>
          <w:szCs w:val="32"/>
          <w:lang w:val="en-US" w:eastAsia="zh-CN"/>
        </w:rPr>
        <w:fldChar w:fldCharType="end"/>
      </w:r>
    </w:p>
    <w:p w14:paraId="02AD8C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_Toc1602552713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_Toc1602552713 \h </w:instrText>
      </w:r>
      <w:r>
        <w:fldChar w:fldCharType="separate"/>
      </w:r>
      <w:r>
        <w:t>2</w:t>
      </w:r>
      <w:r>
        <w:fldChar w:fldCharType="end"/>
      </w:r>
      <w:r>
        <w:rPr>
          <w:rFonts w:hint="eastAsia" w:ascii="黑体" w:hAnsi="黑体" w:eastAsia="黑体" w:cs="黑体"/>
          <w:bCs/>
          <w:szCs w:val="32"/>
          <w:lang w:val="en-US" w:eastAsia="zh-CN"/>
        </w:rPr>
        <w:fldChar w:fldCharType="end"/>
      </w:r>
    </w:p>
    <w:p w14:paraId="10C61D7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_Toc363546717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_Toc363546717 \h </w:instrText>
      </w:r>
      <w:r>
        <w:fldChar w:fldCharType="separate"/>
      </w:r>
      <w:r>
        <w:t>3</w:t>
      </w:r>
      <w:r>
        <w:fldChar w:fldCharType="end"/>
      </w:r>
      <w:r>
        <w:rPr>
          <w:rFonts w:hint="eastAsia" w:ascii="黑体" w:hAnsi="黑体" w:eastAsia="黑体" w:cs="黑体"/>
          <w:bCs/>
          <w:szCs w:val="32"/>
          <w:lang w:val="en-US" w:eastAsia="zh-CN"/>
        </w:rPr>
        <w:fldChar w:fldCharType="end"/>
      </w:r>
    </w:p>
    <w:p w14:paraId="3F13CD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_Toc538696904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_Toc538696904 \h </w:instrText>
      </w:r>
      <w:r>
        <w:fldChar w:fldCharType="separate"/>
      </w:r>
      <w:r>
        <w:t>3</w:t>
      </w:r>
      <w:r>
        <w:fldChar w:fldCharType="end"/>
      </w:r>
      <w:r>
        <w:rPr>
          <w:rFonts w:hint="eastAsia" w:ascii="黑体" w:hAnsi="黑体" w:eastAsia="黑体" w:cs="黑体"/>
          <w:bCs/>
          <w:szCs w:val="32"/>
          <w:lang w:val="en-US" w:eastAsia="zh-CN"/>
        </w:rPr>
        <w:fldChar w:fldCharType="end"/>
      </w:r>
    </w:p>
    <w:p w14:paraId="421A4F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_Toc87809776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_Toc87809776 \h </w:instrText>
      </w:r>
      <w:r>
        <w:fldChar w:fldCharType="separate"/>
      </w:r>
      <w:r>
        <w:t>4</w:t>
      </w:r>
      <w:r>
        <w:fldChar w:fldCharType="end"/>
      </w:r>
      <w:r>
        <w:rPr>
          <w:rFonts w:hint="eastAsia" w:ascii="黑体" w:hAnsi="黑体" w:eastAsia="黑体" w:cs="黑体"/>
          <w:bCs/>
          <w:szCs w:val="32"/>
          <w:lang w:val="en-US" w:eastAsia="zh-CN"/>
        </w:rPr>
        <w:fldChar w:fldCharType="end"/>
      </w:r>
    </w:p>
    <w:p w14:paraId="0D4810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_Toc497639743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_Toc497639743 \h </w:instrText>
      </w:r>
      <w:r>
        <w:fldChar w:fldCharType="separate"/>
      </w:r>
      <w:r>
        <w:t>5</w:t>
      </w:r>
      <w:r>
        <w:fldChar w:fldCharType="end"/>
      </w:r>
      <w:r>
        <w:rPr>
          <w:rFonts w:hint="eastAsia" w:ascii="黑体" w:hAnsi="黑体" w:eastAsia="黑体" w:cs="黑体"/>
          <w:bCs/>
          <w:szCs w:val="32"/>
          <w:lang w:val="en-US" w:eastAsia="zh-CN"/>
        </w:rPr>
        <w:fldChar w:fldCharType="end"/>
      </w:r>
    </w:p>
    <w:p w14:paraId="6D37339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_Toc1529839183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_Toc1529839183 \h </w:instrText>
      </w:r>
      <w:r>
        <w:fldChar w:fldCharType="separate"/>
      </w:r>
      <w:r>
        <w:t>7</w:t>
      </w:r>
      <w:r>
        <w:fldChar w:fldCharType="end"/>
      </w:r>
      <w:r>
        <w:rPr>
          <w:rFonts w:hint="eastAsia" w:ascii="黑体" w:hAnsi="黑体" w:eastAsia="黑体" w:cs="黑体"/>
          <w:bCs/>
          <w:szCs w:val="32"/>
          <w:lang w:val="en-US" w:eastAsia="zh-CN"/>
        </w:rPr>
        <w:fldChar w:fldCharType="end"/>
      </w:r>
    </w:p>
    <w:p w14:paraId="05179333">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_Toc185443150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_Toc185443150 \h </w:instrText>
      </w:r>
      <w:r>
        <w:fldChar w:fldCharType="separate"/>
      </w:r>
      <w:r>
        <w:t>8</w:t>
      </w:r>
      <w:r>
        <w:fldChar w:fldCharType="end"/>
      </w:r>
      <w:r>
        <w:rPr>
          <w:rFonts w:hint="eastAsia" w:ascii="黑体" w:hAnsi="黑体" w:eastAsia="黑体" w:cs="黑体"/>
          <w:bCs/>
          <w:szCs w:val="32"/>
          <w:lang w:val="en-US" w:eastAsia="zh-CN"/>
        </w:rPr>
        <w:fldChar w:fldCharType="end"/>
      </w:r>
    </w:p>
    <w:p w14:paraId="11F5FF2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_Toc744250253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_Toc744250253 \h </w:instrText>
      </w:r>
      <w:r>
        <w:fldChar w:fldCharType="separate"/>
      </w:r>
      <w:r>
        <w:t>8</w:t>
      </w:r>
      <w:r>
        <w:fldChar w:fldCharType="end"/>
      </w:r>
      <w:r>
        <w:rPr>
          <w:rFonts w:hint="eastAsia" w:ascii="黑体" w:hAnsi="黑体" w:eastAsia="黑体" w:cs="黑体"/>
          <w:bCs/>
          <w:szCs w:val="32"/>
          <w:lang w:val="en-US" w:eastAsia="zh-CN"/>
        </w:rPr>
        <w:fldChar w:fldCharType="end"/>
      </w:r>
    </w:p>
    <w:p w14:paraId="63470E9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_Toc1669242043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_Toc1669242043 \h </w:instrText>
      </w:r>
      <w:r>
        <w:fldChar w:fldCharType="separate"/>
      </w:r>
      <w:r>
        <w:t>8</w:t>
      </w:r>
      <w:r>
        <w:fldChar w:fldCharType="end"/>
      </w:r>
      <w:r>
        <w:rPr>
          <w:rFonts w:hint="eastAsia" w:ascii="黑体" w:hAnsi="黑体" w:eastAsia="黑体" w:cs="黑体"/>
          <w:bCs/>
          <w:szCs w:val="32"/>
          <w:lang w:val="en-US" w:eastAsia="zh-CN"/>
        </w:rPr>
        <w:fldChar w:fldCharType="end"/>
      </w:r>
    </w:p>
    <w:p w14:paraId="0B2BAAA6">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_Toc224652293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_Toc224652293 \h </w:instrText>
      </w:r>
      <w:r>
        <w:fldChar w:fldCharType="separate"/>
      </w:r>
      <w:r>
        <w:t>9</w:t>
      </w:r>
      <w:r>
        <w:fldChar w:fldCharType="end"/>
      </w:r>
      <w:r>
        <w:rPr>
          <w:rFonts w:hint="eastAsia" w:ascii="黑体" w:hAnsi="黑体" w:eastAsia="黑体" w:cs="黑体"/>
          <w:bCs/>
          <w:szCs w:val="32"/>
          <w:lang w:val="en-US" w:eastAsia="zh-CN"/>
        </w:rPr>
        <w:fldChar w:fldCharType="end"/>
      </w:r>
    </w:p>
    <w:p w14:paraId="674671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_Toc454837025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_Toc454837025 \h </w:instrText>
      </w:r>
      <w:r>
        <w:fldChar w:fldCharType="separate"/>
      </w:r>
      <w:r>
        <w:t>9</w:t>
      </w:r>
      <w:r>
        <w:fldChar w:fldCharType="end"/>
      </w:r>
      <w:r>
        <w:rPr>
          <w:rFonts w:hint="eastAsia" w:ascii="黑体" w:hAnsi="黑体" w:eastAsia="黑体" w:cs="黑体"/>
          <w:bCs/>
          <w:szCs w:val="32"/>
          <w:lang w:val="en-US" w:eastAsia="zh-CN"/>
        </w:rPr>
        <w:fldChar w:fldCharType="end"/>
      </w:r>
    </w:p>
    <w:p w14:paraId="56014BF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_Toc1551579502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_Toc1551579502 \h </w:instrText>
      </w:r>
      <w:r>
        <w:fldChar w:fldCharType="separate"/>
      </w:r>
      <w:r>
        <w:t>9</w:t>
      </w:r>
      <w:r>
        <w:fldChar w:fldCharType="end"/>
      </w:r>
      <w:r>
        <w:rPr>
          <w:rFonts w:hint="eastAsia" w:ascii="黑体" w:hAnsi="黑体" w:eastAsia="黑体" w:cs="黑体"/>
          <w:bCs/>
          <w:szCs w:val="32"/>
          <w:lang w:val="en-US" w:eastAsia="zh-CN"/>
        </w:rPr>
        <w:fldChar w:fldCharType="end"/>
      </w:r>
    </w:p>
    <w:p w14:paraId="05302F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_Toc502764593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_Toc502764593 \h </w:instrText>
      </w:r>
      <w:r>
        <w:fldChar w:fldCharType="separate"/>
      </w:r>
      <w:r>
        <w:t>10</w:t>
      </w:r>
      <w:r>
        <w:fldChar w:fldCharType="end"/>
      </w:r>
      <w:r>
        <w:rPr>
          <w:rFonts w:hint="eastAsia" w:ascii="黑体" w:hAnsi="黑体" w:eastAsia="黑体" w:cs="黑体"/>
          <w:bCs/>
          <w:szCs w:val="32"/>
          <w:lang w:val="en-US" w:eastAsia="zh-CN"/>
        </w:rPr>
        <w:fldChar w:fldCharType="end"/>
      </w:r>
    </w:p>
    <w:p w14:paraId="63C3992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_Toc1763847253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_Toc1763847253 \h </w:instrText>
      </w:r>
      <w:r>
        <w:fldChar w:fldCharType="separate"/>
      </w:r>
      <w:r>
        <w:t>12</w:t>
      </w:r>
      <w:r>
        <w:fldChar w:fldCharType="end"/>
      </w:r>
      <w:r>
        <w:rPr>
          <w:rFonts w:hint="eastAsia" w:ascii="黑体" w:hAnsi="黑体" w:eastAsia="黑体" w:cs="黑体"/>
          <w:bCs/>
          <w:szCs w:val="32"/>
          <w:lang w:val="en-US" w:eastAsia="zh-CN"/>
        </w:rPr>
        <w:fldChar w:fldCharType="end"/>
      </w:r>
    </w:p>
    <w:p w14:paraId="04B42938">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_Toc1116517983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_Toc1116517983 \h </w:instrText>
      </w:r>
      <w:r>
        <w:fldChar w:fldCharType="separate"/>
      </w:r>
      <w:r>
        <w:t>12</w:t>
      </w:r>
      <w:r>
        <w:fldChar w:fldCharType="end"/>
      </w:r>
      <w:r>
        <w:rPr>
          <w:rFonts w:hint="eastAsia" w:ascii="黑体" w:hAnsi="黑体" w:eastAsia="黑体" w:cs="黑体"/>
          <w:bCs/>
          <w:szCs w:val="32"/>
          <w:lang w:val="en-US" w:eastAsia="zh-CN"/>
        </w:rPr>
        <w:fldChar w:fldCharType="end"/>
      </w:r>
    </w:p>
    <w:p w14:paraId="195AE98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_Toc605632795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_Toc605632795 \h </w:instrText>
      </w:r>
      <w:r>
        <w:fldChar w:fldCharType="separate"/>
      </w:r>
      <w:r>
        <w:t>12</w:t>
      </w:r>
      <w:r>
        <w:fldChar w:fldCharType="end"/>
      </w:r>
      <w:r>
        <w:rPr>
          <w:rFonts w:hint="eastAsia" w:ascii="黑体" w:hAnsi="黑体" w:eastAsia="黑体" w:cs="黑体"/>
          <w:bCs/>
          <w:szCs w:val="32"/>
          <w:lang w:val="en-US" w:eastAsia="zh-CN"/>
        </w:rPr>
        <w:fldChar w:fldCharType="end"/>
      </w:r>
    </w:p>
    <w:p w14:paraId="7F8A6E5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_Toc1945382432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_Toc1945382432 \h </w:instrText>
      </w:r>
      <w:r>
        <w:fldChar w:fldCharType="separate"/>
      </w:r>
      <w:r>
        <w:t>13</w:t>
      </w:r>
      <w:r>
        <w:fldChar w:fldCharType="end"/>
      </w:r>
      <w:r>
        <w:rPr>
          <w:rFonts w:hint="eastAsia" w:ascii="黑体" w:hAnsi="黑体" w:eastAsia="黑体" w:cs="黑体"/>
          <w:bCs/>
          <w:szCs w:val="32"/>
          <w:lang w:val="en-US" w:eastAsia="zh-CN"/>
        </w:rPr>
        <w:fldChar w:fldCharType="end"/>
      </w:r>
    </w:p>
    <w:p w14:paraId="63364C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_Toc604009049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_Toc604009049 \h </w:instrText>
      </w:r>
      <w:r>
        <w:fldChar w:fldCharType="separate"/>
      </w:r>
      <w:r>
        <w:t>14</w:t>
      </w:r>
      <w:r>
        <w:fldChar w:fldCharType="end"/>
      </w:r>
      <w:r>
        <w:rPr>
          <w:rFonts w:hint="eastAsia" w:ascii="黑体" w:hAnsi="黑体" w:eastAsia="黑体" w:cs="黑体"/>
          <w:bCs/>
          <w:szCs w:val="32"/>
          <w:lang w:val="en-US" w:eastAsia="zh-CN"/>
        </w:rPr>
        <w:fldChar w:fldCharType="end"/>
      </w:r>
    </w:p>
    <w:p w14:paraId="4C7E440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_Toc424887174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_Toc424887174 \h </w:instrText>
      </w:r>
      <w:r>
        <w:fldChar w:fldCharType="separate"/>
      </w:r>
      <w:r>
        <w:t>15</w:t>
      </w:r>
      <w:r>
        <w:fldChar w:fldCharType="end"/>
      </w:r>
      <w:r>
        <w:rPr>
          <w:rFonts w:hint="eastAsia" w:ascii="黑体" w:hAnsi="黑体" w:eastAsia="黑体" w:cs="黑体"/>
          <w:bCs/>
          <w:szCs w:val="32"/>
          <w:lang w:val="en-US" w:eastAsia="zh-CN"/>
        </w:rPr>
        <w:fldChar w:fldCharType="end"/>
      </w:r>
    </w:p>
    <w:p w14:paraId="497284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_Toc695607143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_Toc695607143 \h </w:instrText>
      </w:r>
      <w:r>
        <w:fldChar w:fldCharType="separate"/>
      </w:r>
      <w:r>
        <w:t>15</w:t>
      </w:r>
      <w:r>
        <w:fldChar w:fldCharType="end"/>
      </w:r>
      <w:r>
        <w:rPr>
          <w:rFonts w:hint="eastAsia" w:ascii="黑体" w:hAnsi="黑体" w:eastAsia="黑体" w:cs="黑体"/>
          <w:bCs/>
          <w:szCs w:val="32"/>
          <w:lang w:val="en-US" w:eastAsia="zh-CN"/>
        </w:rPr>
        <w:fldChar w:fldCharType="end"/>
      </w:r>
    </w:p>
    <w:p w14:paraId="45138BE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_Toc168278133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_Toc168278133 \h </w:instrText>
      </w:r>
      <w:r>
        <w:fldChar w:fldCharType="separate"/>
      </w:r>
      <w:r>
        <w:t>15</w:t>
      </w:r>
      <w:r>
        <w:fldChar w:fldCharType="end"/>
      </w:r>
      <w:r>
        <w:rPr>
          <w:rFonts w:hint="eastAsia" w:ascii="黑体" w:hAnsi="黑体" w:eastAsia="黑体" w:cs="黑体"/>
          <w:bCs/>
          <w:szCs w:val="32"/>
          <w:lang w:val="en-US" w:eastAsia="zh-CN"/>
        </w:rPr>
        <w:fldChar w:fldCharType="end"/>
      </w:r>
    </w:p>
    <w:p w14:paraId="0E5575FA">
      <w:pPr>
        <w:pStyle w:val="19"/>
        <w:tabs>
          <w:tab w:val="right" w:leader="dot" w:pos="8786"/>
        </w:tabs>
      </w:pPr>
      <w:r>
        <w:t xml:space="preserve">第三节 </w:t>
      </w:r>
      <w:r>
        <w:rPr>
          <w:color w:val="FF0000"/>
        </w:rPr>
        <w:t xml:space="preserve">研究的</w:t>
      </w:r>
      <w:r>
        <w:t xml:space="preserve">理论基础与分析框架	16</w:t>
      </w:r>
    </w:p>
    <w:p w14:paraId="0F7B6B0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_Toc875489466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_Toc875489466 \h </w:instrText>
      </w:r>
      <w:r>
        <w:fldChar w:fldCharType="separate"/>
      </w:r>
      <w:r>
        <w:t>16</w:t>
      </w:r>
      <w:r>
        <w:fldChar w:fldCharType="end"/>
      </w:r>
      <w:r>
        <w:rPr>
          <w:rFonts w:hint="eastAsia" w:ascii="黑体" w:hAnsi="黑体" w:eastAsia="黑体" w:cs="黑体"/>
          <w:bCs/>
          <w:szCs w:val="32"/>
          <w:lang w:val="en-US" w:eastAsia="zh-CN"/>
        </w:rPr>
        <w:fldChar w:fldCharType="end"/>
      </w:r>
    </w:p>
    <w:p w14:paraId="5AD7F95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_Toc1940989465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_Toc1940989465 \h </w:instrText>
      </w:r>
      <w:r>
        <w:fldChar w:fldCharType="separate"/>
      </w:r>
      <w:r>
        <w:t>17</w:t>
      </w:r>
      <w:r>
        <w:fldChar w:fldCharType="end"/>
      </w:r>
      <w:r>
        <w:rPr>
          <w:rFonts w:hint="eastAsia" w:ascii="黑体" w:hAnsi="黑体" w:eastAsia="黑体" w:cs="黑体"/>
          <w:bCs/>
          <w:szCs w:val="32"/>
          <w:lang w:val="en-US" w:eastAsia="zh-CN"/>
        </w:rPr>
        <w:fldChar w:fldCharType="end"/>
      </w:r>
    </w:p>
    <w:p w14:paraId="24772F6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_Toc1933340325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_Toc1933340325 \h </w:instrText>
      </w:r>
      <w:r>
        <w:fldChar w:fldCharType="separate"/>
      </w:r>
      <w:r>
        <w:t>17</w:t>
      </w:r>
      <w:r>
        <w:fldChar w:fldCharType="end"/>
      </w:r>
      <w:r>
        <w:rPr>
          <w:rFonts w:hint="eastAsia" w:ascii="黑体" w:hAnsi="黑体" w:eastAsia="黑体" w:cs="黑体"/>
          <w:bCs/>
          <w:szCs w:val="32"/>
          <w:lang w:val="en-US" w:eastAsia="zh-CN"/>
        </w:rPr>
        <w:fldChar w:fldCharType="end"/>
      </w:r>
    </w:p>
    <w:p w14:paraId="25E071E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_Toc75779518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_Toc75779518 \h </w:instrText>
      </w:r>
      <w:r>
        <w:fldChar w:fldCharType="separate"/>
      </w:r>
      <w:r>
        <w:t>17</w:t>
      </w:r>
      <w:r>
        <w:fldChar w:fldCharType="end"/>
      </w:r>
      <w:r>
        <w:rPr>
          <w:rFonts w:hint="eastAsia" w:ascii="黑体" w:hAnsi="黑体" w:eastAsia="黑体" w:cs="黑体"/>
          <w:bCs/>
          <w:szCs w:val="32"/>
          <w:lang w:val="en-US" w:eastAsia="zh-CN"/>
        </w:rPr>
        <w:fldChar w:fldCharType="end"/>
      </w:r>
    </w:p>
    <w:p w14:paraId="6593981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_Toc168556355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_Toc168556355 \h </w:instrText>
      </w:r>
      <w:r>
        <w:fldChar w:fldCharType="separate"/>
      </w:r>
      <w:r>
        <w:t>18</w:t>
      </w:r>
      <w:r>
        <w:fldChar w:fldCharType="end"/>
      </w:r>
      <w:r>
        <w:rPr>
          <w:rFonts w:hint="eastAsia" w:ascii="黑体" w:hAnsi="黑体" w:eastAsia="黑体" w:cs="黑体"/>
          <w:bCs/>
          <w:szCs w:val="32"/>
          <w:lang w:val="en-US" w:eastAsia="zh-CN"/>
        </w:rPr>
        <w:fldChar w:fldCharType="end"/>
      </w:r>
    </w:p>
    <w:p w14:paraId="48954B38">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_Toc395728092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_Toc395728092 \h </w:instrText>
      </w:r>
      <w:r>
        <w:fldChar w:fldCharType="separate"/>
      </w:r>
      <w:r>
        <w:t>19</w:t>
      </w:r>
      <w:r>
        <w:fldChar w:fldCharType="end"/>
      </w:r>
      <w:r>
        <w:rPr>
          <w:rFonts w:hint="eastAsia" w:ascii="黑体" w:hAnsi="黑体" w:eastAsia="黑体" w:cs="黑体"/>
          <w:bCs/>
          <w:szCs w:val="32"/>
          <w:lang w:val="en-US" w:eastAsia="zh-CN"/>
        </w:rPr>
        <w:fldChar w:fldCharType="end"/>
      </w:r>
    </w:p>
    <w:p w14:paraId="4B5B60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_Toc245187485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_Toc245187485 \h </w:instrText>
      </w:r>
      <w:r>
        <w:fldChar w:fldCharType="separate"/>
      </w:r>
      <w:r>
        <w:t>19</w:t>
      </w:r>
      <w:r>
        <w:fldChar w:fldCharType="end"/>
      </w:r>
      <w:r>
        <w:rPr>
          <w:rFonts w:hint="eastAsia" w:ascii="黑体" w:hAnsi="黑体" w:eastAsia="黑体" w:cs="黑体"/>
          <w:bCs/>
          <w:szCs w:val="32"/>
          <w:lang w:val="en-US" w:eastAsia="zh-CN"/>
        </w:rPr>
        <w:fldChar w:fldCharType="end"/>
      </w:r>
    </w:p>
    <w:p w14:paraId="4C67A45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_Toc1992425449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_Toc1992425449 \h </w:instrText>
      </w:r>
      <w:r>
        <w:fldChar w:fldCharType="separate"/>
      </w:r>
      <w:r>
        <w:t>19</w:t>
      </w:r>
      <w:r>
        <w:fldChar w:fldCharType="end"/>
      </w:r>
      <w:r>
        <w:rPr>
          <w:rFonts w:hint="eastAsia" w:ascii="黑体" w:hAnsi="黑体" w:eastAsia="黑体" w:cs="黑体"/>
          <w:bCs/>
          <w:szCs w:val="32"/>
          <w:lang w:val="en-US" w:eastAsia="zh-CN"/>
        </w:rPr>
        <w:fldChar w:fldCharType="end"/>
      </w:r>
    </w:p>
    <w:p w14:paraId="7089336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_Toc982013672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_Toc982013672 \h </w:instrText>
      </w:r>
      <w:r>
        <w:fldChar w:fldCharType="separate"/>
      </w:r>
      <w:r>
        <w:t>19</w:t>
      </w:r>
      <w:r>
        <w:fldChar w:fldCharType="end"/>
      </w:r>
      <w:r>
        <w:rPr>
          <w:rFonts w:hint="eastAsia" w:ascii="黑体" w:hAnsi="黑体" w:eastAsia="黑体" w:cs="黑体"/>
          <w:bCs/>
          <w:szCs w:val="32"/>
          <w:lang w:val="en-US" w:eastAsia="zh-CN"/>
        </w:rPr>
        <w:fldChar w:fldCharType="end"/>
      </w:r>
    </w:p>
    <w:p w14:paraId="7627F0D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_Toc1291958109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_Toc1291958109 \h </w:instrText>
      </w:r>
      <w:r>
        <w:fldChar w:fldCharType="separate"/>
      </w:r>
      <w:r>
        <w:t>20</w:t>
      </w:r>
      <w:r>
        <w:fldChar w:fldCharType="end"/>
      </w:r>
      <w:r>
        <w:rPr>
          <w:rFonts w:hint="eastAsia" w:ascii="黑体" w:hAnsi="黑体" w:eastAsia="黑体" w:cs="黑体"/>
          <w:bCs/>
          <w:szCs w:val="32"/>
          <w:lang w:val="en-US" w:eastAsia="zh-CN"/>
        </w:rPr>
        <w:fldChar w:fldCharType="end"/>
      </w:r>
    </w:p>
    <w:p w14:paraId="1A709B0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_Toc732783146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_Toc732783146 \h </w:instrText>
      </w:r>
      <w:r>
        <w:fldChar w:fldCharType="separate"/>
      </w:r>
      <w:r>
        <w:t>21</w:t>
      </w:r>
      <w:r>
        <w:fldChar w:fldCharType="end"/>
      </w:r>
      <w:r>
        <w:rPr>
          <w:rFonts w:hint="eastAsia" w:ascii="黑体" w:hAnsi="黑体" w:eastAsia="黑体" w:cs="黑体"/>
          <w:bCs/>
          <w:szCs w:val="32"/>
          <w:lang w:val="en-US" w:eastAsia="zh-CN"/>
        </w:rPr>
        <w:fldChar w:fldCharType="end"/>
      </w:r>
    </w:p>
    <w:p w14:paraId="2C609B5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_Toc67619277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_Toc67619277 \h </w:instrText>
      </w:r>
      <w:r>
        <w:fldChar w:fldCharType="separate"/>
      </w:r>
      <w:r>
        <w:t>22</w:t>
      </w:r>
      <w:r>
        <w:fldChar w:fldCharType="end"/>
      </w:r>
      <w:r>
        <w:rPr>
          <w:rFonts w:hint="eastAsia" w:ascii="黑体" w:hAnsi="黑体" w:eastAsia="黑体" w:cs="黑体"/>
          <w:bCs/>
          <w:szCs w:val="32"/>
          <w:lang w:val="en-US" w:eastAsia="zh-CN"/>
        </w:rPr>
        <w:fldChar w:fldCharType="end"/>
      </w:r>
    </w:p>
    <w:p w14:paraId="7439D9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_Toc458339276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_Toc458339276 \h </w:instrText>
      </w:r>
      <w:r>
        <w:fldChar w:fldCharType="separate"/>
      </w:r>
      <w:r>
        <w:t>22</w:t>
      </w:r>
      <w:r>
        <w:fldChar w:fldCharType="end"/>
      </w:r>
      <w:r>
        <w:rPr>
          <w:rFonts w:hint="eastAsia" w:ascii="黑体" w:hAnsi="黑体" w:eastAsia="黑体" w:cs="黑体"/>
          <w:bCs/>
          <w:szCs w:val="32"/>
          <w:lang w:val="en-US" w:eastAsia="zh-CN"/>
        </w:rPr>
        <w:fldChar w:fldCharType="end"/>
      </w:r>
    </w:p>
    <w:p w14:paraId="41253B1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_Toc284369943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_Toc284369943 \h </w:instrText>
      </w:r>
      <w:r>
        <w:fldChar w:fldCharType="separate"/>
      </w:r>
      <w:r>
        <w:t>23</w:t>
      </w:r>
      <w:r>
        <w:fldChar w:fldCharType="end"/>
      </w:r>
      <w:r>
        <w:rPr>
          <w:rFonts w:hint="eastAsia" w:ascii="黑体" w:hAnsi="黑体" w:eastAsia="黑体" w:cs="黑体"/>
          <w:bCs/>
          <w:szCs w:val="32"/>
          <w:lang w:val="en-US" w:eastAsia="zh-CN"/>
        </w:rPr>
        <w:fldChar w:fldCharType="end"/>
      </w:r>
    </w:p>
    <w:p w14:paraId="0EA1536D">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_Toc1254517426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_Toc1254517426 \h </w:instrText>
      </w:r>
      <w:r>
        <w:fldChar w:fldCharType="separate"/>
      </w:r>
      <w:r>
        <w:t>24</w:t>
      </w:r>
      <w:r>
        <w:fldChar w:fldCharType="end"/>
      </w:r>
      <w:r>
        <w:rPr>
          <w:rFonts w:hint="eastAsia" w:ascii="黑体" w:hAnsi="黑体" w:eastAsia="黑体" w:cs="黑体"/>
          <w:bCs/>
          <w:szCs w:val="32"/>
          <w:lang w:val="en-US" w:eastAsia="zh-CN"/>
        </w:rPr>
        <w:fldChar w:fldCharType="end"/>
      </w:r>
    </w:p>
    <w:p w14:paraId="01AC12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_Toc679932536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_Toc679932536 \h </w:instrText>
      </w:r>
      <w:r>
        <w:fldChar w:fldCharType="separate"/>
      </w:r>
      <w:r>
        <w:t>24</w:t>
      </w:r>
      <w:r>
        <w:fldChar w:fldCharType="end"/>
      </w:r>
      <w:r>
        <w:rPr>
          <w:rFonts w:hint="eastAsia" w:ascii="黑体" w:hAnsi="黑体" w:eastAsia="黑体" w:cs="黑体"/>
          <w:bCs/>
          <w:szCs w:val="32"/>
          <w:lang w:val="en-US" w:eastAsia="zh-CN"/>
        </w:rPr>
        <w:fldChar w:fldCharType="end"/>
      </w:r>
    </w:p>
    <w:p w14:paraId="61DF9B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_Toc865646865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_Toc865646865 \h </w:instrText>
      </w:r>
      <w:r>
        <w:fldChar w:fldCharType="separate"/>
      </w:r>
      <w:r>
        <w:t>24</w:t>
      </w:r>
      <w:r>
        <w:fldChar w:fldCharType="end"/>
      </w:r>
      <w:r>
        <w:rPr>
          <w:rFonts w:hint="eastAsia" w:ascii="黑体" w:hAnsi="黑体" w:eastAsia="黑体" w:cs="黑体"/>
          <w:bCs/>
          <w:szCs w:val="32"/>
          <w:lang w:val="en-US" w:eastAsia="zh-CN"/>
        </w:rPr>
        <w:fldChar w:fldCharType="end"/>
      </w:r>
    </w:p>
    <w:p w14:paraId="4EE162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_Toc1872635277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_Toc1872635277 \h </w:instrText>
      </w:r>
      <w:r>
        <w:fldChar w:fldCharType="separate"/>
      </w:r>
      <w:r>
        <w:t>25</w:t>
      </w:r>
      <w:r>
        <w:fldChar w:fldCharType="end"/>
      </w:r>
      <w:r>
        <w:rPr>
          <w:rFonts w:hint="eastAsia" w:ascii="黑体" w:hAnsi="黑体" w:eastAsia="黑体" w:cs="黑体"/>
          <w:bCs/>
          <w:szCs w:val="32"/>
          <w:lang w:val="en-US" w:eastAsia="zh-CN"/>
        </w:rPr>
        <w:fldChar w:fldCharType="end"/>
      </w:r>
    </w:p>
    <w:p w14:paraId="2390F3D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_Toc2008253754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_Toc2008253754 \h </w:instrText>
      </w:r>
      <w:r>
        <w:fldChar w:fldCharType="separate"/>
      </w:r>
      <w:r>
        <w:t>26</w:t>
      </w:r>
      <w:r>
        <w:fldChar w:fldCharType="end"/>
      </w:r>
      <w:r>
        <w:rPr>
          <w:rFonts w:hint="eastAsia" w:ascii="黑体" w:hAnsi="黑体" w:eastAsia="黑体" w:cs="黑体"/>
          <w:bCs/>
          <w:szCs w:val="32"/>
          <w:lang w:val="en-US" w:eastAsia="zh-CN"/>
        </w:rPr>
        <w:fldChar w:fldCharType="end"/>
      </w:r>
    </w:p>
    <w:p w14:paraId="07B7877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_Toc720363579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_Toc720363579 \h </w:instrText>
      </w:r>
      <w:r>
        <w:fldChar w:fldCharType="separate"/>
      </w:r>
      <w:r>
        <w:t>27</w:t>
      </w:r>
      <w:r>
        <w:fldChar w:fldCharType="end"/>
      </w:r>
      <w:r>
        <w:rPr>
          <w:rFonts w:hint="eastAsia" w:ascii="黑体" w:hAnsi="黑体" w:eastAsia="黑体" w:cs="黑体"/>
          <w:bCs/>
          <w:szCs w:val="32"/>
          <w:lang w:val="en-US" w:eastAsia="zh-CN"/>
        </w:rPr>
        <w:fldChar w:fldCharType="end"/>
      </w:r>
    </w:p>
    <w:p w14:paraId="18BF61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_Toc1785354114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_Toc1785354114 \h </w:instrText>
      </w:r>
      <w:r>
        <w:fldChar w:fldCharType="separate"/>
      </w:r>
      <w:r>
        <w:t>27</w:t>
      </w:r>
      <w:r>
        <w:fldChar w:fldCharType="end"/>
      </w:r>
      <w:r>
        <w:rPr>
          <w:rFonts w:hint="eastAsia" w:ascii="黑体" w:hAnsi="黑体" w:eastAsia="黑体" w:cs="黑体"/>
          <w:bCs/>
          <w:szCs w:val="32"/>
          <w:lang w:val="en-US" w:eastAsia="zh-CN"/>
        </w:rPr>
        <w:fldChar w:fldCharType="end"/>
      </w:r>
    </w:p>
    <w:p w14:paraId="0FB78E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_Toc1805078114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_Toc1805078114 \h </w:instrText>
      </w:r>
      <w:r>
        <w:fldChar w:fldCharType="separate"/>
      </w:r>
      <w:r>
        <w:t>27</w:t>
      </w:r>
      <w:r>
        <w:fldChar w:fldCharType="end"/>
      </w:r>
      <w:r>
        <w:rPr>
          <w:rFonts w:hint="eastAsia" w:ascii="黑体" w:hAnsi="黑体" w:eastAsia="黑体" w:cs="黑体"/>
          <w:bCs/>
          <w:szCs w:val="32"/>
          <w:lang w:val="en-US" w:eastAsia="zh-CN"/>
        </w:rPr>
        <w:fldChar w:fldCharType="end"/>
      </w:r>
    </w:p>
    <w:p w14:paraId="1CA654A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_Toc446380829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_Toc446380829 \h </w:instrText>
      </w:r>
      <w:r>
        <w:fldChar w:fldCharType="separate"/>
      </w:r>
      <w:r>
        <w:t>27</w:t>
      </w:r>
      <w:r>
        <w:fldChar w:fldCharType="end"/>
      </w:r>
      <w:r>
        <w:rPr>
          <w:rFonts w:hint="eastAsia" w:ascii="黑体" w:hAnsi="黑体" w:eastAsia="黑体" w:cs="黑体"/>
          <w:bCs/>
          <w:szCs w:val="32"/>
          <w:lang w:val="en-US" w:eastAsia="zh-CN"/>
        </w:rPr>
        <w:fldChar w:fldCharType="end"/>
      </w:r>
    </w:p>
    <w:p w14:paraId="178D8C4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_Toc1162214032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_Toc1162214032 \h </w:instrText>
      </w:r>
      <w:r>
        <w:fldChar w:fldCharType="separate"/>
      </w:r>
      <w:r>
        <w:t>28</w:t>
      </w:r>
      <w:r>
        <w:fldChar w:fldCharType="end"/>
      </w:r>
      <w:r>
        <w:rPr>
          <w:rFonts w:hint="eastAsia" w:ascii="黑体" w:hAnsi="黑体" w:eastAsia="黑体" w:cs="黑体"/>
          <w:bCs/>
          <w:szCs w:val="32"/>
          <w:lang w:val="en-US" w:eastAsia="zh-CN"/>
        </w:rPr>
        <w:fldChar w:fldCharType="end"/>
      </w:r>
    </w:p>
    <w:p w14:paraId="11213FBF">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_Toc1967466359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_Toc1967466359 \h </w:instrText>
      </w:r>
      <w:r>
        <w:fldChar w:fldCharType="separate"/>
      </w:r>
      <w:r>
        <w:t>28</w:t>
      </w:r>
      <w:r>
        <w:fldChar w:fldCharType="end"/>
      </w:r>
      <w:r>
        <w:rPr>
          <w:rFonts w:hint="eastAsia" w:ascii="黑体" w:hAnsi="黑体" w:eastAsia="黑体" w:cs="黑体"/>
          <w:bCs/>
          <w:szCs w:val="32"/>
          <w:lang w:val="en-US" w:eastAsia="zh-CN"/>
        </w:rPr>
        <w:fldChar w:fldCharType="end"/>
      </w:r>
    </w:p>
    <w:p w14:paraId="041B60A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_Toc253899207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_Toc253899207 \h </w:instrText>
      </w:r>
      <w:r>
        <w:fldChar w:fldCharType="separate"/>
      </w:r>
      <w:r>
        <w:t>28</w:t>
      </w:r>
      <w:r>
        <w:fldChar w:fldCharType="end"/>
      </w:r>
      <w:r>
        <w:rPr>
          <w:rFonts w:hint="eastAsia" w:ascii="黑体" w:hAnsi="黑体" w:eastAsia="黑体" w:cs="黑体"/>
          <w:bCs/>
          <w:szCs w:val="32"/>
          <w:lang w:val="en-US" w:eastAsia="zh-CN"/>
        </w:rPr>
        <w:fldChar w:fldCharType="end"/>
      </w:r>
    </w:p>
    <w:p w14:paraId="2B7ACA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_Toc233965460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_Toc233965460 \h </w:instrText>
      </w:r>
      <w:r>
        <w:fldChar w:fldCharType="separate"/>
      </w:r>
      <w:r>
        <w:t>28</w:t>
      </w:r>
      <w:r>
        <w:fldChar w:fldCharType="end"/>
      </w:r>
      <w:r>
        <w:rPr>
          <w:rFonts w:hint="eastAsia" w:ascii="黑体" w:hAnsi="黑体" w:eastAsia="黑体" w:cs="黑体"/>
          <w:bCs/>
          <w:szCs w:val="32"/>
          <w:lang w:val="en-US" w:eastAsia="zh-CN"/>
        </w:rPr>
        <w:fldChar w:fldCharType="end"/>
      </w:r>
    </w:p>
    <w:p w14:paraId="79914E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_Toc214928563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_Toc214928563 \h </w:instrText>
      </w:r>
      <w:r>
        <w:fldChar w:fldCharType="separate"/>
      </w:r>
      <w:r>
        <w:t>29</w:t>
      </w:r>
      <w:r>
        <w:fldChar w:fldCharType="end"/>
      </w:r>
      <w:r>
        <w:rPr>
          <w:rFonts w:hint="eastAsia" w:ascii="黑体" w:hAnsi="黑体" w:eastAsia="黑体" w:cs="黑体"/>
          <w:bCs/>
          <w:szCs w:val="32"/>
          <w:lang w:val="en-US" w:eastAsia="zh-CN"/>
        </w:rPr>
        <w:fldChar w:fldCharType="end"/>
      </w:r>
    </w:p>
    <w:p w14:paraId="5A72518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_Toc236864087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_Toc236864087 \h </w:instrText>
      </w:r>
      <w:r>
        <w:fldChar w:fldCharType="separate"/>
      </w:r>
      <w:r>
        <w:t>29</w:t>
      </w:r>
      <w:r>
        <w:fldChar w:fldCharType="end"/>
      </w:r>
      <w:r>
        <w:rPr>
          <w:rFonts w:hint="eastAsia" w:ascii="黑体" w:hAnsi="黑体" w:eastAsia="黑体" w:cs="黑体"/>
          <w:bCs/>
          <w:szCs w:val="32"/>
          <w:lang w:val="en-US" w:eastAsia="zh-CN"/>
        </w:rPr>
        <w:fldChar w:fldCharType="end"/>
      </w:r>
    </w:p>
    <w:p w14:paraId="261F95DE">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_Toc1687512318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_Toc1687512318 \h </w:instrText>
      </w:r>
      <w:r>
        <w:fldChar w:fldCharType="separate"/>
      </w:r>
      <w:r>
        <w:t>30</w:t>
      </w:r>
      <w:r>
        <w:fldChar w:fldCharType="end"/>
      </w:r>
      <w:r>
        <w:rPr>
          <w:rFonts w:hint="eastAsia" w:ascii="黑体" w:hAnsi="黑体" w:eastAsia="黑体" w:cs="黑体"/>
          <w:bCs/>
          <w:szCs w:val="32"/>
          <w:lang w:val="en-US" w:eastAsia="zh-CN"/>
        </w:rPr>
        <w:fldChar w:fldCharType="end"/>
      </w:r>
    </w:p>
    <w:p w14:paraId="6F43E1C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_Toc203002697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_Toc203002697 \h </w:instrText>
      </w:r>
      <w:r>
        <w:fldChar w:fldCharType="separate"/>
      </w:r>
      <w:r>
        <w:t>30</w:t>
      </w:r>
      <w:r>
        <w:fldChar w:fldCharType="end"/>
      </w:r>
      <w:r>
        <w:rPr>
          <w:rFonts w:hint="eastAsia" w:ascii="黑体" w:hAnsi="黑体" w:eastAsia="黑体" w:cs="黑体"/>
          <w:bCs/>
          <w:szCs w:val="32"/>
          <w:lang w:val="en-US" w:eastAsia="zh-CN"/>
        </w:rPr>
        <w:fldChar w:fldCharType="end"/>
      </w:r>
    </w:p>
    <w:p w14:paraId="2837FE6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_Toc1662297043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_Toc1662297043 \h </w:instrText>
      </w:r>
      <w:r>
        <w:fldChar w:fldCharType="separate"/>
      </w:r>
      <w:r>
        <w:t>30</w:t>
      </w:r>
      <w:r>
        <w:fldChar w:fldCharType="end"/>
      </w:r>
      <w:r>
        <w:rPr>
          <w:rFonts w:hint="eastAsia" w:ascii="黑体" w:hAnsi="黑体" w:eastAsia="黑体" w:cs="黑体"/>
          <w:bCs/>
          <w:szCs w:val="32"/>
          <w:lang w:val="en-US" w:eastAsia="zh-CN"/>
        </w:rPr>
        <w:fldChar w:fldCharType="end"/>
      </w:r>
    </w:p>
    <w:p w14:paraId="7DD7B4D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_Toc1611637878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_Toc1611637878 \h </w:instrText>
      </w:r>
      <w:r>
        <w:fldChar w:fldCharType="separate"/>
      </w:r>
      <w:r>
        <w:t>30</w:t>
      </w:r>
      <w:r>
        <w:fldChar w:fldCharType="end"/>
      </w:r>
      <w:r>
        <w:rPr>
          <w:rFonts w:hint="eastAsia" w:ascii="黑体" w:hAnsi="黑体" w:eastAsia="黑体" w:cs="黑体"/>
          <w:bCs/>
          <w:szCs w:val="32"/>
          <w:lang w:val="en-US" w:eastAsia="zh-CN"/>
        </w:rPr>
        <w:fldChar w:fldCharType="end"/>
      </w:r>
    </w:p>
    <w:p w14:paraId="1AC1289A">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_Toc586575935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_Toc586575935 \h </w:instrText>
      </w:r>
      <w:r>
        <w:fldChar w:fldCharType="separate"/>
      </w:r>
      <w:r>
        <w:t>32</w:t>
      </w:r>
      <w:r>
        <w:fldChar w:fldCharType="end"/>
      </w:r>
      <w:r>
        <w:rPr>
          <w:rFonts w:hint="eastAsia" w:ascii="黑体" w:hAnsi="黑体" w:eastAsia="黑体" w:cs="黑体"/>
          <w:bCs/>
          <w:szCs w:val="32"/>
          <w:lang w:val="en-US" w:eastAsia="zh-CN"/>
        </w:rPr>
        <w:fldChar w:fldCharType="end"/>
      </w:r>
    </w:p>
    <w:p w14:paraId="3AA9CCF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_Toc1631799815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_Toc1631799815 \h </w:instrText>
      </w:r>
      <w:r>
        <w:fldChar w:fldCharType="separate"/>
      </w:r>
      <w:r>
        <w:t>32</w:t>
      </w:r>
      <w:r>
        <w:fldChar w:fldCharType="end"/>
      </w:r>
      <w:r>
        <w:rPr>
          <w:rFonts w:hint="eastAsia" w:ascii="黑体" w:hAnsi="黑体" w:eastAsia="黑体" w:cs="黑体"/>
          <w:bCs/>
          <w:szCs w:val="32"/>
          <w:lang w:val="en-US" w:eastAsia="zh-CN"/>
        </w:rPr>
        <w:fldChar w:fldCharType="end"/>
      </w:r>
    </w:p>
    <w:p w14:paraId="435AA7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_Toc145834868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_Toc145834868 \h </w:instrText>
      </w:r>
      <w:r>
        <w:fldChar w:fldCharType="separate"/>
      </w:r>
      <w:r>
        <w:t>32</w:t>
      </w:r>
      <w:r>
        <w:fldChar w:fldCharType="end"/>
      </w:r>
      <w:r>
        <w:rPr>
          <w:rFonts w:hint="eastAsia" w:ascii="黑体" w:hAnsi="黑体" w:eastAsia="黑体" w:cs="黑体"/>
          <w:bCs/>
          <w:szCs w:val="32"/>
          <w:lang w:val="en-US" w:eastAsia="zh-CN"/>
        </w:rPr>
        <w:fldChar w:fldCharType="end"/>
      </w:r>
    </w:p>
    <w:p w14:paraId="0690B1B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_Toc767785249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_Toc767785249 \h </w:instrText>
      </w:r>
      <w:r>
        <w:fldChar w:fldCharType="separate"/>
      </w:r>
      <w:r>
        <w:t>32</w:t>
      </w:r>
      <w:r>
        <w:fldChar w:fldCharType="end"/>
      </w:r>
      <w:r>
        <w:rPr>
          <w:rFonts w:hint="eastAsia" w:ascii="黑体" w:hAnsi="黑体" w:eastAsia="黑体" w:cs="黑体"/>
          <w:bCs/>
          <w:szCs w:val="32"/>
          <w:lang w:val="en-US" w:eastAsia="zh-CN"/>
        </w:rPr>
        <w:fldChar w:fldCharType="end"/>
      </w:r>
    </w:p>
    <w:p w14:paraId="60FA2E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_Toc2084928767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_Toc2084928767 \h </w:instrText>
      </w:r>
      <w:r>
        <w:fldChar w:fldCharType="separate"/>
      </w:r>
      <w:r>
        <w:t>33</w:t>
      </w:r>
      <w:r>
        <w:fldChar w:fldCharType="end"/>
      </w:r>
      <w:r>
        <w:rPr>
          <w:rFonts w:hint="eastAsia" w:ascii="黑体" w:hAnsi="黑体" w:eastAsia="黑体" w:cs="黑体"/>
          <w:bCs/>
          <w:szCs w:val="32"/>
          <w:lang w:val="en-US" w:eastAsia="zh-CN"/>
        </w:rPr>
        <w:fldChar w:fldCharType="end"/>
      </w:r>
    </w:p>
    <w:p w14:paraId="239D05E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_Toc907118870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_Toc907118870 \h </w:instrText>
      </w:r>
      <w:r>
        <w:fldChar w:fldCharType="separate"/>
      </w:r>
      <w:r>
        <w:t>35</w:t>
      </w:r>
      <w:r>
        <w:fldChar w:fldCharType="end"/>
      </w:r>
      <w:r>
        <w:rPr>
          <w:rFonts w:hint="eastAsia" w:ascii="黑体" w:hAnsi="黑体" w:eastAsia="黑体" w:cs="黑体"/>
          <w:bCs/>
          <w:szCs w:val="32"/>
          <w:lang w:val="en-US" w:eastAsia="zh-CN"/>
        </w:rPr>
        <w:fldChar w:fldCharType="end"/>
      </w:r>
    </w:p>
    <w:p w14:paraId="04CF8A1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_Toc960438037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_Toc960438037 \h </w:instrText>
      </w:r>
      <w:r>
        <w:fldChar w:fldCharType="separate"/>
      </w:r>
      <w:r>
        <w:t>35</w:t>
      </w:r>
      <w:r>
        <w:fldChar w:fldCharType="end"/>
      </w:r>
      <w:r>
        <w:rPr>
          <w:rFonts w:hint="eastAsia" w:ascii="黑体" w:hAnsi="黑体" w:eastAsia="黑体" w:cs="黑体"/>
          <w:bCs/>
          <w:szCs w:val="32"/>
          <w:lang w:val="en-US" w:eastAsia="zh-CN"/>
        </w:rPr>
        <w:fldChar w:fldCharType="end"/>
      </w:r>
    </w:p>
    <w:p w14:paraId="02409B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_Toc1594997007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_Toc1594997007 \h </w:instrText>
      </w:r>
      <w:r>
        <w:fldChar w:fldCharType="separate"/>
      </w:r>
      <w:r>
        <w:t>36</w:t>
      </w:r>
      <w:r>
        <w:fldChar w:fldCharType="end"/>
      </w:r>
      <w:r>
        <w:rPr>
          <w:rFonts w:hint="eastAsia" w:ascii="黑体" w:hAnsi="黑体" w:eastAsia="黑体" w:cs="黑体"/>
          <w:bCs/>
          <w:szCs w:val="32"/>
          <w:lang w:val="en-US" w:eastAsia="zh-CN"/>
        </w:rPr>
        <w:fldChar w:fldCharType="end"/>
      </w:r>
    </w:p>
    <w:p w14:paraId="634DB0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_Toc76331148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_Toc76331148 \h </w:instrText>
      </w:r>
      <w:r>
        <w:fldChar w:fldCharType="separate"/>
      </w:r>
      <w:r>
        <w:t>37</w:t>
      </w:r>
      <w:r>
        <w:fldChar w:fldCharType="end"/>
      </w:r>
      <w:r>
        <w:rPr>
          <w:rFonts w:hint="eastAsia" w:ascii="黑体" w:hAnsi="黑体" w:eastAsia="黑体" w:cs="黑体"/>
          <w:bCs/>
          <w:szCs w:val="32"/>
          <w:lang w:val="en-US" w:eastAsia="zh-CN"/>
        </w:rPr>
        <w:fldChar w:fldCharType="end"/>
      </w:r>
    </w:p>
    <w:p w14:paraId="06C49F9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_Toc849867177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_Toc849867177 \h </w:instrText>
      </w:r>
      <w:r>
        <w:fldChar w:fldCharType="separate"/>
      </w:r>
      <w:r>
        <w:t>37</w:t>
      </w:r>
      <w:r>
        <w:fldChar w:fldCharType="end"/>
      </w:r>
      <w:r>
        <w:rPr>
          <w:rFonts w:hint="eastAsia" w:ascii="黑体" w:hAnsi="黑体" w:eastAsia="黑体" w:cs="黑体"/>
          <w:bCs/>
          <w:szCs w:val="32"/>
          <w:lang w:val="en-US" w:eastAsia="zh-CN"/>
        </w:rPr>
        <w:fldChar w:fldCharType="end"/>
      </w:r>
    </w:p>
    <w:p w14:paraId="355690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_Toc803907642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_Toc803907642 \h </w:instrText>
      </w:r>
      <w:r>
        <w:fldChar w:fldCharType="separate"/>
      </w:r>
      <w:r>
        <w:t>37</w:t>
      </w:r>
      <w:r>
        <w:fldChar w:fldCharType="end"/>
      </w:r>
      <w:r>
        <w:rPr>
          <w:rFonts w:hint="eastAsia" w:ascii="黑体" w:hAnsi="黑体" w:eastAsia="黑体" w:cs="黑体"/>
          <w:bCs/>
          <w:szCs w:val="32"/>
          <w:lang w:val="en-US" w:eastAsia="zh-CN"/>
        </w:rPr>
        <w:fldChar w:fldCharType="end"/>
      </w:r>
    </w:p>
    <w:p w14:paraId="0CCDA28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_Toc1456115817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_Toc1456115817 \h </w:instrText>
      </w:r>
      <w:r>
        <w:fldChar w:fldCharType="separate"/>
      </w:r>
      <w:r>
        <w:t>38</w:t>
      </w:r>
      <w:r>
        <w:fldChar w:fldCharType="end"/>
      </w:r>
      <w:r>
        <w:rPr>
          <w:rFonts w:hint="eastAsia" w:ascii="黑体" w:hAnsi="黑体" w:eastAsia="黑体" w:cs="黑体"/>
          <w:bCs/>
          <w:szCs w:val="32"/>
          <w:lang w:val="en-US" w:eastAsia="zh-CN"/>
        </w:rPr>
        <w:fldChar w:fldCharType="end"/>
      </w:r>
    </w:p>
    <w:p w14:paraId="17602B9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_Toc214895107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_Toc214895107 \h </w:instrText>
      </w:r>
      <w:r>
        <w:fldChar w:fldCharType="separate"/>
      </w:r>
      <w:r>
        <w:t>39</w:t>
      </w:r>
      <w:r>
        <w:fldChar w:fldCharType="end"/>
      </w:r>
      <w:r>
        <w:rPr>
          <w:rFonts w:hint="eastAsia" w:ascii="黑体" w:hAnsi="黑体" w:eastAsia="黑体" w:cs="黑体"/>
          <w:bCs/>
          <w:szCs w:val="32"/>
          <w:lang w:val="en-US" w:eastAsia="zh-CN"/>
        </w:rPr>
        <w:fldChar w:fldCharType="end"/>
      </w:r>
    </w:p>
    <w:p w14:paraId="5F7C284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_Toc1822052742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_Toc1822052742 \h </w:instrText>
      </w:r>
      <w:r>
        <w:fldChar w:fldCharType="separate"/>
      </w:r>
      <w:r>
        <w:t>39</w:t>
      </w:r>
      <w:r>
        <w:fldChar w:fldCharType="end"/>
      </w:r>
      <w:r>
        <w:rPr>
          <w:rFonts w:hint="eastAsia" w:ascii="黑体" w:hAnsi="黑体" w:eastAsia="黑体" w:cs="黑体"/>
          <w:bCs/>
          <w:szCs w:val="32"/>
          <w:lang w:val="en-US" w:eastAsia="zh-CN"/>
        </w:rPr>
        <w:fldChar w:fldCharType="end"/>
      </w:r>
    </w:p>
    <w:p w14:paraId="14BF25E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_Toc123628574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_Toc123628574 \h </w:instrText>
      </w:r>
      <w:r>
        <w:fldChar w:fldCharType="separate"/>
      </w:r>
      <w:r>
        <w:t>39</w:t>
      </w:r>
      <w:r>
        <w:fldChar w:fldCharType="end"/>
      </w:r>
      <w:r>
        <w:rPr>
          <w:rFonts w:hint="eastAsia" w:ascii="黑体" w:hAnsi="黑体" w:eastAsia="黑体" w:cs="黑体"/>
          <w:bCs/>
          <w:szCs w:val="32"/>
          <w:lang w:val="en-US" w:eastAsia="zh-CN"/>
        </w:rPr>
        <w:fldChar w:fldCharType="end"/>
      </w:r>
    </w:p>
    <w:p w14:paraId="3084192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_Toc1208756569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_Toc1208756569 \h </w:instrText>
      </w:r>
      <w:r>
        <w:fldChar w:fldCharType="separate"/>
      </w:r>
      <w:r>
        <w:t>40</w:t>
      </w:r>
      <w:r>
        <w:fldChar w:fldCharType="end"/>
      </w:r>
      <w:r>
        <w:rPr>
          <w:rFonts w:hint="eastAsia" w:ascii="黑体" w:hAnsi="黑体" w:eastAsia="黑体" w:cs="黑体"/>
          <w:bCs/>
          <w:szCs w:val="32"/>
          <w:lang w:val="en-US" w:eastAsia="zh-CN"/>
        </w:rPr>
        <w:fldChar w:fldCharType="end"/>
      </w:r>
    </w:p>
    <w:p w14:paraId="6E635CD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_Toc376354563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_Toc376354563 \h </w:instrText>
      </w:r>
      <w:r>
        <w:fldChar w:fldCharType="separate"/>
      </w:r>
      <w:r>
        <w:t>40</w:t>
      </w:r>
      <w:r>
        <w:fldChar w:fldCharType="end"/>
      </w:r>
      <w:r>
        <w:rPr>
          <w:rFonts w:hint="eastAsia" w:ascii="黑体" w:hAnsi="黑体" w:eastAsia="黑体" w:cs="黑体"/>
          <w:bCs/>
          <w:szCs w:val="32"/>
          <w:lang w:val="en-US" w:eastAsia="zh-CN"/>
        </w:rPr>
        <w:fldChar w:fldCharType="end"/>
      </w:r>
    </w:p>
    <w:p w14:paraId="40C14C4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_Toc1051799926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_Toc1051799926 \h </w:instrText>
      </w:r>
      <w:r>
        <w:fldChar w:fldCharType="separate"/>
      </w:r>
      <w:r>
        <w:t>42</w:t>
      </w:r>
      <w:r>
        <w:fldChar w:fldCharType="end"/>
      </w:r>
      <w:r>
        <w:rPr>
          <w:rFonts w:hint="eastAsia" w:ascii="黑体" w:hAnsi="黑体" w:eastAsia="黑体" w:cs="黑体"/>
          <w:bCs/>
          <w:szCs w:val="32"/>
          <w:lang w:val="en-US" w:eastAsia="zh-CN"/>
        </w:rPr>
        <w:fldChar w:fldCharType="end"/>
      </w:r>
    </w:p>
    <w:p w14:paraId="4832381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_Toc1663457825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_Toc1663457825 \h </w:instrText>
      </w:r>
      <w:r>
        <w:fldChar w:fldCharType="separate"/>
      </w:r>
      <w:r>
        <w:t>42</w:t>
      </w:r>
      <w:r>
        <w:fldChar w:fldCharType="end"/>
      </w:r>
      <w:r>
        <w:rPr>
          <w:rFonts w:hint="eastAsia" w:ascii="黑体" w:hAnsi="黑体" w:eastAsia="黑体" w:cs="黑体"/>
          <w:bCs/>
          <w:szCs w:val="32"/>
          <w:lang w:val="en-US" w:eastAsia="zh-CN"/>
        </w:rPr>
        <w:fldChar w:fldCharType="end"/>
      </w:r>
    </w:p>
    <w:p w14:paraId="0DC7200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_Toc1793548129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_Toc1793548129 \h </w:instrText>
      </w:r>
      <w:r>
        <w:fldChar w:fldCharType="separate"/>
      </w:r>
      <w:r>
        <w:t>42</w:t>
      </w:r>
      <w:r>
        <w:fldChar w:fldCharType="end"/>
      </w:r>
      <w:r>
        <w:rPr>
          <w:rFonts w:hint="eastAsia" w:ascii="黑体" w:hAnsi="黑体" w:eastAsia="黑体" w:cs="黑体"/>
          <w:bCs/>
          <w:szCs w:val="32"/>
          <w:lang w:val="en-US" w:eastAsia="zh-CN"/>
        </w:rPr>
        <w:fldChar w:fldCharType="end"/>
      </w:r>
    </w:p>
    <w:p w14:paraId="1E030D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_Toc2082934811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_Toc2082934811 \h </w:instrText>
      </w:r>
      <w:r>
        <w:fldChar w:fldCharType="separate"/>
      </w:r>
      <w:r>
        <w:t>42</w:t>
      </w:r>
      <w:r>
        <w:fldChar w:fldCharType="end"/>
      </w:r>
      <w:r>
        <w:rPr>
          <w:rFonts w:hint="eastAsia" w:ascii="黑体" w:hAnsi="黑体" w:eastAsia="黑体" w:cs="黑体"/>
          <w:bCs/>
          <w:szCs w:val="32"/>
          <w:lang w:val="en-US" w:eastAsia="zh-CN"/>
        </w:rPr>
        <w:fldChar w:fldCharType="end"/>
      </w:r>
    </w:p>
    <w:p w14:paraId="79D38B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_Toc1754438730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_Toc1754438730 \h </w:instrText>
      </w:r>
      <w:r>
        <w:fldChar w:fldCharType="separate"/>
      </w:r>
      <w:r>
        <w:t>43</w:t>
      </w:r>
      <w:r>
        <w:fldChar w:fldCharType="end"/>
      </w:r>
      <w:r>
        <w:rPr>
          <w:rFonts w:hint="eastAsia" w:ascii="黑体" w:hAnsi="黑体" w:eastAsia="黑体" w:cs="黑体"/>
          <w:bCs/>
          <w:szCs w:val="32"/>
          <w:lang w:val="en-US" w:eastAsia="zh-CN"/>
        </w:rPr>
        <w:fldChar w:fldCharType="end"/>
      </w:r>
    </w:p>
    <w:p w14:paraId="178A246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_Toc1901261800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_Toc1901261800 \h </w:instrText>
      </w:r>
      <w:r>
        <w:fldChar w:fldCharType="separate"/>
      </w:r>
      <w:r>
        <w:t>43</w:t>
      </w:r>
      <w:r>
        <w:fldChar w:fldCharType="end"/>
      </w:r>
      <w:r>
        <w:rPr>
          <w:rFonts w:hint="eastAsia" w:ascii="黑体" w:hAnsi="黑体" w:eastAsia="黑体" w:cs="黑体"/>
          <w:bCs/>
          <w:szCs w:val="32"/>
          <w:lang w:val="en-US" w:eastAsia="zh-CN"/>
        </w:rPr>
        <w:fldChar w:fldCharType="end"/>
      </w:r>
    </w:p>
    <w:p w14:paraId="4C8948A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_Toc2097888887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_Toc2097888887 \h </w:instrText>
      </w:r>
      <w:r>
        <w:fldChar w:fldCharType="separate"/>
      </w:r>
      <w:r>
        <w:t>44</w:t>
      </w:r>
      <w:r>
        <w:fldChar w:fldCharType="end"/>
      </w:r>
      <w:r>
        <w:rPr>
          <w:rFonts w:hint="eastAsia" w:ascii="黑体" w:hAnsi="黑体" w:eastAsia="黑体" w:cs="黑体"/>
          <w:bCs/>
          <w:szCs w:val="32"/>
          <w:lang w:val="en-US" w:eastAsia="zh-CN"/>
        </w:rPr>
        <w:fldChar w:fldCharType="end"/>
      </w:r>
    </w:p>
    <w:p w14:paraId="0930FB8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_Toc1832007363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_Toc1832007363 \h </w:instrText>
      </w:r>
      <w:r>
        <w:fldChar w:fldCharType="separate"/>
      </w:r>
      <w:r>
        <w:t>46</w:t>
      </w:r>
      <w:r>
        <w:fldChar w:fldCharType="end"/>
      </w:r>
      <w:r>
        <w:rPr>
          <w:rFonts w:hint="eastAsia" w:ascii="黑体" w:hAnsi="黑体" w:eastAsia="黑体" w:cs="黑体"/>
          <w:bCs/>
          <w:szCs w:val="32"/>
          <w:lang w:val="en-US" w:eastAsia="zh-CN"/>
        </w:rPr>
        <w:fldChar w:fldCharType="end"/>
      </w:r>
    </w:p>
    <w:p w14:paraId="3E1D78C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_Toc2074702902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_Toc2074702902 \h </w:instrText>
      </w:r>
      <w:r>
        <w:fldChar w:fldCharType="separate"/>
      </w:r>
      <w:r>
        <w:t>46</w:t>
      </w:r>
      <w:r>
        <w:fldChar w:fldCharType="end"/>
      </w:r>
      <w:r>
        <w:rPr>
          <w:rFonts w:hint="eastAsia" w:ascii="黑体" w:hAnsi="黑体" w:eastAsia="黑体" w:cs="黑体"/>
          <w:bCs/>
          <w:szCs w:val="32"/>
          <w:lang w:val="en-US" w:eastAsia="zh-CN"/>
        </w:rPr>
        <w:fldChar w:fldCharType="end"/>
      </w:r>
    </w:p>
    <w:p w14:paraId="54C33F3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_Toc839697575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_Toc839697575 \h </w:instrText>
      </w:r>
      <w:r>
        <w:fldChar w:fldCharType="separate"/>
      </w:r>
      <w:r>
        <w:t>47</w:t>
      </w:r>
      <w:r>
        <w:fldChar w:fldCharType="end"/>
      </w:r>
      <w:r>
        <w:rPr>
          <w:rFonts w:hint="eastAsia" w:ascii="黑体" w:hAnsi="黑体" w:eastAsia="黑体" w:cs="黑体"/>
          <w:bCs/>
          <w:szCs w:val="32"/>
          <w:lang w:val="en-US" w:eastAsia="zh-CN"/>
        </w:rPr>
        <w:fldChar w:fldCharType="end"/>
      </w:r>
    </w:p>
    <w:p w14:paraId="72374A0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_Toc1682098588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三、中文期刊论文与学位论文（2022-2025年最新成果）</w:t>
      </w:r>
      <w:r>
        <w:tab/>
      </w:r>
      <w:r>
        <w:fldChar w:fldCharType="begin"/>
      </w:r>
      <w:r>
        <w:instrText xml:space="preserve"> PAGEREF _Toc1682098588 \h </w:instrText>
      </w:r>
      <w:r>
        <w:fldChar w:fldCharType="separate"/>
      </w:r>
      <w:r>
        <w:t>48</w:t>
      </w:r>
      <w:r>
        <w:fldChar w:fldCharType="end"/>
      </w:r>
      <w:r>
        <w:rPr>
          <w:rFonts w:hint="eastAsia" w:ascii="黑体" w:hAnsi="黑体" w:eastAsia="黑体" w:cs="黑体"/>
          <w:bCs/>
          <w:szCs w:val="32"/>
          <w:lang w:val="en-US" w:eastAsia="zh-CN"/>
        </w:rPr>
        <w:fldChar w:fldCharType="end"/>
      </w:r>
    </w:p>
    <w:p w14:paraId="4BCA49B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_Toc1556239408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_Toc1556239408 \h </w:instrText>
      </w:r>
      <w:r>
        <w:fldChar w:fldCharType="separate"/>
      </w:r>
      <w:r>
        <w:t>49</w:t>
      </w:r>
      <w:r>
        <w:fldChar w:fldCharType="end"/>
      </w:r>
      <w:r>
        <w:rPr>
          <w:rFonts w:hint="eastAsia" w:ascii="黑体" w:hAnsi="黑体" w:eastAsia="黑体" w:cs="黑体"/>
          <w:bCs/>
          <w:szCs w:val="32"/>
          <w:lang w:val="en-US" w:eastAsia="zh-CN"/>
        </w:rPr>
        <w:fldChar w:fldCharType="end"/>
      </w:r>
    </w:p>
    <w:p w14:paraId="71C597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_Toc1512393443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_Toc1512393443 \h </w:instrText>
      </w:r>
      <w:r>
        <w:fldChar w:fldCharType="separate"/>
      </w:r>
      <w:r>
        <w:t>49</w:t>
      </w:r>
      <w:r>
        <w:fldChar w:fldCharType="end"/>
      </w:r>
      <w:r>
        <w:rPr>
          <w:rFonts w:hint="eastAsia" w:ascii="黑体" w:hAnsi="黑体" w:eastAsia="黑体" w:cs="黑体"/>
          <w:bCs/>
          <w:szCs w:val="32"/>
          <w:lang w:val="en-US" w:eastAsia="zh-CN"/>
        </w:rPr>
        <w:fldChar w:fldCharType="end"/>
      </w:r>
    </w:p>
    <w:p w14:paraId="19037F3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_Toc1180150609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_Toc1180150609 \h </w:instrText>
      </w:r>
      <w:r>
        <w:fldChar w:fldCharType="separate"/>
      </w:r>
      <w:r>
        <w:t>50</w:t>
      </w:r>
      <w:r>
        <w:fldChar w:fldCharType="end"/>
      </w:r>
      <w:r>
        <w:rPr>
          <w:rFonts w:hint="eastAsia" w:ascii="黑体" w:hAnsi="黑体" w:eastAsia="黑体" w:cs="黑体"/>
          <w:bCs/>
          <w:szCs w:val="32"/>
          <w:lang w:val="en-US" w:eastAsia="zh-CN"/>
        </w:rPr>
        <w:fldChar w:fldCharType="end"/>
      </w:r>
    </w:p>
    <w:p w14:paraId="13E171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_Toc632321771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_Toc632321771 \h </w:instrText>
      </w:r>
      <w:r>
        <w:fldChar w:fldCharType="separate"/>
      </w:r>
      <w:r>
        <w:t>50</w:t>
      </w:r>
      <w:r>
        <w:fldChar w:fldCharType="end"/>
      </w:r>
      <w:r>
        <w:rPr>
          <w:rFonts w:hint="eastAsia" w:ascii="黑体" w:hAnsi="黑体" w:eastAsia="黑体" w:cs="黑体"/>
          <w:bCs/>
          <w:szCs w:val="32"/>
          <w:lang w:val="en-US" w:eastAsia="zh-CN"/>
        </w:rPr>
        <w:fldChar w:fldCharType="end"/>
      </w:r>
    </w:p>
    <w:p w14:paraId="171530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_Toc1682919841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_Toc1682919841 \h </w:instrText>
      </w:r>
      <w:r>
        <w:fldChar w:fldCharType="separate"/>
      </w:r>
      <w:r>
        <w:t>51</w:t>
      </w:r>
      <w:r>
        <w:fldChar w:fldCharType="end"/>
      </w:r>
      <w:r>
        <w:rPr>
          <w:rFonts w:hint="eastAsia" w:ascii="黑体" w:hAnsi="黑体" w:eastAsia="黑体" w:cs="黑体"/>
          <w:bCs/>
          <w:szCs w:val="32"/>
          <w:lang w:val="en-US" w:eastAsia="zh-CN"/>
        </w:rPr>
        <w:fldChar w:fldCharType="end"/>
      </w:r>
    </w:p>
    <w:p w14:paraId="498742E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_Toc326653050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_Toc326653050 \h </w:instrText>
      </w:r>
      <w:r>
        <w:fldChar w:fldCharType="separate"/>
      </w:r>
      <w:r>
        <w:t>52</w:t>
      </w:r>
      <w:r>
        <w:fldChar w:fldCharType="end"/>
      </w:r>
      <w:r>
        <w:rPr>
          <w:rFonts w:hint="eastAsia" w:ascii="黑体" w:hAnsi="黑体" w:eastAsia="黑体" w:cs="黑体"/>
          <w:bCs/>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sz w:val="32"/>
          <w:szCs w:val="32"/>
          <w:lang w:val="en-US" w:eastAsia="zh-CN"/>
        </w:rPr>
      </w:pPr>
      <w:r>
        <w:rPr>
          <w:rFonts w:hint="eastAsia" w:ascii="黑体" w:hAnsi="黑体" w:eastAsia="黑体" w:cs="黑体"/>
          <w:bCs/>
          <w:szCs w:val="32"/>
          <w:lang w:val="en-US" w:eastAsia="zh-CN"/>
        </w:rPr>
        <w:fldChar w:fldCharType="end"/>
      </w:r>
    </w:p>
    <w:bookmarkEnd w:id="41"/>
    <w:p w14:paraId="651D0FF2">
      <w:pPr>
        <w:pageBreakBefore w:val="0"/>
        <w:kinsoku/>
        <w:wordWrap/>
        <w:overflowPunct/>
        <w:topLinePunct w:val="0"/>
        <w:bidi w:val="0"/>
        <w:adjustRightInd w:val="0"/>
        <w:snapToGrid w:val="0"/>
        <w:ind w:left="0" w:leftChars="0" w:firstLine="480" w:firstLineChars="200"/>
        <w:textAlignment w:val="auto"/>
        <w:rPr>
          <w:rFonts w:hint="eastAsia"/>
          <w:color w:val="FF0000"/>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p>
    <w:p w14:paraId="743D1CCB">
      <w:pPr>
        <w:pStyle w:val="2"/>
        <w:bidi w:val="0"/>
        <w:rPr>
          <w:rFonts w:hint="eastAsia"/>
          <w:lang w:val="en-US" w:eastAsia="zh-CN"/>
        </w:rPr>
      </w:pPr>
      <w:bookmarkStart w:id="42" w:name="_Toc2065133620"/>
      <w:bookmarkStart w:id="43" w:name="_Toc9661"/>
      <w:bookmarkStart w:id="44" w:name="_Toc897384602"/>
      <w:bookmarkStart w:id="45" w:name="_Toc1566118065"/>
      <w:bookmarkStart w:id="46" w:name="_Toc698215329"/>
      <w:bookmarkStart w:id="47" w:name="_Toc2147402238"/>
      <w:bookmarkStart w:id="48" w:name="_Toc1138181288"/>
      <w:bookmarkStart w:id="49" w:name="_Toc1992287126"/>
      <w:r>
        <w:rPr>
          <w:rFonts w:hint="eastAsia"/>
          <w:lang w:val="en-US" w:eastAsia="zh-CN"/>
        </w:rPr>
        <w:t>一、引言</w:t>
      </w:r>
      <w:bookmarkEnd w:id="42"/>
      <w:bookmarkEnd w:id="43"/>
      <w:bookmarkEnd w:id="44"/>
      <w:bookmarkEnd w:id="45"/>
      <w:bookmarkEnd w:id="46"/>
      <w:bookmarkEnd w:id="47"/>
      <w:bookmarkEnd w:id="48"/>
      <w:bookmarkEnd w:id="49"/>
    </w:p>
    <w:p w14:paraId="21EE77DF">
      <w:pPr>
        <w:pStyle w:val="3"/>
        <w:bidi w:val="0"/>
        <w:rPr>
          <w:rFonts w:hint="eastAsia"/>
          <w:lang w:val="en-US" w:eastAsia="zh-CN"/>
        </w:rPr>
      </w:pPr>
      <w:bookmarkStart w:id="50" w:name="_Toc490"/>
      <w:bookmarkStart w:id="51" w:name="_Toc39257176"/>
      <w:bookmarkStart w:id="52" w:name="_Toc1054387295"/>
      <w:bookmarkStart w:id="53" w:name="_Toc1070048526"/>
      <w:bookmarkStart w:id="54" w:name="_Toc565352933"/>
      <w:bookmarkStart w:id="55" w:name="_Toc779242584"/>
      <w:bookmarkStart w:id="56" w:name="_Toc1776063587"/>
      <w:bookmarkStart w:id="57" w:name="_Toc804702658"/>
      <w:r>
        <w:rPr>
          <w:rFonts w:hint="eastAsia"/>
          <w:lang w:val="en-US" w:eastAsia="zh-CN"/>
        </w:rPr>
        <w:t xml:space="preserve">第一节 </w:t>
      </w:r>
      <w:bookmarkEnd w:id="50"/>
      <w:r>
        <w:rPr>
          <w:rFonts w:hint="eastAsia"/>
          <w:lang w:val="en-US" w:eastAsia="zh-CN"/>
        </w:rPr>
        <w:t>研究背景与问题提出</w:t>
      </w:r>
      <w:bookmarkEnd w:id="51"/>
      <w:bookmarkEnd w:id="52"/>
      <w:bookmarkEnd w:id="53"/>
      <w:bookmarkEnd w:id="54"/>
      <w:bookmarkEnd w:id="55"/>
      <w:bookmarkEnd w:id="56"/>
      <w:bookmarkEnd w:id="57"/>
    </w:p>
    <w:p w14:paraId="2CFDF7BD">
      <w:pPr>
        <w:pStyle w:val="4"/>
        <w:bidi w:val="0"/>
        <w:rPr>
          <w:rFonts w:hint="eastAsia"/>
          <w:lang w:val="en-US" w:eastAsia="zh-CN"/>
        </w:rPr>
      </w:pPr>
      <w:bookmarkStart w:id="58" w:name="_Toc1588"/>
      <w:bookmarkStart w:id="59" w:name="_Toc32018"/>
      <w:bookmarkStart w:id="60" w:name="_Toc17822"/>
      <w:bookmarkStart w:id="61" w:name="_Toc2158"/>
      <w:bookmarkStart w:id="62" w:name="_Toc27344"/>
      <w:bookmarkStart w:id="63" w:name="_Toc1277516504"/>
      <w:bookmarkStart w:id="64" w:name="_Toc1419090603"/>
      <w:bookmarkStart w:id="65" w:name="_Toc52212021"/>
      <w:bookmarkStart w:id="66" w:name="_Toc517877403"/>
      <w:bookmarkStart w:id="67" w:name="_Toc1374829882"/>
      <w:bookmarkStart w:id="68" w:name="_Toc278013409"/>
      <w:bookmarkStart w:id="69" w:name="_Toc1933047847"/>
      <w:r>
        <w:rPr>
          <w:rFonts w:hint="eastAsia"/>
          <w:lang w:val="en-US" w:eastAsia="zh-CN"/>
        </w:rPr>
        <w:t>一、</w:t>
      </w:r>
      <w:bookmarkEnd w:id="58"/>
      <w:bookmarkEnd w:id="59"/>
      <w:bookmarkEnd w:id="60"/>
      <w:bookmarkEnd w:id="61"/>
      <w:bookmarkEnd w:id="62"/>
      <w:r>
        <w:rPr>
          <w:rFonts w:hint="eastAsia"/>
          <w:lang w:val="en-US" w:eastAsia="zh-CN"/>
        </w:rPr>
        <w:t>宗教中国化的政策演进与“五个认同”的时代要求</w:t>
      </w:r>
      <w:bookmarkEnd w:id="63"/>
      <w:bookmarkEnd w:id="64"/>
      <w:bookmarkEnd w:id="65"/>
      <w:bookmarkEnd w:id="66"/>
      <w:bookmarkEnd w:id="67"/>
      <w:bookmarkEnd w:id="68"/>
      <w:bookmarkEnd w:id="69"/>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2016年全国宗教工作会议是</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命题发展的重要节点。会议明确了宗教团体需要对教规教义作出符合当代中国发展要求、符合中华优秀传统文化的阐释，这一要求为基督教仁爱观念的中国化诠释指明了方向。支持我国宗教坚持中国化方向的核心在于深入挖掘教义教规中有益于社会和谐、时代进步、健康文明的内容，这与本文的研究主旨高度一致。</w:t>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宋体" w:hAnsi="宋体" w:eastAsia="宋体" w:cs="宋体"/>
          <w:sz w:val="24"/>
          <w:szCs w:val="24"/>
          <w:lang w:val="en-US" w:eastAsia="zh-CN"/>
        </w:rPr>
        <w:footnoteReference w:id="0"/>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sz w:val="24"/>
          <w:szCs w:val="24"/>
        </w:rPr>
        <w:footnoteReference w:id="1"/>
      </w:r>
      <w:r>
        <w:rPr>
          <w:rStyle w:val="29"/>
          <w:rFonts w:hint="eastAsia" w:ascii="宋体" w:hAnsi="宋体" w:eastAsia="宋体" w:cs="宋体"/>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sz w:val="24"/>
          <w:szCs w:val="24"/>
          <w:lang w:val="en-US" w:eastAsia="zh-CN"/>
        </w:rPr>
        <w:footnoteReference w:id="3"/>
      </w:r>
      <w:r>
        <w:rPr>
          <w:rFonts w:hint="eastAsia" w:ascii="宋体" w:hAnsi="宋体" w:eastAsia="宋体" w:cs="宋体"/>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sz w:val="24"/>
          <w:szCs w:val="24"/>
          <w:lang w:val="en-US" w:eastAsia="zh-CN"/>
        </w:rPr>
        <w:footnoteReference w:id="4"/>
      </w:r>
      <w:r>
        <w:rPr>
          <w:rFonts w:hint="eastAsia" w:ascii="宋体" w:hAnsi="宋体" w:eastAsia="宋体" w:cs="宋体"/>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作为浙江省宗教界“双通”人才研修班的学员，本文研究始终坚持以“五个认同”为根本政治遵循，将“政治上靠得住、宗教上有造诣、品德上能服众、关键时起作用”作为研究的价值坐标。在学术写作中，必须充分体现对伟大祖国、中华民族、中华文化、中国共产党、中国特色社会主义的坚定认同，将宗教中国化的政策要求转化为具体的学术论证与路径设计。</w:t>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在此基础上，本文将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从政治前提转化为贯穿全文的分析尺度，具体操作化为以下五个检验维度：第一，以</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检验融合实践是否有助于增进国家意识、公民意识、法治意识；第二，以</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检验融合实践是否有助于铸牢中华民族共同体意识；第三，以</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检验教义阐释是否有效吸收了中华优秀传统文化资源；第四，以</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检验融合路径是否有助于引导信众拥护党的领导；第五，以</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检验融合实践是否有助于宗教与社会主义社会相适应。这五个维度贯穿本文的契合性分析、障碍梳理与路径构建，形成</w:t>
      </w:r>
      <w:r>
        <w:rPr>
          <w:rFonts w:hint="eastAsia" w:ascii="宋体" w:hAnsi="宋体" w:eastAsia="宋体" w:cs="宋体"/>
          <w:sz w:val="24"/>
          <w:szCs w:val="24"/>
          <w:lang w:eastAsia="zh-CN"/>
        </w:rPr>
        <w:t>“</w:t>
      </w:r>
      <w:r>
        <w:rPr>
          <w:rFonts w:hint="eastAsia" w:ascii="宋体" w:hAnsi="宋体" w:eastAsia="宋体" w:cs="宋体"/>
          <w:sz w:val="24"/>
          <w:szCs w:val="24"/>
        </w:rPr>
        <w:t>政治引领—理论分析—实践检验</w:t>
      </w:r>
      <w:r>
        <w:rPr>
          <w:rFonts w:hint="eastAsia" w:ascii="宋体" w:hAnsi="宋体" w:eastAsia="宋体" w:cs="宋体"/>
          <w:sz w:val="24"/>
          <w:szCs w:val="24"/>
          <w:lang w:eastAsia="zh-CN"/>
        </w:rPr>
        <w:t>”</w:t>
      </w:r>
      <w:r>
        <w:rPr>
          <w:rFonts w:hint="eastAsia" w:ascii="宋体" w:hAnsi="宋体" w:eastAsia="宋体" w:cs="宋体"/>
          <w:sz w:val="24"/>
          <w:szCs w:val="24"/>
        </w:rPr>
        <w:t>的完整逻辑链条。</w:t>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p>
    <w:p w14:paraId="7D4925B8">
      <w:pPr>
        <w:pStyle w:val="4"/>
        <w:bidi w:val="0"/>
        <w:rPr>
          <w:rFonts w:hint="eastAsia"/>
          <w:lang w:val="en-US" w:eastAsia="zh-CN"/>
        </w:rPr>
      </w:pPr>
      <w:bookmarkStart w:id="70" w:name="_Toc214290930"/>
      <w:bookmarkStart w:id="71" w:name="_Toc678380022"/>
      <w:bookmarkStart w:id="72" w:name="_Toc1354108971"/>
      <w:bookmarkStart w:id="73" w:name="_Toc702381039"/>
      <w:bookmarkStart w:id="74" w:name="_Toc1989268701"/>
      <w:bookmarkStart w:id="75" w:name="_Toc1794432838"/>
      <w:bookmarkStart w:id="76" w:name="_Toc1602552713"/>
      <w:r>
        <w:rPr>
          <w:rFonts w:hint="eastAsia"/>
          <w:lang w:val="en-US" w:eastAsia="zh-CN"/>
        </w:rPr>
        <w:t>二、要求基督教本土化发展的现实困境</w:t>
      </w:r>
      <w:bookmarkEnd w:id="70"/>
      <w:bookmarkEnd w:id="71"/>
      <w:bookmarkEnd w:id="72"/>
      <w:bookmarkEnd w:id="73"/>
      <w:bookmarkEnd w:id="74"/>
      <w:bookmarkEnd w:id="75"/>
      <w:bookmarkEnd w:id="76"/>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据国内宗教研究领域的公开统计数据，目前我国基督教信众总规模约3800万人，地域分布呈现</w:t>
      </w:r>
      <w:r>
        <w:rPr>
          <w:rFonts w:hint="eastAsia" w:ascii="宋体" w:hAnsi="宋体" w:eastAsia="宋体" w:cs="宋体"/>
          <w:sz w:val="24"/>
          <w:szCs w:val="24"/>
          <w:lang w:eastAsia="zh-CN"/>
        </w:rPr>
        <w:t>“</w:t>
      </w:r>
      <w:r>
        <w:rPr>
          <w:rFonts w:hint="eastAsia" w:ascii="宋体" w:hAnsi="宋体" w:eastAsia="宋体" w:cs="宋体"/>
          <w:sz w:val="24"/>
          <w:szCs w:val="24"/>
        </w:rPr>
        <w:t>县域及以下乡村占比高、中西部地区占比高</w:t>
      </w:r>
      <w:r>
        <w:rPr>
          <w:rFonts w:hint="eastAsia" w:ascii="宋体" w:hAnsi="宋体" w:eastAsia="宋体" w:cs="宋体"/>
          <w:sz w:val="24"/>
          <w:szCs w:val="24"/>
          <w:lang w:eastAsia="zh-CN"/>
        </w:rPr>
        <w:t>”</w:t>
      </w:r>
      <w:r>
        <w:rPr>
          <w:rFonts w:hint="eastAsia" w:ascii="宋体" w:hAnsi="宋体" w:eastAsia="宋体" w:cs="宋体"/>
          <w:sz w:val="24"/>
          <w:szCs w:val="24"/>
        </w:rPr>
        <w:t>的特征。</w:t>
      </w:r>
      <w:r>
        <w:rPr>
          <w:rStyle w:val="29"/>
          <w:rFonts w:hint="eastAsia" w:ascii="宋体" w:hAnsi="宋体" w:eastAsia="宋体" w:cs="宋体"/>
          <w:sz w:val="24"/>
          <w:szCs w:val="24"/>
        </w:rPr>
        <w:footnoteReference w:id="6"/>
      </w:r>
      <w:r>
        <w:rPr>
          <w:rFonts w:hint="eastAsia" w:ascii="宋体" w:hAnsi="宋体" w:eastAsia="宋体" w:cs="宋体"/>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第一，教义阐释的</w:t>
      </w:r>
      <w:r>
        <w:rPr>
          <w:rFonts w:hint="eastAsia" w:ascii="宋体" w:hAnsi="宋体" w:eastAsia="宋体" w:cs="宋体"/>
          <w:sz w:val="24"/>
          <w:szCs w:val="24"/>
          <w:lang w:eastAsia="zh-CN"/>
        </w:rPr>
        <w:t>“</w:t>
      </w:r>
      <w:r>
        <w:rPr>
          <w:rFonts w:hint="eastAsia" w:ascii="宋体" w:hAnsi="宋体" w:eastAsia="宋体" w:cs="宋体"/>
          <w:sz w:val="24"/>
          <w:szCs w:val="24"/>
        </w:rPr>
        <w:t>西方中心主义</w:t>
      </w:r>
      <w:r>
        <w:rPr>
          <w:rFonts w:hint="eastAsia" w:ascii="宋体" w:hAnsi="宋体" w:eastAsia="宋体" w:cs="宋体"/>
          <w:sz w:val="24"/>
          <w:szCs w:val="24"/>
          <w:lang w:eastAsia="zh-CN"/>
        </w:rPr>
        <w:t>”</w:t>
      </w:r>
      <w:r>
        <w:rPr>
          <w:rFonts w:hint="eastAsia" w:ascii="宋体" w:hAnsi="宋体" w:eastAsia="宋体" w:cs="宋体"/>
          <w:sz w:val="24"/>
          <w:szCs w:val="24"/>
        </w:rPr>
        <w:t>残余。部分偏远乡村教会的讲经内容直接照搬国外神学体系，缺乏对儒家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等本土文化语境的创造性转化，导致信众在文化认同上出现</w:t>
      </w:r>
      <w:r>
        <w:rPr>
          <w:rFonts w:hint="eastAsia" w:ascii="宋体" w:hAnsi="宋体" w:eastAsia="宋体" w:cs="宋体"/>
          <w:sz w:val="24"/>
          <w:szCs w:val="24"/>
          <w:lang w:eastAsia="zh-CN"/>
        </w:rPr>
        <w:t>“</w:t>
      </w:r>
      <w:r>
        <w:rPr>
          <w:rFonts w:hint="eastAsia" w:ascii="宋体" w:hAnsi="宋体" w:eastAsia="宋体" w:cs="宋体"/>
          <w:sz w:val="24"/>
          <w:szCs w:val="24"/>
        </w:rPr>
        <w:t>叠合身份</w:t>
      </w:r>
      <w:r>
        <w:rPr>
          <w:rFonts w:hint="eastAsia" w:ascii="宋体" w:hAnsi="宋体" w:eastAsia="宋体" w:cs="宋体"/>
          <w:sz w:val="24"/>
          <w:szCs w:val="24"/>
          <w:lang w:eastAsia="zh-CN"/>
        </w:rPr>
        <w:t>”</w:t>
      </w:r>
      <w:r>
        <w:rPr>
          <w:rFonts w:hint="eastAsia" w:ascii="宋体" w:hAnsi="宋体" w:eastAsia="宋体" w:cs="宋体"/>
          <w:sz w:val="24"/>
          <w:szCs w:val="24"/>
        </w:rPr>
        <w:t>困境——既难以完全融入本土社会文化，又无法维持纯粹的</w:t>
      </w:r>
      <w:r>
        <w:rPr>
          <w:rFonts w:hint="eastAsia" w:ascii="宋体" w:hAnsi="宋体" w:eastAsia="宋体" w:cs="宋体"/>
          <w:sz w:val="24"/>
          <w:szCs w:val="24"/>
          <w:lang w:eastAsia="zh-CN"/>
        </w:rPr>
        <w:t>“</w:t>
      </w:r>
      <w:r>
        <w:rPr>
          <w:rFonts w:hint="eastAsia" w:ascii="宋体" w:hAnsi="宋体" w:eastAsia="宋体" w:cs="宋体"/>
          <w:sz w:val="24"/>
          <w:szCs w:val="24"/>
        </w:rPr>
        <w:t>西方</w:t>
      </w:r>
      <w:r>
        <w:rPr>
          <w:rFonts w:hint="eastAsia" w:ascii="宋体" w:hAnsi="宋体" w:eastAsia="宋体" w:cs="宋体"/>
          <w:sz w:val="24"/>
          <w:szCs w:val="24"/>
          <w:lang w:eastAsia="zh-CN"/>
        </w:rPr>
        <w:t>”</w:t>
      </w:r>
      <w:r>
        <w:rPr>
          <w:rFonts w:hint="eastAsia" w:ascii="宋体" w:hAnsi="宋体" w:eastAsia="宋体" w:cs="宋体"/>
          <w:sz w:val="24"/>
          <w:szCs w:val="24"/>
        </w:rPr>
        <w:t>信仰形态。</w:t>
      </w:r>
      <w:r>
        <w:rPr>
          <w:rStyle w:val="29"/>
          <w:rFonts w:hint="eastAsia" w:ascii="宋体" w:hAnsi="宋体" w:eastAsia="宋体" w:cs="宋体"/>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第三，价值对话的</w:t>
      </w:r>
      <w:r>
        <w:rPr>
          <w:rFonts w:hint="eastAsia" w:ascii="宋体" w:hAnsi="宋体" w:eastAsia="宋体" w:cs="宋体"/>
          <w:sz w:val="24"/>
          <w:szCs w:val="24"/>
          <w:lang w:eastAsia="zh-CN"/>
        </w:rPr>
        <w:t>“</w:t>
      </w:r>
      <w:r>
        <w:rPr>
          <w:rFonts w:hint="eastAsia" w:ascii="宋体" w:hAnsi="宋体" w:eastAsia="宋体" w:cs="宋体"/>
          <w:sz w:val="24"/>
          <w:szCs w:val="24"/>
        </w:rPr>
        <w:t>话语体系断裂</w:t>
      </w:r>
      <w:r>
        <w:rPr>
          <w:rFonts w:hint="eastAsia" w:ascii="宋体" w:hAnsi="宋体" w:eastAsia="宋体" w:cs="宋体"/>
          <w:sz w:val="24"/>
          <w:szCs w:val="24"/>
          <w:lang w:eastAsia="zh-CN"/>
        </w:rPr>
        <w:t>”</w:t>
      </w:r>
      <w:r>
        <w:rPr>
          <w:rFonts w:hint="eastAsia" w:ascii="宋体" w:hAnsi="宋体" w:eastAsia="宋体" w:cs="宋体"/>
          <w:sz w:val="24"/>
          <w:szCs w:val="24"/>
        </w:rPr>
        <w:t>。基督教神学话语与社会主义核心价值观话语之间存在显著的语义鸿沟，前者以</w:t>
      </w:r>
      <w:r>
        <w:rPr>
          <w:rFonts w:hint="eastAsia" w:ascii="宋体" w:hAnsi="宋体" w:eastAsia="宋体" w:cs="宋体"/>
          <w:sz w:val="24"/>
          <w:szCs w:val="24"/>
          <w:lang w:eastAsia="zh-CN"/>
        </w:rPr>
        <w:t>“</w:t>
      </w:r>
      <w:r>
        <w:rPr>
          <w:rFonts w:hint="eastAsia" w:ascii="宋体" w:hAnsi="宋体" w:eastAsia="宋体" w:cs="宋体"/>
          <w:sz w:val="24"/>
          <w:szCs w:val="24"/>
        </w:rPr>
        <w:t>神启</w:t>
      </w:r>
      <w:r>
        <w:rPr>
          <w:rFonts w:hint="eastAsia" w:ascii="宋体" w:hAnsi="宋体" w:eastAsia="宋体" w:cs="宋体"/>
          <w:sz w:val="24"/>
          <w:szCs w:val="24"/>
          <w:lang w:eastAsia="zh-CN"/>
        </w:rPr>
        <w:t>”“</w:t>
      </w:r>
      <w:r>
        <w:rPr>
          <w:rFonts w:hint="eastAsia" w:ascii="宋体" w:hAnsi="宋体" w:eastAsia="宋体" w:cs="宋体"/>
          <w:sz w:val="24"/>
          <w:szCs w:val="24"/>
        </w:rPr>
        <w:t>救赎</w:t>
      </w:r>
      <w:r>
        <w:rPr>
          <w:rFonts w:hint="eastAsia" w:ascii="宋体" w:hAnsi="宋体" w:eastAsia="宋体" w:cs="宋体"/>
          <w:sz w:val="24"/>
          <w:szCs w:val="24"/>
          <w:lang w:eastAsia="zh-CN"/>
        </w:rPr>
        <w:t>”</w:t>
      </w:r>
      <w:r>
        <w:rPr>
          <w:rFonts w:hint="eastAsia" w:ascii="宋体" w:hAnsi="宋体" w:eastAsia="宋体" w:cs="宋体"/>
          <w:sz w:val="24"/>
          <w:szCs w:val="24"/>
        </w:rPr>
        <w:t>为核心范畴，后者以</w:t>
      </w:r>
      <w:r>
        <w:rPr>
          <w:rFonts w:hint="eastAsia" w:ascii="宋体" w:hAnsi="宋体" w:eastAsia="宋体" w:cs="宋体"/>
          <w:sz w:val="24"/>
          <w:szCs w:val="24"/>
          <w:lang w:eastAsia="zh-CN"/>
        </w:rPr>
        <w:t>“</w:t>
      </w:r>
      <w:r>
        <w:rPr>
          <w:rFonts w:hint="eastAsia" w:ascii="宋体" w:hAnsi="宋体" w:eastAsia="宋体" w:cs="宋体"/>
          <w:sz w:val="24"/>
          <w:szCs w:val="24"/>
        </w:rPr>
        <w:t>人民</w:t>
      </w:r>
      <w:r>
        <w:rPr>
          <w:rFonts w:hint="eastAsia" w:ascii="宋体" w:hAnsi="宋体" w:eastAsia="宋体" w:cs="宋体"/>
          <w:sz w:val="24"/>
          <w:szCs w:val="24"/>
          <w:lang w:eastAsia="zh-CN"/>
        </w:rPr>
        <w:t>”“</w:t>
      </w:r>
      <w:r>
        <w:rPr>
          <w:rFonts w:hint="eastAsia" w:ascii="宋体" w:hAnsi="宋体" w:eastAsia="宋体" w:cs="宋体"/>
          <w:sz w:val="24"/>
          <w:szCs w:val="24"/>
        </w:rPr>
        <w:t>发展</w:t>
      </w:r>
      <w:r>
        <w:rPr>
          <w:rFonts w:hint="eastAsia" w:ascii="宋体" w:hAnsi="宋体" w:eastAsia="宋体" w:cs="宋体"/>
          <w:sz w:val="24"/>
          <w:szCs w:val="24"/>
          <w:lang w:eastAsia="zh-CN"/>
        </w:rPr>
        <w:t>”</w:t>
      </w:r>
      <w:r>
        <w:rPr>
          <w:rFonts w:hint="eastAsia" w:ascii="宋体" w:hAnsi="宋体" w:eastAsia="宋体" w:cs="宋体"/>
          <w:sz w:val="24"/>
          <w:szCs w:val="24"/>
        </w:rPr>
        <w:t>为核心范畴，二者在公共领域的对话缺乏有效的</w:t>
      </w:r>
      <w:r>
        <w:rPr>
          <w:rFonts w:hint="eastAsia" w:ascii="宋体" w:hAnsi="宋体" w:eastAsia="宋体" w:cs="宋体"/>
          <w:sz w:val="24"/>
          <w:szCs w:val="24"/>
          <w:lang w:eastAsia="zh-CN"/>
        </w:rPr>
        <w:t>“</w:t>
      </w:r>
      <w:r>
        <w:rPr>
          <w:rFonts w:hint="eastAsia" w:ascii="宋体" w:hAnsi="宋体" w:eastAsia="宋体" w:cs="宋体"/>
          <w:sz w:val="24"/>
          <w:szCs w:val="24"/>
        </w:rPr>
        <w:t>翻译</w:t>
      </w:r>
      <w:r>
        <w:rPr>
          <w:rFonts w:hint="eastAsia" w:ascii="宋体" w:hAnsi="宋体" w:eastAsia="宋体" w:cs="宋体"/>
          <w:sz w:val="24"/>
          <w:szCs w:val="24"/>
          <w:lang w:eastAsia="zh-CN"/>
        </w:rPr>
        <w:t>”</w:t>
      </w:r>
      <w:r>
        <w:rPr>
          <w:rFonts w:hint="eastAsia" w:ascii="宋体" w:hAnsi="宋体" w:eastAsia="宋体" w:cs="宋体"/>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sz w:val="24"/>
          <w:szCs w:val="24"/>
          <w:lang w:eastAsia="zh-CN"/>
        </w:rPr>
        <w:t>“</w:t>
      </w:r>
      <w:r>
        <w:rPr>
          <w:rFonts w:hint="eastAsia" w:ascii="宋体" w:hAnsi="宋体" w:eastAsia="宋体" w:cs="宋体"/>
          <w:sz w:val="24"/>
          <w:szCs w:val="24"/>
        </w:rPr>
        <w:t>信仰市场</w:t>
      </w:r>
      <w:r>
        <w:rPr>
          <w:rFonts w:hint="eastAsia" w:ascii="宋体" w:hAnsi="宋体" w:eastAsia="宋体" w:cs="宋体"/>
          <w:sz w:val="24"/>
          <w:szCs w:val="24"/>
          <w:lang w:eastAsia="zh-CN"/>
        </w:rPr>
        <w:t>”</w:t>
      </w:r>
      <w:r>
        <w:rPr>
          <w:rFonts w:hint="eastAsia" w:ascii="宋体" w:hAnsi="宋体" w:eastAsia="宋体" w:cs="宋体"/>
          <w:sz w:val="24"/>
          <w:szCs w:val="24"/>
        </w:rPr>
        <w:t>中提升</w:t>
      </w:r>
      <w:r>
        <w:rPr>
          <w:rFonts w:hint="eastAsia" w:ascii="宋体" w:hAnsi="宋体" w:eastAsia="宋体" w:cs="宋体"/>
          <w:sz w:val="24"/>
          <w:szCs w:val="24"/>
          <w:lang w:eastAsia="zh-CN"/>
        </w:rPr>
        <w:t>“</w:t>
      </w:r>
      <w:r>
        <w:rPr>
          <w:rFonts w:hint="eastAsia" w:ascii="宋体" w:hAnsi="宋体" w:eastAsia="宋体" w:cs="宋体"/>
          <w:sz w:val="24"/>
          <w:szCs w:val="24"/>
        </w:rPr>
        <w:t>产品适配性</w:t>
      </w:r>
      <w:r>
        <w:rPr>
          <w:rFonts w:hint="eastAsia" w:ascii="宋体" w:hAnsi="宋体" w:eastAsia="宋体" w:cs="宋体"/>
          <w:sz w:val="24"/>
          <w:szCs w:val="24"/>
          <w:lang w:eastAsia="zh-CN"/>
        </w:rPr>
        <w:t>”</w:t>
      </w:r>
      <w:r>
        <w:rPr>
          <w:rFonts w:hint="eastAsia" w:ascii="宋体" w:hAnsi="宋体" w:eastAsia="宋体" w:cs="宋体"/>
          <w:sz w:val="24"/>
          <w:szCs w:val="24"/>
        </w:rPr>
        <w:t>的战略选择——将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这一宗教伦理进行</w:t>
      </w:r>
      <w:r>
        <w:rPr>
          <w:rFonts w:hint="eastAsia" w:ascii="宋体" w:hAnsi="宋体" w:eastAsia="宋体" w:cs="宋体"/>
          <w:sz w:val="24"/>
          <w:szCs w:val="24"/>
          <w:lang w:eastAsia="zh-CN"/>
        </w:rPr>
        <w:t>“</w:t>
      </w:r>
      <w:r>
        <w:rPr>
          <w:rFonts w:hint="eastAsia" w:ascii="宋体" w:hAnsi="宋体" w:eastAsia="宋体" w:cs="宋体"/>
          <w:sz w:val="24"/>
          <w:szCs w:val="24"/>
        </w:rPr>
        <w:t>本土化包装</w:t>
      </w:r>
      <w:r>
        <w:rPr>
          <w:rFonts w:hint="eastAsia" w:ascii="宋体" w:hAnsi="宋体" w:eastAsia="宋体" w:cs="宋体"/>
          <w:sz w:val="24"/>
          <w:szCs w:val="24"/>
          <w:lang w:eastAsia="zh-CN"/>
        </w:rPr>
        <w:t>”</w:t>
      </w:r>
      <w:r>
        <w:rPr>
          <w:rFonts w:hint="eastAsia" w:ascii="宋体" w:hAnsi="宋体" w:eastAsia="宋体" w:cs="宋体"/>
          <w:sz w:val="24"/>
          <w:szCs w:val="24"/>
        </w:rPr>
        <w:t>，以契合主流文化的价值偏好，从而扩大其</w:t>
      </w:r>
      <w:r>
        <w:rPr>
          <w:rFonts w:hint="eastAsia" w:ascii="宋体" w:hAnsi="宋体" w:eastAsia="宋体" w:cs="宋体"/>
          <w:sz w:val="24"/>
          <w:szCs w:val="24"/>
          <w:lang w:eastAsia="zh-CN"/>
        </w:rPr>
        <w:t>“</w:t>
      </w:r>
      <w:r>
        <w:rPr>
          <w:rFonts w:hint="eastAsia" w:ascii="宋体" w:hAnsi="宋体" w:eastAsia="宋体" w:cs="宋体"/>
          <w:sz w:val="24"/>
          <w:szCs w:val="24"/>
        </w:rPr>
        <w:t>社会认可度</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
      </w:r>
    </w:p>
    <w:p w14:paraId="45A16FE0">
      <w:pPr>
        <w:pStyle w:val="3"/>
        <w:bidi w:val="0"/>
        <w:rPr>
          <w:rFonts w:hint="eastAsia"/>
          <w:lang w:val="en-US" w:eastAsia="zh-CN"/>
        </w:rPr>
      </w:pPr>
      <w:bookmarkStart w:id="77" w:name="_Toc200514914"/>
      <w:bookmarkStart w:id="78" w:name="_Toc1625268338"/>
      <w:bookmarkStart w:id="79" w:name="_Toc257584491"/>
      <w:bookmarkStart w:id="80" w:name="_Toc542347831"/>
      <w:bookmarkStart w:id="81" w:name="_Toc1613641211"/>
      <w:bookmarkStart w:id="82" w:name="_Toc1919853445"/>
      <w:bookmarkStart w:id="83" w:name="_Toc363546717"/>
      <w:r>
        <w:rPr>
          <w:rFonts w:hint="eastAsia"/>
          <w:lang w:val="en-US" w:eastAsia="zh-CN"/>
        </w:rPr>
        <w:t>第二节 文献综述</w:t>
      </w:r>
      <w:bookmarkEnd w:id="77"/>
      <w:bookmarkEnd w:id="78"/>
      <w:bookmarkEnd w:id="79"/>
      <w:bookmarkEnd w:id="80"/>
      <w:bookmarkEnd w:id="81"/>
      <w:bookmarkEnd w:id="82"/>
      <w:bookmarkEnd w:id="83"/>
    </w:p>
    <w:p w14:paraId="33329422">
      <w:pPr>
        <w:pStyle w:val="4"/>
        <w:bidi w:val="0"/>
        <w:rPr>
          <w:rFonts w:hint="eastAsia"/>
          <w:lang w:val="en-US" w:eastAsia="zh-CN"/>
        </w:rPr>
      </w:pPr>
      <w:bookmarkStart w:id="84" w:name="_Toc2042991532"/>
      <w:bookmarkStart w:id="85" w:name="_Toc2040450573"/>
      <w:bookmarkStart w:id="86" w:name="_Toc1319397749"/>
      <w:bookmarkStart w:id="87" w:name="_Toc652317455"/>
      <w:bookmarkStart w:id="88" w:name="_Toc2044338961"/>
      <w:bookmarkStart w:id="89" w:name="_Toc1035053940"/>
      <w:bookmarkStart w:id="90" w:name="_Toc538696904"/>
      <w:r>
        <w:rPr>
          <w:rFonts w:hint="eastAsia"/>
          <w:lang w:val="en-US" w:eastAsia="zh-CN"/>
        </w:rPr>
        <w:t>一、基督教仁爱观念的本源阐释与跨文化研究</w:t>
      </w:r>
      <w:bookmarkEnd w:id="84"/>
      <w:bookmarkEnd w:id="85"/>
      <w:bookmarkEnd w:id="86"/>
      <w:bookmarkEnd w:id="87"/>
      <w:bookmarkEnd w:id="88"/>
      <w:bookmarkEnd w:id="89"/>
      <w:bookmarkEnd w:id="90"/>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基督教仁爱观念的本源研究集中在对希腊语汇Agape（ἀγάπη）的神学阐释。Anders Nygren在经典著作《圣爱与欲爱》中严格区分了Agape与Eros：Agape是“自上而下的赐予”，以上帝为唯一主体，具有无条件性和神圣性；Eros则是“自下而上的追求”，以人的需要为驱动力，具有条件性和世俗性。</w:t>
      </w:r>
      <w:r>
        <w:rPr>
          <w:rStyle w:val="29"/>
          <w:rFonts w:hint="eastAsia" w:ascii="宋体" w:hAnsi="宋体" w:eastAsia="宋体" w:cs="宋体"/>
          <w:sz w:val="24"/>
          <w:szCs w:val="24"/>
          <w:lang w:val="en-US" w:eastAsia="zh-CN"/>
        </w:rPr>
        <w:footnoteReference w:id="9"/>
      </w:r>
      <w:r>
        <w:rPr>
          <w:rFonts w:hint="eastAsia" w:ascii="宋体" w:hAnsi="宋体" w:eastAsia="宋体" w:cs="宋体"/>
          <w:sz w:val="24"/>
          <w:szCs w:val="24"/>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宋体" w:hAnsi="宋体" w:eastAsia="宋体" w:cs="宋体"/>
          <w:sz w:val="24"/>
          <w:szCs w:val="24"/>
          <w:lang w:val="en-US" w:eastAsia="zh-CN"/>
        </w:rPr>
        <w:footnoteReference w:id="10"/>
      </w:r>
      <w:r>
        <w:rPr>
          <w:rFonts w:hint="eastAsia" w:ascii="宋体" w:hAnsi="宋体" w:eastAsia="宋体" w:cs="宋体"/>
          <w:sz w:val="24"/>
          <w:szCs w:val="24"/>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宋体" w:hAnsi="宋体" w:eastAsia="宋体" w:cs="宋体"/>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宋体" w:hAnsi="宋体" w:eastAsia="宋体" w:cs="宋体"/>
          <w:sz w:val="24"/>
          <w:szCs w:val="24"/>
          <w:lang w:val="en-US" w:eastAsia="zh-CN"/>
        </w:rPr>
        <w:footnoteReference w:id="12"/>
      </w:r>
      <w:r>
        <w:rPr>
          <w:rFonts w:hint="eastAsia" w:ascii="宋体" w:hAnsi="宋体" w:eastAsia="宋体" w:cs="宋体"/>
          <w:sz w:val="24"/>
          <w:szCs w:val="24"/>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宋体" w:hAnsi="宋体" w:eastAsia="宋体" w:cs="宋体"/>
          <w:sz w:val="24"/>
          <w:szCs w:val="24"/>
          <w:lang w:val="en-US" w:eastAsia="zh-CN"/>
        </w:rPr>
        <w:footnoteReference w:id="13"/>
      </w:r>
      <w:r>
        <w:rPr>
          <w:rFonts w:hint="eastAsia" w:ascii="宋体" w:hAnsi="宋体" w:eastAsia="宋体" w:cs="宋体"/>
          <w:sz w:val="24"/>
          <w:szCs w:val="24"/>
          <w:lang w:val="en-US" w:eastAsia="zh-CN"/>
        </w:rPr>
        <w:t xml:space="preserve"> Hans Küng与Julia Ching在《基督教与中国宗教》中系统比较了耶儒对话的可能性与限度，指出二者在“金规则”（Golden Rule）上存在实践伦理的交叠。</w:t>
      </w:r>
      <w:r>
        <w:rPr>
          <w:rStyle w:val="29"/>
          <w:rFonts w:hint="eastAsia" w:ascii="宋体" w:hAnsi="宋体" w:eastAsia="宋体" w:cs="宋体"/>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sz w:val="24"/>
          <w:szCs w:val="24"/>
          <w:lang w:val="en-US" w:eastAsia="zh-CN"/>
        </w:rPr>
        <w:footnoteReference w:id="15"/>
      </w:r>
      <w:r>
        <w:rPr>
          <w:rFonts w:hint="eastAsia" w:ascii="宋体" w:hAnsi="宋体" w:eastAsia="宋体" w:cs="宋体"/>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sz w:val="24"/>
          <w:szCs w:val="24"/>
          <w:lang w:val="en-US" w:eastAsia="zh-CN"/>
        </w:rPr>
        <w:footnoteReference w:id="16"/>
      </w:r>
      <w:r>
        <w:rPr>
          <w:rFonts w:hint="eastAsia" w:ascii="宋体" w:hAnsi="宋体" w:eastAsia="宋体" w:cs="宋体"/>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sz w:val="24"/>
          <w:szCs w:val="24"/>
          <w:lang w:val="en-US" w:eastAsia="zh-CN"/>
        </w:rPr>
        <w:footnoteReference w:id="17"/>
      </w:r>
    </w:p>
    <w:p w14:paraId="2BD903D7">
      <w:pPr>
        <w:pStyle w:val="4"/>
        <w:bidi w:val="0"/>
        <w:rPr>
          <w:rFonts w:hint="eastAsia"/>
          <w:lang w:val="en-US" w:eastAsia="zh-CN"/>
        </w:rPr>
      </w:pPr>
      <w:bookmarkStart w:id="91" w:name="_Toc686421468"/>
      <w:bookmarkStart w:id="92" w:name="_Toc595448250"/>
      <w:bookmarkStart w:id="93" w:name="_Toc442646441"/>
      <w:bookmarkStart w:id="94" w:name="_Toc201828521"/>
      <w:bookmarkStart w:id="95" w:name="_Toc1614049174"/>
      <w:bookmarkStart w:id="96" w:name="_Toc1534028880"/>
      <w:bookmarkStart w:id="97" w:name="_Toc87809776"/>
      <w:r>
        <w:rPr>
          <w:rFonts w:hint="eastAsia"/>
          <w:lang w:val="en-US" w:eastAsia="zh-CN"/>
        </w:rPr>
        <w:t>二、研究宗教价值与主流社会价值融合的国际比较</w:t>
      </w:r>
      <w:bookmarkEnd w:id="91"/>
      <w:bookmarkEnd w:id="92"/>
      <w:bookmarkEnd w:id="93"/>
      <w:bookmarkEnd w:id="94"/>
      <w:bookmarkEnd w:id="95"/>
      <w:bookmarkEnd w:id="96"/>
      <w:bookmarkEnd w:id="97"/>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在比较研究方面，Casanova的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提供了宏观视角。他认为，宗教在现代社会中可以通过参与公共领域讨论、提供社会服务，成为公民社会的重要组成部分，而非必然退入私人领域。Bellah对美国基督教伦理与公民文化融合机制的分析，以及Troeltsch对基督教社会存在形态的类型学划分，都揭示了宗教伦理与社会主流价值之间的功能性融合可能。Weber关于宗教伦理可以通过</w:t>
      </w:r>
      <w:r>
        <w:rPr>
          <w:rFonts w:hint="eastAsia" w:ascii="宋体" w:hAnsi="宋体" w:eastAsia="宋体" w:cs="宋体"/>
          <w:sz w:val="24"/>
          <w:szCs w:val="24"/>
          <w:lang w:eastAsia="zh-CN"/>
        </w:rPr>
        <w:t>“</w:t>
      </w:r>
      <w:r>
        <w:rPr>
          <w:rFonts w:hint="eastAsia" w:ascii="宋体" w:hAnsi="宋体" w:eastAsia="宋体" w:cs="宋体"/>
          <w:sz w:val="24"/>
          <w:szCs w:val="24"/>
        </w:rPr>
        <w:t>非意图后果</w:t>
      </w:r>
      <w:r>
        <w:rPr>
          <w:rFonts w:hint="eastAsia" w:ascii="宋体" w:hAnsi="宋体" w:eastAsia="宋体" w:cs="宋体"/>
          <w:sz w:val="24"/>
          <w:szCs w:val="24"/>
          <w:lang w:eastAsia="zh-CN"/>
        </w:rPr>
        <w:t>”</w:t>
      </w:r>
      <w:r>
        <w:rPr>
          <w:rFonts w:hint="eastAsia" w:ascii="宋体" w:hAnsi="宋体" w:eastAsia="宋体" w:cs="宋体"/>
          <w:sz w:val="24"/>
          <w:szCs w:val="24"/>
        </w:rPr>
        <w:t>与社会主流价值实现功能整合的方法论，对理解基督教仁爱实践与核心价值观的关系具有启发意义。</w:t>
      </w:r>
      <w:r>
        <w:rPr>
          <w:rStyle w:val="29"/>
          <w:rFonts w:hint="eastAsia" w:ascii="宋体" w:hAnsi="宋体" w:eastAsia="宋体" w:cs="宋体"/>
          <w:sz w:val="24"/>
          <w:szCs w:val="24"/>
        </w:rPr>
        <w:footnoteReference w:id="18"/>
      </w:r>
      <w:r>
        <w:rPr>
          <w:rStyle w:val="29"/>
          <w:rFonts w:hint="eastAsia" w:ascii="宋体" w:hAnsi="宋体" w:eastAsia="宋体" w:cs="宋体"/>
          <w:sz w:val="24"/>
          <w:szCs w:val="24"/>
        </w:rPr>
        <w:footnoteReference w:id="19"/>
      </w:r>
      <w:r>
        <w:rPr>
          <w:rStyle w:val="29"/>
          <w:rFonts w:hint="eastAsia" w:ascii="宋体" w:hAnsi="宋体" w:eastAsia="宋体" w:cs="宋体"/>
          <w:sz w:val="24"/>
          <w:szCs w:val="24"/>
        </w:rPr>
        <w:footnoteReference w:id="20"/>
      </w:r>
      <w:r>
        <w:rPr>
          <w:rStyle w:val="29"/>
          <w:rFonts w:hint="eastAsia" w:ascii="宋体" w:hAnsi="宋体" w:eastAsia="宋体" w:cs="宋体"/>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宋体" w:hAnsi="宋体" w:eastAsia="宋体" w:cs="宋体"/>
          <w:sz w:val="24"/>
          <w:szCs w:val="24"/>
          <w:lang w:val="en-US" w:eastAsia="zh-CN"/>
        </w:rPr>
        <w:footnoteReference w:id="22"/>
      </w:r>
      <w:r>
        <w:rPr>
          <w:rFonts w:hint="eastAsia" w:ascii="宋体" w:hAnsi="宋体" w:eastAsia="宋体" w:cs="宋体"/>
          <w:sz w:val="24"/>
          <w:szCs w:val="24"/>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宋体" w:hAnsi="宋体" w:eastAsia="宋体" w:cs="宋体"/>
          <w:sz w:val="24"/>
          <w:szCs w:val="24"/>
          <w:lang w:val="en-US" w:eastAsia="zh-CN"/>
        </w:rPr>
        <w:footnoteReference w:id="23"/>
      </w:r>
      <w:r>
        <w:rPr>
          <w:rFonts w:hint="eastAsia" w:ascii="宋体" w:hAnsi="宋体" w:eastAsia="宋体" w:cs="宋体"/>
          <w:sz w:val="24"/>
          <w:szCs w:val="24"/>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宋体" w:hAnsi="宋体" w:eastAsia="宋体" w:cs="宋体"/>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在处境化诠释方面，Bevans提出的多种理论模型为基督教教义的本土化提供了方法论参照，而Schreiter关于本土神学需在本地文化经验中重新发现福音意义的观点，则为当代基督教中国化研究提供了重要的理论启示。</w:t>
      </w:r>
      <w:r>
        <w:rPr>
          <w:rStyle w:val="29"/>
          <w:rFonts w:hint="eastAsia" w:ascii="宋体" w:hAnsi="宋体" w:eastAsia="宋体" w:cs="宋体"/>
          <w:sz w:val="24"/>
          <w:szCs w:val="24"/>
        </w:rPr>
        <w:footnoteReference w:id="25"/>
      </w:r>
      <w:r>
        <w:rPr>
          <w:rStyle w:val="29"/>
          <w:rFonts w:hint="eastAsia" w:ascii="宋体" w:hAnsi="宋体" w:eastAsia="宋体" w:cs="宋体"/>
          <w:sz w:val="24"/>
          <w:szCs w:val="24"/>
        </w:rPr>
        <w:footnoteReference w:id="26"/>
      </w:r>
    </w:p>
    <w:p w14:paraId="6BEA0713">
      <w:pPr>
        <w:pStyle w:val="4"/>
        <w:bidi w:val="0"/>
        <w:rPr>
          <w:rFonts w:hint="eastAsia"/>
          <w:lang w:val="en-US" w:eastAsia="zh-CN"/>
        </w:rPr>
      </w:pPr>
      <w:bookmarkStart w:id="98" w:name="_Toc403460992"/>
      <w:bookmarkStart w:id="99" w:name="_Toc424942730"/>
      <w:bookmarkStart w:id="100" w:name="_Toc1255273834"/>
      <w:bookmarkStart w:id="101" w:name="_Toc675380679"/>
      <w:bookmarkStart w:id="102" w:name="_Toc311038514"/>
      <w:bookmarkStart w:id="103" w:name="_Toc1882203925"/>
      <w:bookmarkStart w:id="104" w:name="_Toc497639743"/>
      <w:r>
        <w:rPr>
          <w:rFonts w:hint="eastAsia"/>
          <w:lang w:val="en-US" w:eastAsia="zh-CN"/>
        </w:rPr>
        <w:t>三、比较宗教中国化与社会主义核心价值观引领的国内研究</w:t>
      </w:r>
      <w:bookmarkEnd w:id="98"/>
      <w:bookmarkEnd w:id="99"/>
      <w:bookmarkEnd w:id="100"/>
      <w:bookmarkEnd w:id="101"/>
      <w:bookmarkEnd w:id="102"/>
      <w:bookmarkEnd w:id="103"/>
      <w:bookmarkEnd w:id="10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国内关于宗教中国化的研究近年来呈现井喷态势。张志刚系统阐释了</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的学理内涵，指出其包含政治认同、社会适应、文化融合、文明互鉴四个维度。</w:t>
      </w:r>
      <w:r>
        <w:rPr>
          <w:rStyle w:val="29"/>
          <w:rFonts w:hint="eastAsia" w:ascii="宋体" w:hAnsi="宋体" w:eastAsia="宋体" w:cs="宋体"/>
          <w:sz w:val="24"/>
          <w:szCs w:val="24"/>
        </w:rPr>
        <w:footnoteReference w:id="27"/>
      </w:r>
      <w:r>
        <w:rPr>
          <w:rFonts w:hint="eastAsia" w:ascii="宋体" w:hAnsi="宋体" w:eastAsia="宋体" w:cs="宋体"/>
          <w:sz w:val="24"/>
          <w:szCs w:val="24"/>
        </w:rPr>
        <w:t xml:space="preserve"> 牟钟鉴从中华文化主体性出发，论证宗教中国化是宗教在中华大地上生存发展的必由之路。</w:t>
      </w:r>
      <w:r>
        <w:rPr>
          <w:rStyle w:val="29"/>
          <w:rFonts w:hint="eastAsia" w:ascii="宋体" w:hAnsi="宋体" w:eastAsia="宋体" w:cs="宋体"/>
          <w:sz w:val="24"/>
          <w:szCs w:val="24"/>
        </w:rPr>
        <w:footnoteReference w:id="28"/>
      </w:r>
      <w:r>
        <w:rPr>
          <w:rFonts w:hint="eastAsia" w:ascii="宋体" w:hAnsi="宋体" w:eastAsia="宋体" w:cs="宋体"/>
          <w:sz w:val="24"/>
          <w:szCs w:val="24"/>
        </w:rPr>
        <w:t xml:space="preserve"> 王作安从宗教工作实务角度，论述了宗教与社会主义社会相适应的理论基础与实践路径。</w:t>
      </w:r>
      <w:r>
        <w:rPr>
          <w:rStyle w:val="29"/>
          <w:rFonts w:hint="eastAsia" w:ascii="宋体" w:hAnsi="宋体" w:eastAsia="宋体" w:cs="宋体"/>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sz w:val="24"/>
          <w:szCs w:val="24"/>
        </w:rPr>
        <w:footnoteReference w:id="30"/>
      </w:r>
      <w:r>
        <w:rPr>
          <w:rFonts w:hint="eastAsia" w:ascii="宋体" w:hAnsi="宋体" w:eastAsia="宋体" w:cs="宋体"/>
          <w:sz w:val="24"/>
          <w:szCs w:val="24"/>
        </w:rPr>
        <w:t xml:space="preserve"> 唐晓峰分析了改革开放以来基督教神学思想建设的成就与挑战。</w:t>
      </w:r>
      <w:r>
        <w:rPr>
          <w:rStyle w:val="29"/>
          <w:rFonts w:hint="eastAsia" w:ascii="宋体" w:hAnsi="宋体" w:eastAsia="宋体" w:cs="宋体"/>
          <w:sz w:val="24"/>
          <w:szCs w:val="24"/>
        </w:rPr>
        <w:footnoteReference w:id="31"/>
      </w:r>
      <w:r>
        <w:rPr>
          <w:rFonts w:hint="eastAsia" w:ascii="宋体" w:hAnsi="宋体" w:eastAsia="宋体" w:cs="宋体"/>
          <w:sz w:val="24"/>
          <w:szCs w:val="24"/>
        </w:rPr>
        <w:t xml:space="preserve"> 徐以骅从宗教与国际关系视角，讨论了基督教中国化在国际传播中的战略意义。</w:t>
      </w:r>
      <w:r>
        <w:rPr>
          <w:rStyle w:val="29"/>
          <w:rFonts w:hint="eastAsia" w:ascii="宋体" w:hAnsi="宋体" w:eastAsia="宋体" w:cs="宋体"/>
          <w:sz w:val="24"/>
          <w:szCs w:val="24"/>
        </w:rPr>
        <w:footnoteReference w:id="32"/>
      </w:r>
      <w:r>
        <w:rPr>
          <w:rFonts w:hint="eastAsia" w:ascii="宋体" w:hAnsi="宋体" w:eastAsia="宋体" w:cs="宋体"/>
          <w:sz w:val="24"/>
          <w:szCs w:val="24"/>
        </w:rPr>
        <w:t xml:space="preserve"> 游斌从圣经诠释学角度，探讨了基督教经典在汉语语境中的翻译与诠释问题。</w:t>
      </w:r>
      <w:r>
        <w:rPr>
          <w:rStyle w:val="29"/>
          <w:rFonts w:hint="eastAsia" w:ascii="宋体" w:hAnsi="宋体" w:eastAsia="宋体" w:cs="宋体"/>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sz w:val="24"/>
          <w:szCs w:val="24"/>
        </w:rPr>
        <w:footnoteReference w:id="34"/>
      </w:r>
      <w:r>
        <w:rPr>
          <w:rFonts w:hint="eastAsia" w:ascii="宋体" w:hAnsi="宋体" w:eastAsia="宋体" w:cs="宋体"/>
          <w:sz w:val="24"/>
          <w:szCs w:val="24"/>
        </w:rPr>
        <w:t xml:space="preserve"> 李平晔从神学角度，探讨了基督教伦理与社会主义道德建设的对话空间。</w:t>
      </w:r>
      <w:r>
        <w:rPr>
          <w:rStyle w:val="29"/>
          <w:rFonts w:hint="eastAsia" w:ascii="宋体" w:hAnsi="宋体" w:eastAsia="宋体" w:cs="宋体"/>
          <w:sz w:val="24"/>
          <w:szCs w:val="24"/>
        </w:rPr>
        <w:footnoteReference w:id="35"/>
      </w:r>
      <w:r>
        <w:rPr>
          <w:rFonts w:hint="eastAsia" w:ascii="宋体" w:hAnsi="宋体" w:eastAsia="宋体" w:cs="宋体"/>
          <w:sz w:val="24"/>
          <w:szCs w:val="24"/>
        </w:rPr>
        <w:t xml:space="preserve"> 赵敦华从基督教哲学角度，分析了基督教伦理与中华传统美德的相通性。</w:t>
      </w:r>
      <w:r>
        <w:rPr>
          <w:rStyle w:val="29"/>
          <w:rFonts w:hint="eastAsia" w:ascii="宋体" w:hAnsi="宋体" w:eastAsia="宋体" w:cs="宋体"/>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近年来，宗教中国化研究进入深化阶段。2023年，中国基督教全国两会发布《深入推进我国基督教中国化五年工作规划纲要（2023-2027年）》，明确提出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以社会主义核心价值观为引领，用中华优秀传统文化浸润，逐步构建具有中国教会特色的神学思想体系</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37"/>
      </w:r>
      <w:r>
        <w:rPr>
          <w:rFonts w:hint="eastAsia" w:ascii="宋体" w:hAnsi="宋体" w:eastAsia="宋体" w:cs="宋体"/>
          <w:sz w:val="24"/>
          <w:szCs w:val="24"/>
        </w:rPr>
        <w:t xml:space="preserve"> 2024年，基督教全国两会提出年度工作要点，强调将社会主义核心价值观融入神学思考、教会秩序和具体事工中，体现在信徒的信仰实践和日常生活中。</w:t>
      </w:r>
      <w:r>
        <w:rPr>
          <w:rStyle w:val="29"/>
          <w:rFonts w:hint="eastAsia" w:ascii="宋体" w:hAnsi="宋体" w:eastAsia="宋体" w:cs="宋体"/>
          <w:sz w:val="24"/>
          <w:szCs w:val="24"/>
        </w:rPr>
        <w:footnoteReference w:id="38"/>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sz w:val="24"/>
          <w:szCs w:val="24"/>
        </w:rPr>
        <w:footnoteReference w:id="39"/>
      </w:r>
      <w:r>
        <w:rPr>
          <w:rFonts w:hint="eastAsia" w:ascii="宋体" w:hAnsi="宋体" w:eastAsia="宋体" w:cs="宋体"/>
          <w:sz w:val="24"/>
          <w:szCs w:val="24"/>
        </w:rPr>
        <w:t xml:space="preserve"> 赵卫红探讨了将</w:t>
      </w:r>
      <w:r>
        <w:rPr>
          <w:rFonts w:hint="eastAsia" w:ascii="宋体" w:hAnsi="宋体" w:eastAsia="宋体" w:cs="宋体"/>
          <w:sz w:val="24"/>
          <w:szCs w:val="24"/>
          <w:lang w:eastAsia="zh-CN"/>
        </w:rPr>
        <w:t>“</w:t>
      </w:r>
      <w:r>
        <w:rPr>
          <w:rFonts w:hint="eastAsia" w:ascii="宋体" w:hAnsi="宋体" w:eastAsia="宋体" w:cs="宋体"/>
          <w:sz w:val="24"/>
          <w:szCs w:val="24"/>
        </w:rPr>
        <w:t>四史</w:t>
      </w:r>
      <w:r>
        <w:rPr>
          <w:rFonts w:hint="eastAsia" w:ascii="宋体" w:hAnsi="宋体" w:eastAsia="宋体" w:cs="宋体"/>
          <w:sz w:val="24"/>
          <w:szCs w:val="24"/>
          <w:lang w:eastAsia="zh-CN"/>
        </w:rPr>
        <w:t>”</w:t>
      </w:r>
      <w:r>
        <w:rPr>
          <w:rFonts w:hint="eastAsia" w:ascii="宋体" w:hAnsi="宋体" w:eastAsia="宋体" w:cs="宋体"/>
          <w:sz w:val="24"/>
          <w:szCs w:val="24"/>
        </w:rPr>
        <w:t>教育融入基督教神学教育、推动基督教中国化走深走实的路径。</w:t>
      </w:r>
      <w:r>
        <w:rPr>
          <w:rStyle w:val="29"/>
          <w:rFonts w:hint="eastAsia" w:ascii="宋体" w:hAnsi="宋体" w:eastAsia="宋体" w:cs="宋体"/>
          <w:sz w:val="24"/>
          <w:szCs w:val="24"/>
        </w:rPr>
        <w:footnoteReference w:id="40"/>
      </w:r>
      <w:r>
        <w:rPr>
          <w:rFonts w:hint="eastAsia" w:ascii="宋体" w:hAnsi="宋体" w:eastAsia="宋体" w:cs="宋体"/>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sz w:val="24"/>
          <w:szCs w:val="24"/>
        </w:rPr>
        <w:footnoteReference w:id="41"/>
      </w:r>
      <w:r>
        <w:rPr>
          <w:rFonts w:hint="eastAsia" w:ascii="宋体" w:hAnsi="宋体" w:eastAsia="宋体" w:cs="宋体"/>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sz w:val="24"/>
          <w:szCs w:val="24"/>
        </w:rPr>
        <w:footnoteReference w:id="43"/>
      </w:r>
      <w:r>
        <w:rPr>
          <w:rFonts w:hint="eastAsia" w:ascii="宋体" w:hAnsi="宋体" w:eastAsia="宋体" w:cs="宋体"/>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sz w:val="24"/>
          <w:szCs w:val="24"/>
        </w:rPr>
        <w:footnoteReference w:id="44"/>
      </w:r>
      <w:r>
        <w:rPr>
          <w:rFonts w:hint="eastAsia" w:ascii="宋体" w:hAnsi="宋体" w:eastAsia="宋体" w:cs="宋体"/>
          <w:sz w:val="24"/>
          <w:szCs w:val="24"/>
        </w:rPr>
        <w:t xml:space="preserve"> 陈金羽对Q教会服务队与社会工作融合的研究，发现宗教标识的刻意展示会显著降低非信众的接受度。</w:t>
      </w:r>
      <w:r>
        <w:rPr>
          <w:rStyle w:val="29"/>
          <w:rFonts w:hint="eastAsia" w:ascii="宋体" w:hAnsi="宋体" w:eastAsia="宋体" w:cs="宋体"/>
          <w:sz w:val="24"/>
          <w:szCs w:val="24"/>
        </w:rPr>
        <w:footnoteReference w:id="45"/>
      </w:r>
    </w:p>
    <w:p w14:paraId="436D186F">
      <w:pPr>
        <w:pStyle w:val="4"/>
        <w:bidi w:val="0"/>
        <w:rPr>
          <w:rFonts w:hint="eastAsia"/>
          <w:lang w:val="en-US" w:eastAsia="zh-CN"/>
        </w:rPr>
      </w:pPr>
      <w:bookmarkStart w:id="105" w:name="_Toc1629336835"/>
      <w:bookmarkStart w:id="106" w:name="_Toc1363018965"/>
      <w:bookmarkStart w:id="107" w:name="_Toc507979910"/>
      <w:bookmarkStart w:id="108" w:name="_Toc1671997558"/>
      <w:bookmarkStart w:id="109" w:name="_Toc649108000"/>
      <w:bookmarkStart w:id="110" w:name="_Toc1767247165"/>
      <w:bookmarkStart w:id="111" w:name="_Toc1529839183"/>
      <w:r>
        <w:rPr>
          <w:rFonts w:hint="eastAsia"/>
          <w:lang w:val="en-US" w:eastAsia="zh-CN"/>
        </w:rPr>
        <w:t>四、现有研究的贡献与不足</w:t>
      </w:r>
      <w:bookmarkEnd w:id="105"/>
      <w:bookmarkEnd w:id="106"/>
      <w:bookmarkEnd w:id="107"/>
      <w:bookmarkEnd w:id="108"/>
      <w:bookmarkEnd w:id="109"/>
      <w:bookmarkEnd w:id="110"/>
      <w:bookmarkEnd w:id="111"/>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本文正是针对上述研究缺口，在</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bidi w:val="0"/>
        <w:rPr>
          <w:rFonts w:hint="eastAsia"/>
          <w:lang w:val="en-US" w:eastAsia="zh-CN"/>
        </w:rPr>
      </w:pPr>
      <w:bookmarkStart w:id="112" w:name="_Toc1700202948"/>
      <w:bookmarkStart w:id="113" w:name="_Toc1051682206"/>
      <w:bookmarkStart w:id="114" w:name="_Toc1439436311"/>
      <w:bookmarkStart w:id="115" w:name="_Toc1370850545"/>
      <w:bookmarkStart w:id="116" w:name="_Toc341229240"/>
      <w:bookmarkStart w:id="117" w:name="_Toc276780498"/>
      <w:bookmarkStart w:id="118" w:name="_Toc185443150"/>
      <w:r>
        <w:rPr>
          <w:rFonts w:hint="eastAsia"/>
          <w:lang w:val="en-US" w:eastAsia="zh-CN"/>
        </w:rPr>
        <w:t>第三节 研究意义</w:t>
      </w:r>
      <w:bookmarkEnd w:id="112"/>
      <w:bookmarkEnd w:id="113"/>
      <w:bookmarkEnd w:id="114"/>
      <w:bookmarkEnd w:id="115"/>
      <w:bookmarkEnd w:id="116"/>
      <w:bookmarkEnd w:id="117"/>
      <w:bookmarkEnd w:id="118"/>
    </w:p>
    <w:p w14:paraId="7E7E3129">
      <w:pPr>
        <w:pStyle w:val="4"/>
        <w:bidi w:val="0"/>
        <w:rPr>
          <w:rFonts w:hint="eastAsia"/>
          <w:lang w:val="en-US" w:eastAsia="zh-CN"/>
        </w:rPr>
      </w:pPr>
      <w:bookmarkStart w:id="119" w:name="_Toc893540054"/>
      <w:bookmarkStart w:id="120" w:name="_Toc1680544799"/>
      <w:bookmarkStart w:id="121" w:name="_Toc1202795522"/>
      <w:bookmarkStart w:id="122" w:name="_Toc1832421432"/>
      <w:bookmarkStart w:id="123" w:name="_Toc1258499190"/>
      <w:bookmarkStart w:id="124" w:name="_Toc400250484"/>
      <w:bookmarkStart w:id="125" w:name="_Toc744250253"/>
      <w:r>
        <w:rPr>
          <w:rFonts w:hint="eastAsia"/>
          <w:lang w:val="en-US" w:eastAsia="zh-CN"/>
        </w:rPr>
        <w:t>一、理论意义</w:t>
      </w:r>
      <w:bookmarkEnd w:id="119"/>
      <w:bookmarkEnd w:id="120"/>
      <w:bookmarkEnd w:id="121"/>
      <w:bookmarkEnd w:id="122"/>
      <w:bookmarkEnd w:id="123"/>
      <w:bookmarkEnd w:id="124"/>
      <w:bookmarkEnd w:id="125"/>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sz w:val="24"/>
          <w:szCs w:val="24"/>
          <w:lang w:eastAsia="zh-CN"/>
        </w:rPr>
        <w:t>“</w:t>
      </w:r>
      <w:r>
        <w:rPr>
          <w:rFonts w:hint="eastAsia" w:ascii="宋体" w:hAnsi="宋体" w:eastAsia="宋体" w:cs="宋体"/>
          <w:sz w:val="24"/>
          <w:szCs w:val="24"/>
        </w:rPr>
        <w:t>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第二，将文化翻译理论应用于宗教本土化场景。本文将Bhabha关于文化互动中生成新意义的分析框架，以及刘耘华关于</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跨文化诠释的研究，延伸至当代宗教中国化语境，形成具有历史连续性的文化翻译谱系。</w:t>
      </w:r>
      <w:r>
        <w:rPr>
          <w:rStyle w:val="29"/>
          <w:rFonts w:hint="eastAsia" w:ascii="宋体" w:hAnsi="宋体" w:eastAsia="宋体" w:cs="宋体"/>
          <w:sz w:val="24"/>
          <w:szCs w:val="24"/>
        </w:rPr>
        <w:footnoteReference w:id="46"/>
      </w:r>
      <w:r>
        <w:rPr>
          <w:rStyle w:val="29"/>
          <w:rFonts w:hint="eastAsia" w:ascii="宋体" w:hAnsi="宋体" w:eastAsia="宋体" w:cs="宋体"/>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第三，对处境化神学理论的社会主义语境创新。本文借鉴Bevans的处境化神学模型与Schreiter的本土神学建构理论，提出</w:t>
      </w:r>
      <w:r>
        <w:rPr>
          <w:rFonts w:hint="eastAsia" w:ascii="宋体" w:hAnsi="宋体" w:eastAsia="宋体" w:cs="宋体"/>
          <w:sz w:val="24"/>
          <w:szCs w:val="24"/>
          <w:lang w:eastAsia="zh-CN"/>
        </w:rPr>
        <w:t>“</w:t>
      </w:r>
      <w:r>
        <w:rPr>
          <w:rFonts w:hint="eastAsia" w:ascii="宋体" w:hAnsi="宋体" w:eastAsia="宋体" w:cs="宋体"/>
          <w:sz w:val="24"/>
          <w:szCs w:val="24"/>
        </w:rPr>
        <w:t>社会主义核心价值观引领下的处境化诠释</w:t>
      </w:r>
      <w:r>
        <w:rPr>
          <w:rFonts w:hint="eastAsia" w:ascii="宋体" w:hAnsi="宋体" w:eastAsia="宋体" w:cs="宋体"/>
          <w:sz w:val="24"/>
          <w:szCs w:val="24"/>
          <w:lang w:eastAsia="zh-CN"/>
        </w:rPr>
        <w:t>”</w:t>
      </w:r>
      <w:r>
        <w:rPr>
          <w:rFonts w:hint="eastAsia" w:ascii="宋体" w:hAnsi="宋体" w:eastAsia="宋体" w:cs="宋体"/>
          <w:sz w:val="24"/>
          <w:szCs w:val="24"/>
        </w:rPr>
        <w:t>概念，为基督教教义的中国化阐释提供新的方法论工具。</w:t>
      </w:r>
      <w:r>
        <w:rPr>
          <w:rStyle w:val="29"/>
          <w:rFonts w:hint="eastAsia" w:ascii="宋体" w:hAnsi="宋体" w:eastAsia="宋体" w:cs="宋体"/>
          <w:sz w:val="24"/>
          <w:szCs w:val="24"/>
        </w:rPr>
        <w:footnoteReference w:id="48"/>
      </w:r>
      <w:r>
        <w:rPr>
          <w:rStyle w:val="29"/>
          <w:rFonts w:hint="eastAsia" w:ascii="宋体" w:hAnsi="宋体" w:eastAsia="宋体" w:cs="宋体"/>
          <w:sz w:val="24"/>
          <w:szCs w:val="24"/>
        </w:rPr>
        <w:footnoteReference w:id="49"/>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这一创新回应了2023年《纲要》关于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的政策要求，填补了理论到实践的转化空白。</w:t>
      </w:r>
    </w:p>
    <w:p w14:paraId="05748294">
      <w:pPr>
        <w:pStyle w:val="4"/>
        <w:bidi w:val="0"/>
        <w:rPr>
          <w:rFonts w:hint="eastAsia"/>
          <w:lang w:val="en-US" w:eastAsia="zh-CN"/>
        </w:rPr>
      </w:pPr>
      <w:bookmarkStart w:id="126" w:name="_Toc444025997"/>
      <w:bookmarkStart w:id="127" w:name="_Toc374544107"/>
      <w:bookmarkStart w:id="128" w:name="_Toc1120769043"/>
      <w:bookmarkStart w:id="129" w:name="_Toc1211511449"/>
      <w:bookmarkStart w:id="130" w:name="_Toc1029447027"/>
      <w:bookmarkStart w:id="131" w:name="_Toc1091102184"/>
      <w:bookmarkStart w:id="132" w:name="_Toc1669242043"/>
      <w:r>
        <w:rPr>
          <w:rFonts w:hint="eastAsia"/>
          <w:lang w:val="en-US" w:eastAsia="zh-CN"/>
        </w:rPr>
        <w:t>二、实践意义</w:t>
      </w:r>
      <w:bookmarkEnd w:id="126"/>
      <w:bookmarkEnd w:id="127"/>
      <w:bookmarkEnd w:id="128"/>
      <w:bookmarkEnd w:id="129"/>
      <w:bookmarkEnd w:id="130"/>
      <w:bookmarkEnd w:id="131"/>
      <w:bookmarkEnd w:id="132"/>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第三，为</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人才培养提供学术范式参考。本文在研究中充分体现</w:t>
      </w:r>
      <w:r>
        <w:rPr>
          <w:rFonts w:hint="eastAsia" w:ascii="宋体" w:hAnsi="宋体" w:eastAsia="宋体" w:cs="宋体"/>
          <w:sz w:val="24"/>
          <w:szCs w:val="24"/>
          <w:lang w:eastAsia="zh-CN"/>
        </w:rPr>
        <w:t>“</w:t>
      </w:r>
      <w:r>
        <w:rPr>
          <w:rFonts w:hint="eastAsia" w:ascii="宋体" w:hAnsi="宋体" w:eastAsia="宋体" w:cs="宋体"/>
          <w:sz w:val="24"/>
          <w:szCs w:val="24"/>
        </w:rPr>
        <w:t>政治上靠得住、文化上有自觉、教义诠释有创新、价值引领有实效</w:t>
      </w:r>
      <w:r>
        <w:rPr>
          <w:rFonts w:hint="eastAsia" w:ascii="宋体" w:hAnsi="宋体" w:eastAsia="宋体" w:cs="宋体"/>
          <w:sz w:val="24"/>
          <w:szCs w:val="24"/>
          <w:lang w:eastAsia="zh-CN"/>
        </w:rPr>
        <w:t>”</w:t>
      </w:r>
      <w:r>
        <w:rPr>
          <w:rFonts w:hint="eastAsia" w:ascii="宋体" w:hAnsi="宋体" w:eastAsia="宋体" w:cs="宋体"/>
          <w:sz w:val="24"/>
          <w:szCs w:val="24"/>
        </w:rPr>
        <w:t>的培养目标，为未来宗教界骨干人才的学术研究提供可资借鉴的范式。特别是基于浙江本地案例的分析，为浙江乃至全国基督教中国化实践提供了区域经验。</w:t>
      </w:r>
    </w:p>
    <w:p w14:paraId="27B0BF12">
      <w:pPr>
        <w:pStyle w:val="3"/>
        <w:bidi w:val="0"/>
        <w:rPr>
          <w:rFonts w:hint="eastAsia"/>
          <w:lang w:val="en-US" w:eastAsia="zh-CN"/>
        </w:rPr>
      </w:pPr>
      <w:bookmarkStart w:id="133" w:name="_Toc239258254"/>
      <w:bookmarkStart w:id="134" w:name="_Toc688236992"/>
      <w:bookmarkStart w:id="135" w:name="_Toc1580466136"/>
      <w:bookmarkStart w:id="136" w:name="_Toc1186237864"/>
      <w:bookmarkStart w:id="137" w:name="_Toc1787922557"/>
      <w:bookmarkStart w:id="138" w:name="_Toc791544755"/>
      <w:bookmarkStart w:id="139" w:name="_Toc224652293"/>
      <w:r>
        <w:rPr>
          <w:rFonts w:hint="eastAsia"/>
          <w:lang w:val="en-US" w:eastAsia="zh-CN"/>
        </w:rPr>
        <w:t>第四节 研究思路、方法与创新点</w:t>
      </w:r>
      <w:bookmarkEnd w:id="133"/>
      <w:bookmarkEnd w:id="134"/>
      <w:bookmarkEnd w:id="135"/>
      <w:bookmarkEnd w:id="136"/>
      <w:bookmarkEnd w:id="137"/>
      <w:bookmarkEnd w:id="138"/>
      <w:bookmarkEnd w:id="139"/>
    </w:p>
    <w:p w14:paraId="0028FD14">
      <w:pPr>
        <w:pStyle w:val="4"/>
        <w:bidi w:val="0"/>
        <w:rPr>
          <w:rFonts w:hint="eastAsia"/>
          <w:lang w:val="en-US" w:eastAsia="zh-CN"/>
        </w:rPr>
      </w:pPr>
      <w:bookmarkStart w:id="140" w:name="_Toc669118009"/>
      <w:bookmarkStart w:id="141" w:name="_Toc2009085147"/>
      <w:bookmarkStart w:id="142" w:name="_Toc852201802"/>
      <w:bookmarkStart w:id="143" w:name="_Toc1124087794"/>
      <w:bookmarkStart w:id="144" w:name="_Toc2023226675"/>
      <w:bookmarkStart w:id="145" w:name="_Toc1978987767"/>
      <w:bookmarkStart w:id="146" w:name="_Toc454837025"/>
      <w:r>
        <w:rPr>
          <w:rFonts w:hint="eastAsia"/>
          <w:lang w:val="en-US" w:eastAsia="zh-CN"/>
        </w:rPr>
        <w:t>一、整体研究框架</w:t>
      </w:r>
      <w:bookmarkEnd w:id="140"/>
      <w:bookmarkEnd w:id="141"/>
      <w:bookmarkEnd w:id="142"/>
      <w:bookmarkEnd w:id="143"/>
      <w:bookmarkEnd w:id="144"/>
      <w:bookmarkEnd w:id="145"/>
      <w:bookmarkEnd w:id="146"/>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本文的整体研究沿着</w:t>
      </w:r>
      <w:r>
        <w:rPr>
          <w:rFonts w:hint="eastAsia" w:ascii="宋体" w:hAnsi="宋体" w:eastAsia="宋体" w:cs="宋体"/>
          <w:sz w:val="24"/>
          <w:szCs w:val="24"/>
          <w:lang w:eastAsia="zh-CN"/>
        </w:rPr>
        <w:t>“</w:t>
      </w:r>
      <w:r>
        <w:rPr>
          <w:rFonts w:hint="eastAsia" w:ascii="宋体" w:hAnsi="宋体" w:eastAsia="宋体" w:cs="宋体"/>
          <w:sz w:val="24"/>
          <w:szCs w:val="24"/>
        </w:rPr>
        <w:t>文献综述与概念界定—融合可行性论证—现实障碍梳理—实践路径构建—研究总结展望</w:t>
      </w:r>
      <w:r>
        <w:rPr>
          <w:rFonts w:hint="eastAsia" w:ascii="宋体" w:hAnsi="宋体" w:eastAsia="宋体" w:cs="宋体"/>
          <w:sz w:val="24"/>
          <w:szCs w:val="24"/>
          <w:lang w:eastAsia="zh-CN"/>
        </w:rPr>
        <w:t>”</w:t>
      </w:r>
      <w:r>
        <w:rPr>
          <w:rFonts w:hint="eastAsia" w:ascii="宋体" w:hAnsi="宋体" w:eastAsia="宋体" w:cs="宋体"/>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lang w:val="en-US" w:eastAsia="zh-CN"/>
        </w:rPr>
      </w:pPr>
      <w:bookmarkStart w:id="147" w:name="_Toc1387244371"/>
      <w:bookmarkStart w:id="148" w:name="_Toc1808683848"/>
      <w:bookmarkStart w:id="149" w:name="_Toc1129911099"/>
      <w:bookmarkStart w:id="150" w:name="_Toc1642001571"/>
      <w:bookmarkStart w:id="151" w:name="_Toc1114660127"/>
      <w:bookmarkStart w:id="152" w:name="_Toc620675233"/>
      <w:bookmarkStart w:id="153" w:name="_Toc1551579502"/>
      <w:r>
        <w:rPr>
          <w:rFonts w:hint="eastAsia"/>
          <w:lang w:val="en-US" w:eastAsia="zh-CN"/>
        </w:rPr>
        <w:t>二、核心研究方法</w:t>
      </w:r>
      <w:bookmarkEnd w:id="147"/>
      <w:bookmarkEnd w:id="148"/>
      <w:bookmarkEnd w:id="149"/>
      <w:bookmarkEnd w:id="150"/>
      <w:bookmarkEnd w:id="151"/>
      <w:bookmarkEnd w:id="152"/>
      <w:bookmarkEnd w:id="153"/>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第二，历史比较法。考察了基督教仁爱观念从早期教会的Agape传统到明清耶稣会士</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第四，跨文化诠释法。借鉴刘耘华、Roger Ames、Tu Weiming等学者的跨文化比较方法，对基督教Agape与儒家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进行语义分析、结构比较与实践对接，探索</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中的创造性诠释可能。</w:t>
      </w:r>
    </w:p>
    <w:p w14:paraId="679BE087">
      <w:pPr>
        <w:pStyle w:val="4"/>
        <w:bidi w:val="0"/>
        <w:rPr>
          <w:rFonts w:hint="eastAsia"/>
          <w:lang w:val="en-US" w:eastAsia="zh-CN"/>
        </w:rPr>
      </w:pPr>
      <w:bookmarkStart w:id="154" w:name="_Toc918410051"/>
      <w:bookmarkStart w:id="155" w:name="_Toc186187918"/>
      <w:bookmarkStart w:id="156" w:name="_Toc1955539847"/>
      <w:bookmarkStart w:id="157" w:name="_Toc217950472"/>
      <w:bookmarkStart w:id="158" w:name="_Toc1592901708"/>
      <w:bookmarkStart w:id="159" w:name="_Toc1360567552"/>
      <w:bookmarkStart w:id="160" w:name="_Toc502764593"/>
      <w:r>
        <w:rPr>
          <w:rFonts w:hint="eastAsia"/>
          <w:lang w:val="en-US" w:eastAsia="zh-CN"/>
        </w:rPr>
        <w:t>三、主要创新点</w:t>
      </w:r>
      <w:bookmarkEnd w:id="154"/>
      <w:bookmarkEnd w:id="155"/>
      <w:bookmarkEnd w:id="156"/>
      <w:bookmarkEnd w:id="157"/>
      <w:bookmarkEnd w:id="158"/>
      <w:bookmarkEnd w:id="159"/>
      <w:bookmarkEnd w:id="160"/>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本文的创新点主要体现在四个方面：第一，理论框架的创新。首次将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政治框架、Bhabha</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文化翻译理论、Rawls</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政治哲学与Bevans</w:t>
      </w:r>
      <w:r>
        <w:rPr>
          <w:rFonts w:hint="eastAsia" w:ascii="宋体" w:hAnsi="宋体" w:eastAsia="宋体" w:cs="宋体"/>
          <w:sz w:val="24"/>
          <w:szCs w:val="24"/>
          <w:lang w:eastAsia="zh-CN"/>
        </w:rPr>
        <w:t>“</w:t>
      </w:r>
      <w:r>
        <w:rPr>
          <w:rFonts w:hint="eastAsia" w:ascii="宋体" w:hAnsi="宋体" w:eastAsia="宋体" w:cs="宋体"/>
          <w:sz w:val="24"/>
          <w:szCs w:val="24"/>
        </w:rPr>
        <w:t>处境化神学</w:t>
      </w:r>
      <w:r>
        <w:rPr>
          <w:rFonts w:hint="eastAsia" w:ascii="宋体" w:hAnsi="宋体" w:eastAsia="宋体" w:cs="宋体"/>
          <w:sz w:val="24"/>
          <w:szCs w:val="24"/>
          <w:lang w:eastAsia="zh-CN"/>
        </w:rPr>
        <w:t>”</w:t>
      </w:r>
      <w:r>
        <w:rPr>
          <w:rFonts w:hint="eastAsia" w:ascii="宋体" w:hAnsi="宋体" w:eastAsia="宋体" w:cs="宋体"/>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第二，教义诠释方案的创新。提出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的差序推扩逻辑与基督教Agape的普遍主义进行辩证统一，设计出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的三层诠释结构，为当代基督教讲道、神学思想建设提供可直接应用的方法论。这一方案直接回应了2023年《纲要》关于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第三，转化机制的创新。提出</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的分层浸润机制，针对不同年龄、文化程度、地域特征的信众群体，设计差异化的教育引导策略，避免</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的形式主义。特别设计了浙江神学院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爱心培养理念与</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需要特别说明的是，</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不仅是本文的政治前提，更是贯穿全文的分析尺度。在第三章的契合性分析中，</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构成价值追求契合的政治基础；</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构成文化内核契合的历史根基；</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则构成实践转化路径的制度保障。本文在教义阐释、教育引导、实践转化与制度保障四维路径的设计中，始终以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sz w:val="24"/>
          <w:szCs w:val="24"/>
        </w:rPr>
        <w:br w:type="page"/>
      </w:r>
    </w:p>
    <w:p w14:paraId="6EEF3911">
      <w:pPr>
        <w:pStyle w:val="2"/>
        <w:bidi w:val="0"/>
        <w:rPr>
          <w:rFonts w:hint="eastAsia"/>
          <w:lang w:val="en-US" w:eastAsia="zh-CN"/>
        </w:rPr>
      </w:pPr>
      <w:bookmarkStart w:id="161" w:name="_Toc1668474841"/>
      <w:bookmarkStart w:id="162" w:name="_Toc1633964769"/>
      <w:bookmarkStart w:id="163" w:name="_Toc1752756168"/>
      <w:bookmarkStart w:id="164" w:name="_Toc376664147"/>
      <w:bookmarkStart w:id="165" w:name="_Toc1367862854"/>
      <w:bookmarkStart w:id="166" w:name="_Toc652973208"/>
      <w:bookmarkStart w:id="167" w:name="_Toc1763847253"/>
      <w:r>
        <w:rPr>
          <w:rFonts w:hint="eastAsia"/>
          <w:lang w:val="en-US" w:eastAsia="zh-CN"/>
        </w:rPr>
        <w:t>二、</w:t>
      </w:r>
      <w:r>
        <w:rPr>
          <w:rFonts w:hint="eastAsia"/>
        </w:rPr>
        <w:t>核心概念界定与理论基础</w:t>
      </w:r>
      <w:bookmarkEnd w:id="161"/>
      <w:bookmarkEnd w:id="162"/>
      <w:bookmarkEnd w:id="163"/>
      <w:bookmarkEnd w:id="164"/>
      <w:bookmarkEnd w:id="165"/>
      <w:bookmarkEnd w:id="166"/>
      <w:bookmarkEnd w:id="167"/>
    </w:p>
    <w:p w14:paraId="1479F8BC">
      <w:pPr>
        <w:pStyle w:val="3"/>
        <w:bidi w:val="0"/>
        <w:rPr>
          <w:rFonts w:hint="eastAsia"/>
          <w:lang w:val="en-US" w:eastAsia="zh-CN"/>
        </w:rPr>
      </w:pPr>
      <w:bookmarkStart w:id="168" w:name="_Toc24994747"/>
      <w:bookmarkStart w:id="169" w:name="_Toc1960010920"/>
      <w:bookmarkStart w:id="170" w:name="_Toc1539729677"/>
      <w:bookmarkStart w:id="171" w:name="_Toc215190161"/>
      <w:bookmarkStart w:id="172" w:name="_Toc858546043"/>
      <w:bookmarkStart w:id="173" w:name="_Toc879270686"/>
      <w:bookmarkStart w:id="174" w:name="_Toc1116517983"/>
      <w:r>
        <w:rPr>
          <w:rFonts w:hint="eastAsia"/>
          <w:lang w:val="en-US" w:eastAsia="zh-CN"/>
        </w:rPr>
        <w:t xml:space="preserve">第一节 </w:t>
      </w:r>
      <w:r>
        <w:rPr>
          <w:rFonts w:hint="eastAsia"/>
        </w:rPr>
        <w:t>基督教仁爱观念的核心内涵与历史演进</w:t>
      </w:r>
      <w:bookmarkEnd w:id="168"/>
      <w:bookmarkEnd w:id="169"/>
      <w:bookmarkEnd w:id="170"/>
      <w:bookmarkEnd w:id="171"/>
      <w:bookmarkEnd w:id="172"/>
      <w:bookmarkEnd w:id="173"/>
      <w:bookmarkEnd w:id="174"/>
    </w:p>
    <w:p w14:paraId="7DDB9437">
      <w:pPr>
        <w:pStyle w:val="4"/>
        <w:bidi w:val="0"/>
        <w:rPr>
          <w:rFonts w:hint="eastAsia"/>
          <w:lang w:val="en-US" w:eastAsia="zh-CN"/>
        </w:rPr>
      </w:pPr>
      <w:bookmarkStart w:id="175" w:name="_Toc1651871107"/>
      <w:bookmarkStart w:id="176" w:name="_Toc1058734989"/>
      <w:bookmarkStart w:id="177" w:name="_Toc1327401664"/>
      <w:bookmarkStart w:id="178" w:name="_Toc338574379"/>
      <w:bookmarkStart w:id="179" w:name="_Toc640720508"/>
      <w:bookmarkStart w:id="180" w:name="_Toc1067444595"/>
      <w:bookmarkStart w:id="181" w:name="_Toc605632795"/>
      <w:r>
        <w:rPr>
          <w:rFonts w:hint="eastAsia"/>
          <w:lang w:val="en-US" w:eastAsia="zh-CN"/>
        </w:rPr>
        <w:t>一、</w:t>
      </w:r>
      <w:r>
        <w:rPr>
          <w:rFonts w:hint="eastAsia"/>
        </w:rPr>
        <w:t>Agape的神学本源：从希腊语汇到基督教伦理</w:t>
      </w:r>
      <w:bookmarkEnd w:id="175"/>
      <w:bookmarkEnd w:id="176"/>
      <w:bookmarkEnd w:id="177"/>
      <w:bookmarkEnd w:id="178"/>
      <w:bookmarkEnd w:id="179"/>
      <w:bookmarkEnd w:id="180"/>
      <w:bookmarkEnd w:id="181"/>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本源内涵根植于其经典教义体系，核心表述“爱神”与“爱人”构成了一个不可分割的有机整体。在《圣经》的文本脉络里，这一观念并非简单的伦理倡导，而是源于神圣启示并以上帝之爱为终极典范的信仰实践。《马太福音》记载耶稣将“尽心、尽性、尽意爱主你的神”与“爱人如己”并列为最大的诫命（太22:37-39），这确立了仁爱观念的双重维度。</w:t>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ascii="宋体" w:hAnsi="宋体" w:eastAsia="宋体" w:cs="宋体"/>
          <w:sz w:val="24"/>
          <w:szCs w:val="24"/>
          <w:lang w:eastAsia="zh-CN"/>
        </w:rPr>
        <w:t>“</w:t>
      </w:r>
      <w:r>
        <w:rPr>
          <w:rFonts w:hint="eastAsia" w:ascii="宋体" w:hAnsi="宋体" w:eastAsia="宋体" w:cs="宋体"/>
          <w:sz w:val="24"/>
          <w:szCs w:val="24"/>
        </w:rPr>
        <w:t>Agape</w:t>
      </w:r>
      <w:r>
        <w:rPr>
          <w:rFonts w:hint="eastAsia" w:ascii="宋体" w:hAnsi="宋体" w:eastAsia="宋体" w:cs="宋体"/>
          <w:sz w:val="24"/>
          <w:szCs w:val="24"/>
          <w:lang w:eastAsia="zh-CN"/>
        </w:rPr>
        <w:t>”</w:t>
      </w:r>
      <w:r>
        <w:rPr>
          <w:rFonts w:hint="eastAsia" w:ascii="宋体" w:hAnsi="宋体" w:eastAsia="宋体" w:cs="宋体"/>
          <w:sz w:val="24"/>
          <w:szCs w:val="24"/>
        </w:rPr>
        <w:t>（ἀγάπη）指称。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Anders Nygren在《圣爱与欲爱》中严格区分了Agape与Eros：Agape是</w:t>
      </w:r>
      <w:r>
        <w:rPr>
          <w:rFonts w:hint="eastAsia" w:ascii="宋体" w:hAnsi="宋体" w:eastAsia="宋体" w:cs="宋体"/>
          <w:sz w:val="24"/>
          <w:szCs w:val="24"/>
          <w:lang w:eastAsia="zh-CN"/>
        </w:rPr>
        <w:t>“</w:t>
      </w:r>
      <w:r>
        <w:rPr>
          <w:rFonts w:hint="eastAsia" w:ascii="宋体" w:hAnsi="宋体" w:eastAsia="宋体" w:cs="宋体"/>
          <w:sz w:val="24"/>
          <w:szCs w:val="24"/>
        </w:rPr>
        <w:t>自上而下的赐予</w:t>
      </w:r>
      <w:r>
        <w:rPr>
          <w:rFonts w:hint="eastAsia" w:ascii="宋体" w:hAnsi="宋体" w:eastAsia="宋体" w:cs="宋体"/>
          <w:sz w:val="24"/>
          <w:szCs w:val="24"/>
          <w:lang w:eastAsia="zh-CN"/>
        </w:rPr>
        <w:t>”</w:t>
      </w:r>
      <w:r>
        <w:rPr>
          <w:rFonts w:hint="eastAsia" w:ascii="宋体" w:hAnsi="宋体" w:eastAsia="宋体" w:cs="宋体"/>
          <w:sz w:val="24"/>
          <w:szCs w:val="24"/>
        </w:rPr>
        <w:t>，以上帝为唯一主体，具有无条件性和神圣性；Eros则是</w:t>
      </w:r>
      <w:r>
        <w:rPr>
          <w:rFonts w:hint="eastAsia" w:ascii="宋体" w:hAnsi="宋体" w:eastAsia="宋体" w:cs="宋体"/>
          <w:sz w:val="24"/>
          <w:szCs w:val="24"/>
          <w:lang w:eastAsia="zh-CN"/>
        </w:rPr>
        <w:t>“</w:t>
      </w:r>
      <w:r>
        <w:rPr>
          <w:rFonts w:hint="eastAsia" w:ascii="宋体" w:hAnsi="宋体" w:eastAsia="宋体" w:cs="宋体"/>
          <w:sz w:val="24"/>
          <w:szCs w:val="24"/>
        </w:rPr>
        <w:t>自下而上的追求</w:t>
      </w:r>
      <w:r>
        <w:rPr>
          <w:rFonts w:hint="eastAsia" w:ascii="宋体" w:hAnsi="宋体" w:eastAsia="宋体" w:cs="宋体"/>
          <w:sz w:val="24"/>
          <w:szCs w:val="24"/>
          <w:lang w:eastAsia="zh-CN"/>
        </w:rPr>
        <w:t>”</w:t>
      </w:r>
      <w:r>
        <w:rPr>
          <w:rFonts w:hint="eastAsia" w:ascii="宋体" w:hAnsi="宋体" w:eastAsia="宋体" w:cs="宋体"/>
          <w:sz w:val="24"/>
          <w:szCs w:val="24"/>
        </w:rPr>
        <w:t>，以人的需要为驱动力，具有条件性和世俗性。</w:t>
      </w:r>
      <w:r>
        <w:rPr>
          <w:rStyle w:val="29"/>
          <w:rFonts w:hint="eastAsia" w:ascii="宋体" w:hAnsi="宋体" w:eastAsia="宋体" w:cs="宋体"/>
          <w:sz w:val="24"/>
          <w:szCs w:val="24"/>
        </w:rPr>
        <w:footnoteReference w:id="50"/>
      </w:r>
      <w:r>
        <w:rPr>
          <w:rFonts w:hint="eastAsia" w:ascii="宋体" w:hAnsi="宋体" w:eastAsia="宋体" w:cs="宋体"/>
          <w:sz w:val="24"/>
          <w:szCs w:val="24"/>
        </w:rPr>
        <w:t xml:space="preserve"> 这一区分对理解基督教仁爱观念至关重要：其</w:t>
      </w:r>
      <w:r>
        <w:rPr>
          <w:rFonts w:hint="eastAsia" w:ascii="宋体" w:hAnsi="宋体" w:eastAsia="宋体" w:cs="宋体"/>
          <w:sz w:val="24"/>
          <w:szCs w:val="24"/>
          <w:lang w:eastAsia="zh-CN"/>
        </w:rPr>
        <w:t>“</w:t>
      </w:r>
      <w:r>
        <w:rPr>
          <w:rFonts w:hint="eastAsia" w:ascii="宋体" w:hAnsi="宋体" w:eastAsia="宋体" w:cs="宋体"/>
          <w:sz w:val="24"/>
          <w:szCs w:val="24"/>
        </w:rPr>
        <w:t>无条件性</w:t>
      </w:r>
      <w:r>
        <w:rPr>
          <w:rFonts w:hint="eastAsia" w:ascii="宋体" w:hAnsi="宋体" w:eastAsia="宋体" w:cs="宋体"/>
          <w:sz w:val="24"/>
          <w:szCs w:val="24"/>
          <w:lang w:eastAsia="zh-CN"/>
        </w:rPr>
        <w:t>”</w:t>
      </w:r>
      <w:r>
        <w:rPr>
          <w:rFonts w:hint="eastAsia" w:ascii="宋体" w:hAnsi="宋体" w:eastAsia="宋体" w:cs="宋体"/>
          <w:sz w:val="24"/>
          <w:szCs w:val="24"/>
        </w:rPr>
        <w:t>源于Agape的神学逻辑，而社会主义核心价值观的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则基于人的社会性需要，二者在本体论层面不可通约，但在伦理实践层面具有</w:t>
      </w:r>
      <w:r>
        <w:rPr>
          <w:rFonts w:hint="eastAsia" w:ascii="宋体" w:hAnsi="宋体" w:eastAsia="宋体" w:cs="宋体"/>
          <w:sz w:val="24"/>
          <w:szCs w:val="24"/>
          <w:lang w:eastAsia="zh-CN"/>
        </w:rPr>
        <w:t>“</w:t>
      </w:r>
      <w:r>
        <w:rPr>
          <w:rFonts w:hint="eastAsia" w:ascii="宋体" w:hAnsi="宋体" w:eastAsia="宋体" w:cs="宋体"/>
          <w:sz w:val="24"/>
          <w:szCs w:val="24"/>
        </w:rPr>
        <w:t>家族相似性</w:t>
      </w:r>
      <w:r>
        <w:rPr>
          <w:rFonts w:hint="eastAsia" w:ascii="宋体" w:hAnsi="宋体" w:eastAsia="宋体" w:cs="宋体"/>
          <w:sz w:val="24"/>
          <w:szCs w:val="24"/>
          <w:lang w:eastAsia="zh-CN"/>
        </w:rPr>
        <w:t>”</w:t>
      </w:r>
      <w:r>
        <w:rPr>
          <w:rFonts w:hint="eastAsia" w:ascii="宋体" w:hAnsi="宋体" w:eastAsia="宋体" w:cs="宋体"/>
          <w:sz w:val="24"/>
          <w:szCs w:val="24"/>
        </w:rPr>
        <w:t>（family resemblance）——即</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Thomas Aquinas在《神学大全》中进一步将</w:t>
      </w:r>
      <w:r>
        <w:rPr>
          <w:rFonts w:hint="eastAsia" w:ascii="宋体" w:hAnsi="宋体" w:eastAsia="宋体" w:cs="宋体"/>
          <w:sz w:val="24"/>
          <w:szCs w:val="24"/>
          <w:lang w:eastAsia="zh-CN"/>
        </w:rPr>
        <w:t>“</w:t>
      </w:r>
      <w:r>
        <w:rPr>
          <w:rFonts w:hint="eastAsia" w:ascii="宋体" w:hAnsi="宋体" w:eastAsia="宋体" w:cs="宋体"/>
          <w:sz w:val="24"/>
          <w:szCs w:val="24"/>
        </w:rPr>
        <w:t>爱德</w:t>
      </w:r>
      <w:r>
        <w:rPr>
          <w:rFonts w:hint="eastAsia" w:ascii="宋体" w:hAnsi="宋体" w:eastAsia="宋体" w:cs="宋体"/>
          <w:sz w:val="24"/>
          <w:szCs w:val="24"/>
          <w:lang w:eastAsia="zh-CN"/>
        </w:rPr>
        <w:t>”</w:t>
      </w:r>
      <w:r>
        <w:rPr>
          <w:rFonts w:hint="eastAsia" w:ascii="宋体" w:hAnsi="宋体" w:eastAsia="宋体" w:cs="宋体"/>
          <w:sz w:val="24"/>
          <w:szCs w:val="24"/>
        </w:rPr>
        <w:t>（Charity/Caritas）系统化为神学德性，指出其本质在于</w:t>
      </w:r>
      <w:r>
        <w:rPr>
          <w:rFonts w:hint="eastAsia" w:ascii="宋体" w:hAnsi="宋体" w:eastAsia="宋体" w:cs="宋体"/>
          <w:sz w:val="24"/>
          <w:szCs w:val="24"/>
          <w:lang w:eastAsia="zh-CN"/>
        </w:rPr>
        <w:t>“</w:t>
      </w:r>
      <w:r>
        <w:rPr>
          <w:rFonts w:hint="eastAsia" w:ascii="宋体" w:hAnsi="宋体" w:eastAsia="宋体" w:cs="宋体"/>
          <w:sz w:val="24"/>
          <w:szCs w:val="24"/>
        </w:rPr>
        <w:t>愿上帝得荣耀、愿邻人得拯救</w:t>
      </w:r>
      <w:r>
        <w:rPr>
          <w:rFonts w:hint="eastAsia" w:ascii="宋体" w:hAnsi="宋体" w:eastAsia="宋体" w:cs="宋体"/>
          <w:sz w:val="24"/>
          <w:szCs w:val="24"/>
          <w:lang w:eastAsia="zh-CN"/>
        </w:rPr>
        <w:t>”</w:t>
      </w:r>
      <w:r>
        <w:rPr>
          <w:rFonts w:hint="eastAsia" w:ascii="宋体" w:hAnsi="宋体" w:eastAsia="宋体" w:cs="宋体"/>
          <w:sz w:val="24"/>
          <w:szCs w:val="24"/>
        </w:rPr>
        <w:t>，强调爱德不仅是情感，更是意志的定向（act of will）。</w:t>
      </w:r>
      <w:r>
        <w:rPr>
          <w:rStyle w:val="29"/>
          <w:rFonts w:hint="eastAsia" w:ascii="宋体" w:hAnsi="宋体" w:eastAsia="宋体" w:cs="宋体"/>
          <w:sz w:val="24"/>
          <w:szCs w:val="24"/>
        </w:rPr>
        <w:footnoteReference w:id="51"/>
      </w:r>
      <w:r>
        <w:rPr>
          <w:rFonts w:hint="eastAsia" w:ascii="宋体" w:hAnsi="宋体" w:eastAsia="宋体" w:cs="宋体"/>
          <w:sz w:val="24"/>
          <w:szCs w:val="24"/>
        </w:rPr>
        <w:t xml:space="preserve"> Pope Benedict XVI在通谕《天主是爱》中重新激活了这一传统，指出</w:t>
      </w:r>
      <w:r>
        <w:rPr>
          <w:rFonts w:hint="eastAsia" w:ascii="宋体" w:hAnsi="宋体" w:eastAsia="宋体" w:cs="宋体"/>
          <w:sz w:val="24"/>
          <w:szCs w:val="24"/>
          <w:lang w:eastAsia="zh-CN"/>
        </w:rPr>
        <w:t>“</w:t>
      </w:r>
      <w:r>
        <w:rPr>
          <w:rFonts w:hint="eastAsia" w:ascii="宋体" w:hAnsi="宋体" w:eastAsia="宋体" w:cs="宋体"/>
          <w:sz w:val="24"/>
          <w:szCs w:val="24"/>
        </w:rPr>
        <w:t>作为教会团体的爱（charity）与作为个人情感的爱（eros）并非对立，而是统一于上帝之爱的完整表达</w:t>
      </w:r>
      <w:r>
        <w:rPr>
          <w:rFonts w:hint="eastAsia" w:ascii="宋体" w:hAnsi="宋体" w:eastAsia="宋体" w:cs="宋体"/>
          <w:sz w:val="24"/>
          <w:szCs w:val="24"/>
          <w:lang w:eastAsia="zh-CN"/>
        </w:rPr>
        <w:t>”</w:t>
      </w:r>
      <w:r>
        <w:rPr>
          <w:rFonts w:hint="eastAsia" w:ascii="宋体" w:hAnsi="宋体" w:eastAsia="宋体" w:cs="宋体"/>
          <w:sz w:val="24"/>
          <w:szCs w:val="24"/>
        </w:rPr>
        <w:t>，并强调教会的社会服务是</w:t>
      </w:r>
      <w:r>
        <w:rPr>
          <w:rFonts w:hint="eastAsia" w:ascii="宋体" w:hAnsi="宋体" w:eastAsia="宋体" w:cs="宋体"/>
          <w:sz w:val="24"/>
          <w:szCs w:val="24"/>
          <w:lang w:eastAsia="zh-CN"/>
        </w:rPr>
        <w:t>“</w:t>
      </w:r>
      <w:r>
        <w:rPr>
          <w:rFonts w:hint="eastAsia" w:ascii="宋体" w:hAnsi="宋体" w:eastAsia="宋体" w:cs="宋体"/>
          <w:sz w:val="24"/>
          <w:szCs w:val="24"/>
        </w:rPr>
        <w:t>爱德的公共实践</w:t>
      </w:r>
      <w:r>
        <w:rPr>
          <w:rFonts w:hint="eastAsia" w:ascii="宋体" w:hAnsi="宋体" w:eastAsia="宋体" w:cs="宋体"/>
          <w:sz w:val="24"/>
          <w:szCs w:val="24"/>
          <w:lang w:eastAsia="zh-CN"/>
        </w:rPr>
        <w:t>”</w:t>
      </w:r>
      <w:r>
        <w:rPr>
          <w:rFonts w:hint="eastAsia" w:ascii="宋体" w:hAnsi="宋体" w:eastAsia="宋体" w:cs="宋体"/>
          <w:sz w:val="24"/>
          <w:szCs w:val="24"/>
        </w:rPr>
        <w:t>（public practice of charity）。</w:t>
      </w:r>
      <w:r>
        <w:rPr>
          <w:rStyle w:val="29"/>
          <w:rFonts w:hint="eastAsia" w:ascii="宋体" w:hAnsi="宋体" w:eastAsia="宋体" w:cs="宋体"/>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耶稣关于</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为逼迫你们的祷告</w:t>
      </w:r>
      <w:r>
        <w:rPr>
          <w:rFonts w:hint="eastAsia" w:ascii="宋体" w:hAnsi="宋体" w:eastAsia="宋体" w:cs="宋体"/>
          <w:sz w:val="24"/>
          <w:szCs w:val="24"/>
          <w:lang w:eastAsia="zh-CN"/>
        </w:rPr>
        <w:t>”</w:t>
      </w:r>
      <w:r>
        <w:rPr>
          <w:rFonts w:hint="eastAsia" w:ascii="宋体" w:hAnsi="宋体" w:eastAsia="宋体" w:cs="宋体"/>
          <w:sz w:val="24"/>
          <w:szCs w:val="24"/>
        </w:rPr>
        <w:t>的教导（太5:44），以及</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的寓言（路10:25-37），都深刻诠释了这种爱的超越性，它要求打破血缘、族群乃至敌友的界限，以一种普遍性的姿态关怀每一个</w:t>
      </w:r>
      <w:r>
        <w:rPr>
          <w:rFonts w:hint="eastAsia" w:ascii="宋体" w:hAnsi="宋体" w:eastAsia="宋体" w:cs="宋体"/>
          <w:sz w:val="24"/>
          <w:szCs w:val="24"/>
          <w:lang w:eastAsia="zh-CN"/>
        </w:rPr>
        <w:t>“</w:t>
      </w:r>
      <w:r>
        <w:rPr>
          <w:rFonts w:hint="eastAsia" w:ascii="宋体" w:hAnsi="宋体" w:eastAsia="宋体" w:cs="宋体"/>
          <w:sz w:val="24"/>
          <w:szCs w:val="24"/>
        </w:rPr>
        <w:t>邻人</w:t>
      </w:r>
      <w:r>
        <w:rPr>
          <w:rFonts w:hint="eastAsia" w:ascii="宋体" w:hAnsi="宋体" w:eastAsia="宋体" w:cs="宋体"/>
          <w:sz w:val="24"/>
          <w:szCs w:val="24"/>
          <w:lang w:eastAsia="zh-CN"/>
        </w:rPr>
        <w:t>”</w:t>
      </w:r>
      <w:r>
        <w:rPr>
          <w:rFonts w:hint="eastAsia" w:ascii="宋体" w:hAnsi="宋体" w:eastAsia="宋体" w:cs="宋体"/>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需要严格区分三组概念：Agape、仁爱、仁。Agape是基督教神学的本源概念，指向上帝对人类的垂直关系；仁爱是Agape的中文神学译介，在中文语境中更接近</w:t>
      </w:r>
      <w:r>
        <w:rPr>
          <w:rFonts w:hint="eastAsia" w:ascii="宋体" w:hAnsi="宋体" w:eastAsia="宋体" w:cs="宋体"/>
          <w:sz w:val="24"/>
          <w:szCs w:val="24"/>
          <w:lang w:eastAsia="zh-CN"/>
        </w:rPr>
        <w:t>“</w:t>
      </w:r>
      <w:r>
        <w:rPr>
          <w:rFonts w:hint="eastAsia" w:ascii="宋体" w:hAnsi="宋体" w:eastAsia="宋体" w:cs="宋体"/>
          <w:sz w:val="24"/>
          <w:szCs w:val="24"/>
        </w:rPr>
        <w:t>仁慈</w:t>
      </w:r>
      <w:r>
        <w:rPr>
          <w:rFonts w:hint="eastAsia" w:ascii="宋体" w:hAnsi="宋体" w:eastAsia="宋体" w:cs="宋体"/>
          <w:sz w:val="24"/>
          <w:szCs w:val="24"/>
          <w:lang w:eastAsia="zh-CN"/>
        </w:rPr>
        <w:t>”“</w:t>
      </w:r>
      <w:r>
        <w:rPr>
          <w:rFonts w:hint="eastAsia" w:ascii="宋体" w:hAnsi="宋体" w:eastAsia="宋体" w:cs="宋体"/>
          <w:sz w:val="24"/>
          <w:szCs w:val="24"/>
        </w:rPr>
        <w:t>恩惠</w:t>
      </w:r>
      <w:r>
        <w:rPr>
          <w:rFonts w:hint="eastAsia" w:ascii="宋体" w:hAnsi="宋体" w:eastAsia="宋体" w:cs="宋体"/>
          <w:sz w:val="24"/>
          <w:szCs w:val="24"/>
          <w:lang w:eastAsia="zh-CN"/>
        </w:rPr>
        <w:t>”</w:t>
      </w:r>
      <w:r>
        <w:rPr>
          <w:rFonts w:hint="eastAsia" w:ascii="宋体" w:hAnsi="宋体" w:eastAsia="宋体" w:cs="宋体"/>
          <w:sz w:val="24"/>
          <w:szCs w:val="24"/>
        </w:rPr>
        <w:t>的世俗化理解；仁则是儒家伦理的核心概念，以血缘亲情为根基的差序性推扩。三者的关系并非简单的线性对应，而是</w:t>
      </w:r>
      <w:r>
        <w:rPr>
          <w:rFonts w:hint="eastAsia" w:ascii="宋体" w:hAnsi="宋体" w:eastAsia="宋体" w:cs="宋体"/>
          <w:sz w:val="24"/>
          <w:szCs w:val="24"/>
          <w:lang w:eastAsia="zh-CN"/>
        </w:rPr>
        <w:t>“</w:t>
      </w:r>
      <w:r>
        <w:rPr>
          <w:rFonts w:hint="eastAsia" w:ascii="宋体" w:hAnsi="宋体" w:eastAsia="宋体" w:cs="宋体"/>
          <w:sz w:val="24"/>
          <w:szCs w:val="24"/>
        </w:rPr>
        <w:t>翻译—转化—再创造</w:t>
      </w:r>
      <w:r>
        <w:rPr>
          <w:rFonts w:hint="eastAsia" w:ascii="宋体" w:hAnsi="宋体" w:eastAsia="宋体" w:cs="宋体"/>
          <w:sz w:val="24"/>
          <w:szCs w:val="24"/>
          <w:lang w:eastAsia="zh-CN"/>
        </w:rPr>
        <w:t>”</w:t>
      </w:r>
      <w:r>
        <w:rPr>
          <w:rFonts w:hint="eastAsia" w:ascii="宋体" w:hAnsi="宋体" w:eastAsia="宋体" w:cs="宋体"/>
          <w:sz w:val="24"/>
          <w:szCs w:val="24"/>
        </w:rPr>
        <w:t>的复杂过程。</w:t>
      </w:r>
    </w:p>
    <w:p w14:paraId="71F29256">
      <w:pPr>
        <w:pStyle w:val="4"/>
        <w:bidi w:val="0"/>
        <w:rPr>
          <w:rFonts w:hint="eastAsia"/>
          <w:lang w:val="en-US" w:eastAsia="zh-CN"/>
        </w:rPr>
      </w:pPr>
      <w:bookmarkStart w:id="182" w:name="_Toc1735406950"/>
      <w:bookmarkStart w:id="183" w:name="_Toc1579641812"/>
      <w:bookmarkStart w:id="184" w:name="_Toc109461081"/>
      <w:bookmarkStart w:id="185" w:name="_Toc329106933"/>
      <w:bookmarkStart w:id="186" w:name="_Toc1106571898"/>
      <w:bookmarkStart w:id="187" w:name="_Toc462921127"/>
      <w:bookmarkStart w:id="188" w:name="_Toc1945382432"/>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bookmarkEnd w:id="182"/>
      <w:bookmarkEnd w:id="183"/>
      <w:bookmarkEnd w:id="184"/>
      <w:bookmarkEnd w:id="185"/>
      <w:bookmarkEnd w:id="186"/>
      <w:bookmarkEnd w:id="187"/>
      <w:bookmarkEnd w:id="188"/>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传入中国后，仁爱观念的本土化调整始终与整个宗教的社会定位绑定。明清之际，以利玛窦为代表的耶稣会士采取“文化适应”策略，以“仁”释“爱”，以“上帝”译“Deus”，并非简单的语言转换，而是在两种文化符号的碰撞中创造新的神学表达。 刘耘华指出，这种“跨文化诠释”的机制，本质是“以儒释耶”的创造性转化，发生在Bhabha所谓“第三空间”中，生成兼具双方特质的“混杂性”新意义。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清末民初伴随不平等条约进入中国的基督教会，多以</w:t>
      </w:r>
      <w:r>
        <w:rPr>
          <w:rFonts w:hint="eastAsia" w:ascii="宋体" w:hAnsi="宋体" w:eastAsia="宋体" w:cs="宋体"/>
          <w:sz w:val="24"/>
          <w:szCs w:val="24"/>
          <w:lang w:eastAsia="zh-CN"/>
        </w:rPr>
        <w:t>“</w:t>
      </w:r>
      <w:r>
        <w:rPr>
          <w:rFonts w:hint="eastAsia" w:ascii="宋体" w:hAnsi="宋体" w:eastAsia="宋体" w:cs="宋体"/>
          <w:sz w:val="24"/>
          <w:szCs w:val="24"/>
        </w:rPr>
        <w:t>洋教</w:t>
      </w:r>
      <w:r>
        <w:rPr>
          <w:rFonts w:hint="eastAsia" w:ascii="宋体" w:hAnsi="宋体" w:eastAsia="宋体" w:cs="宋体"/>
          <w:sz w:val="24"/>
          <w:szCs w:val="24"/>
          <w:lang w:eastAsia="zh-CN"/>
        </w:rPr>
        <w:t>”</w:t>
      </w:r>
      <w:r>
        <w:rPr>
          <w:rFonts w:hint="eastAsia" w:ascii="宋体" w:hAnsi="宋体" w:eastAsia="宋体" w:cs="宋体"/>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思想和基督教伦理的</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思想分别代表了东西方文明的思想精华，二者的差异在于社会历史文化背景不同、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的对象与范围不同、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的表现形式不同、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的实现途径不同。</w:t>
      </w:r>
      <w:r>
        <w:rPr>
          <w:rStyle w:val="29"/>
          <w:rFonts w:hint="eastAsia" w:ascii="宋体" w:hAnsi="宋体" w:eastAsia="宋体" w:cs="宋体"/>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民国时期本土教会发起的</w:t>
      </w:r>
      <w:r>
        <w:rPr>
          <w:rFonts w:hint="eastAsia" w:ascii="宋体" w:hAnsi="宋体" w:eastAsia="宋体" w:cs="宋体"/>
          <w:sz w:val="24"/>
          <w:szCs w:val="24"/>
          <w:lang w:eastAsia="zh-CN"/>
        </w:rPr>
        <w:t>“</w:t>
      </w:r>
      <w:r>
        <w:rPr>
          <w:rFonts w:hint="eastAsia" w:ascii="宋体" w:hAnsi="宋体" w:eastAsia="宋体" w:cs="宋体"/>
          <w:sz w:val="24"/>
          <w:szCs w:val="24"/>
        </w:rPr>
        <w:t>本色化运动</w:t>
      </w:r>
      <w:r>
        <w:rPr>
          <w:rFonts w:hint="eastAsia" w:ascii="宋体" w:hAnsi="宋体" w:eastAsia="宋体" w:cs="宋体"/>
          <w:sz w:val="24"/>
          <w:szCs w:val="24"/>
          <w:lang w:eastAsia="zh-CN"/>
        </w:rPr>
        <w:t>”</w:t>
      </w:r>
      <w:r>
        <w:rPr>
          <w:rFonts w:hint="eastAsia" w:ascii="宋体" w:hAnsi="宋体" w:eastAsia="宋体" w:cs="宋体"/>
          <w:sz w:val="24"/>
          <w:szCs w:val="24"/>
        </w:rPr>
        <w:t>率先开启了仁爱观念的适配调整。赵天恩指出，本色化运动的核心在于</w:t>
      </w:r>
      <w:r>
        <w:rPr>
          <w:rFonts w:hint="eastAsia" w:ascii="宋体" w:hAnsi="宋体" w:eastAsia="宋体" w:cs="宋体"/>
          <w:sz w:val="24"/>
          <w:szCs w:val="24"/>
          <w:lang w:eastAsia="zh-CN"/>
        </w:rPr>
        <w:t>“</w:t>
      </w:r>
      <w:r>
        <w:rPr>
          <w:rFonts w:hint="eastAsia" w:ascii="宋体" w:hAnsi="宋体" w:eastAsia="宋体" w:cs="宋体"/>
          <w:sz w:val="24"/>
          <w:szCs w:val="24"/>
        </w:rPr>
        <w:t>使基督教在中华国土上彻底除去洋教的面貌，建立由中国信徒自主、自养、自传的教会</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54"/>
      </w:r>
      <w:r>
        <w:rPr>
          <w:rFonts w:hint="eastAsia" w:ascii="宋体" w:hAnsi="宋体" w:eastAsia="宋体" w:cs="宋体"/>
          <w:sz w:val="24"/>
          <w:szCs w:val="24"/>
        </w:rPr>
        <w:t xml:space="preserve"> 不少教会人士尝试将基督教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的教义与儒家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克己复礼</w:t>
      </w:r>
      <w:r>
        <w:rPr>
          <w:rFonts w:hint="eastAsia" w:ascii="宋体" w:hAnsi="宋体" w:eastAsia="宋体" w:cs="宋体"/>
          <w:sz w:val="24"/>
          <w:szCs w:val="24"/>
          <w:lang w:eastAsia="zh-CN"/>
        </w:rPr>
        <w:t>”</w:t>
      </w:r>
      <w:r>
        <w:rPr>
          <w:rFonts w:hint="eastAsia" w:ascii="宋体" w:hAnsi="宋体" w:eastAsia="宋体" w:cs="宋体"/>
          <w:sz w:val="24"/>
          <w:szCs w:val="24"/>
        </w:rPr>
        <w:t>的思想做互释，弱化教义中的排他性，转而吸纳儒家</w:t>
      </w:r>
      <w:r>
        <w:rPr>
          <w:rFonts w:hint="eastAsia" w:ascii="宋体" w:hAnsi="宋体" w:eastAsia="宋体" w:cs="宋体"/>
          <w:sz w:val="24"/>
          <w:szCs w:val="24"/>
          <w:lang w:eastAsia="zh-CN"/>
        </w:rPr>
        <w:t>“</w:t>
      </w:r>
      <w:r>
        <w:rPr>
          <w:rFonts w:hint="eastAsia" w:ascii="宋体" w:hAnsi="宋体" w:eastAsia="宋体" w:cs="宋体"/>
          <w:sz w:val="24"/>
          <w:szCs w:val="24"/>
        </w:rPr>
        <w:t>仁礼</w:t>
      </w:r>
      <w:r>
        <w:rPr>
          <w:rFonts w:hint="eastAsia" w:ascii="宋体" w:hAnsi="宋体" w:eastAsia="宋体" w:cs="宋体"/>
          <w:sz w:val="24"/>
          <w:szCs w:val="24"/>
          <w:lang w:eastAsia="zh-CN"/>
        </w:rPr>
        <w:t>”</w:t>
      </w:r>
      <w:r>
        <w:rPr>
          <w:rFonts w:hint="eastAsia" w:ascii="宋体" w:hAnsi="宋体" w:eastAsia="宋体" w:cs="宋体"/>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sz w:val="24"/>
          <w:szCs w:val="24"/>
        </w:rPr>
        <w:footnoteReference w:id="55"/>
      </w:r>
      <w:r>
        <w:rPr>
          <w:rStyle w:val="29"/>
          <w:rFonts w:hint="eastAsia" w:ascii="宋体" w:hAnsi="宋体" w:eastAsia="宋体" w:cs="宋体"/>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lang w:val="en-US" w:eastAsia="zh-CN"/>
        </w:rPr>
      </w:pPr>
      <w:bookmarkStart w:id="189" w:name="_Toc1847090070"/>
      <w:bookmarkStart w:id="190" w:name="_Toc2009198743"/>
      <w:bookmarkStart w:id="191" w:name="_Toc1529831906"/>
      <w:bookmarkStart w:id="192" w:name="_Toc1466386535"/>
      <w:bookmarkStart w:id="193" w:name="_Toc945506666"/>
      <w:bookmarkStart w:id="194" w:name="_Toc2129612055"/>
      <w:bookmarkStart w:id="195" w:name="_Toc604009049"/>
      <w:r>
        <w:rPr>
          <w:rFonts w:hint="eastAsia"/>
          <w:lang w:val="en-US" w:eastAsia="zh-CN"/>
        </w:rPr>
        <w:t>三、</w:t>
      </w:r>
      <w:r>
        <w:rPr>
          <w:rFonts w:hint="eastAsia"/>
        </w:rPr>
        <w:t>当代中国基督教仁爱观念的实践特征与世俗化趋势</w:t>
      </w:r>
      <w:bookmarkEnd w:id="189"/>
      <w:bookmarkEnd w:id="190"/>
      <w:bookmarkEnd w:id="191"/>
      <w:bookmarkEnd w:id="192"/>
      <w:bookmarkEnd w:id="193"/>
      <w:bookmarkEnd w:id="194"/>
      <w:bookmarkEnd w:id="195"/>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同时，教会的公益慈善和社区服务活动也积极响应国家的政策号召，与社会主义社会的发展需求相适应，成为社会公益事业的有益补充。</w:t>
      </w:r>
    </w:p>
    <w:p w14:paraId="76411055">
      <w:pPr>
        <w:pStyle w:val="3"/>
        <w:bidi w:val="0"/>
        <w:rPr>
          <w:rFonts w:hint="eastAsia"/>
          <w:lang w:val="en-US" w:eastAsia="zh-CN"/>
        </w:rPr>
      </w:pPr>
      <w:bookmarkStart w:id="196" w:name="_Toc63138611"/>
      <w:bookmarkStart w:id="197" w:name="_Toc1036160773"/>
      <w:bookmarkStart w:id="198" w:name="_Toc19205458"/>
      <w:bookmarkStart w:id="199" w:name="_Toc1570408173"/>
      <w:bookmarkStart w:id="200" w:name="_Toc1899031309"/>
      <w:bookmarkStart w:id="201" w:name="_Toc279863836"/>
      <w:bookmarkStart w:id="202" w:name="_Toc424887174"/>
      <w:r>
        <w:rPr>
          <w:rFonts w:hint="eastAsia"/>
          <w:lang w:val="en-US" w:eastAsia="zh-CN"/>
        </w:rPr>
        <w:t xml:space="preserve">第二节 </w:t>
      </w:r>
      <w:r>
        <w:rPr>
          <w:rFonts w:hint="eastAsia"/>
        </w:rPr>
        <w:t>社会主义核心价值观的核心要义与价值追求</w:t>
      </w:r>
      <w:bookmarkEnd w:id="196"/>
      <w:bookmarkEnd w:id="197"/>
      <w:bookmarkEnd w:id="198"/>
      <w:bookmarkEnd w:id="199"/>
      <w:bookmarkEnd w:id="200"/>
      <w:bookmarkEnd w:id="201"/>
      <w:bookmarkEnd w:id="202"/>
    </w:p>
    <w:p w14:paraId="4AE00435">
      <w:pPr>
        <w:pStyle w:val="4"/>
        <w:bidi w:val="0"/>
        <w:rPr>
          <w:rFonts w:hint="eastAsia"/>
          <w:lang w:val="en-US" w:eastAsia="zh-CN"/>
        </w:rPr>
      </w:pPr>
      <w:bookmarkStart w:id="203" w:name="_Toc809218288"/>
      <w:bookmarkStart w:id="204" w:name="_Toc663585556"/>
      <w:bookmarkStart w:id="205" w:name="_Toc1276141981"/>
      <w:bookmarkStart w:id="206" w:name="_Toc313713459"/>
      <w:bookmarkStart w:id="207" w:name="_Toc1117248649"/>
      <w:bookmarkStart w:id="208" w:name="_Toc682304722"/>
      <w:bookmarkStart w:id="209" w:name="_Toc695607143"/>
      <w:r>
        <w:rPr>
          <w:rFonts w:hint="eastAsia"/>
          <w:lang w:val="en-US" w:eastAsia="zh-CN"/>
        </w:rPr>
        <w:t>一、</w:t>
      </w:r>
      <w:r>
        <w:rPr>
          <w:rFonts w:hint="eastAsia"/>
        </w:rPr>
        <w:t>三个层面的价值内涵与逻辑关联</w:t>
      </w:r>
      <w:bookmarkEnd w:id="203"/>
      <w:bookmarkEnd w:id="204"/>
      <w:bookmarkEnd w:id="205"/>
      <w:bookmarkEnd w:id="206"/>
      <w:bookmarkEnd w:id="207"/>
      <w:bookmarkEnd w:id="208"/>
      <w:bookmarkEnd w:id="209"/>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sz w:val="24"/>
          <w:szCs w:val="24"/>
          <w:lang w:eastAsia="zh-CN"/>
        </w:rPr>
        <w:t>“</w:t>
      </w:r>
      <w:r>
        <w:rPr>
          <w:rFonts w:hint="eastAsia" w:ascii="宋体" w:hAnsi="宋体" w:eastAsia="宋体" w:cs="宋体"/>
          <w:sz w:val="24"/>
          <w:szCs w:val="24"/>
        </w:rPr>
        <w:t>民富国强</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lang w:val="en-US" w:eastAsia="zh-CN"/>
        </w:rPr>
      </w:pPr>
      <w:bookmarkStart w:id="210" w:name="_Toc509752028"/>
      <w:bookmarkStart w:id="211" w:name="_Toc999860821"/>
      <w:bookmarkStart w:id="212" w:name="_Toc517829965"/>
      <w:bookmarkStart w:id="213" w:name="_Toc1199092078"/>
      <w:bookmarkStart w:id="214" w:name="_Toc1034375"/>
      <w:bookmarkStart w:id="215" w:name="_Toc2080271321"/>
      <w:bookmarkStart w:id="216" w:name="_Toc168278133"/>
      <w:r>
        <w:rPr>
          <w:rFonts w:hint="eastAsia"/>
          <w:lang w:val="en-US" w:eastAsia="zh-CN"/>
        </w:rPr>
        <w:t>二、</w:t>
      </w:r>
      <w:r>
        <w:rPr>
          <w:rFonts w:hint="eastAsia"/>
        </w:rPr>
        <w:t>核心价值观对宗教领域的引领功能</w:t>
      </w:r>
      <w:bookmarkEnd w:id="210"/>
      <w:bookmarkEnd w:id="211"/>
      <w:bookmarkEnd w:id="212"/>
      <w:bookmarkEnd w:id="213"/>
      <w:bookmarkEnd w:id="214"/>
      <w:bookmarkEnd w:id="215"/>
      <w:bookmarkEnd w:id="216"/>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bidi w:val="0"/>
        <w:rPr>
          <w:rFonts w:hint="eastAsia"/>
          <w:lang w:val="en-US" w:eastAsia="zh-CN"/>
        </w:rPr>
      </w:pPr>
      <w:bookmarkStart w:id="217" w:name="_Toc1090066713"/>
      <w:bookmarkStart w:id="218" w:name="_Toc601280772"/>
      <w:bookmarkStart w:id="219" w:name="_Toc1154011498"/>
      <w:bookmarkStart w:id="220" w:name="_Toc1564484111"/>
      <w:bookmarkStart w:id="221" w:name="_Toc204871449"/>
      <w:bookmarkStart w:id="222" w:name="_Toc2086318887"/>
      <w:bookmarkStart w:id="223" w:name="_Toc14618232"/>
      <w:bookmarkEnd w:id="217"/>
      <w:bookmarkEnd w:id="218"/>
      <w:bookmarkEnd w:id="219"/>
      <w:bookmarkEnd w:id="220"/>
      <w:bookmarkEnd w:id="221"/>
      <w:bookmarkEnd w:id="222"/>
      <w:bookmarkEnd w:id="223"/>
      <w:r>
        <w:t xml:space="preserve">第三节 </w:t>
      </w:r>
      <w:r>
        <w:rPr>
          <w:color w:val="FF0000"/>
        </w:rPr>
        <w:t xml:space="preserve">研究的</w:t>
      </w:r>
      <w:r>
        <w:t xml:space="preserve">理论基础与分析框架</w:t>
      </w:r>
    </w:p>
    <w:p w14:paraId="48ABBCA4">
      <w:pPr>
        <w:pStyle w:val="4"/>
        <w:bidi w:val="0"/>
        <w:rPr>
          <w:rFonts w:hint="eastAsia"/>
          <w:lang w:val="en-US" w:eastAsia="zh-CN"/>
        </w:rPr>
      </w:pPr>
      <w:bookmarkStart w:id="224" w:name="_Toc1815375869"/>
      <w:bookmarkStart w:id="225" w:name="_Toc568252834"/>
      <w:bookmarkStart w:id="226" w:name="_Toc1546430829"/>
      <w:bookmarkStart w:id="227" w:name="_Toc494679709"/>
      <w:bookmarkStart w:id="228" w:name="_Toc858157202"/>
      <w:bookmarkStart w:id="229" w:name="_Toc648545593"/>
      <w:bookmarkStart w:id="230" w:name="_Toc875489466"/>
      <w:r>
        <w:rPr>
          <w:rFonts w:hint="eastAsia"/>
          <w:lang w:val="en-US" w:eastAsia="zh-CN"/>
        </w:rPr>
        <w:t>一、</w:t>
      </w:r>
      <w:r>
        <w:rPr>
          <w:rFonts w:hint="eastAsia"/>
        </w:rPr>
        <w:t>中国特色社会主义宗教理论：政策合法性框架</w:t>
      </w:r>
      <w:bookmarkEnd w:id="224"/>
      <w:bookmarkEnd w:id="225"/>
      <w:bookmarkEnd w:id="226"/>
      <w:bookmarkEnd w:id="227"/>
      <w:bookmarkEnd w:id="228"/>
      <w:bookmarkEnd w:id="229"/>
      <w:bookmarkEnd w:id="230"/>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改革开放后，随着社会转型和宗教领域的新变化，理论不断得到丰富和发展。龚学增系统论述了社会主义与宗教的关系，提出</w:t>
      </w:r>
      <w:r>
        <w:rPr>
          <w:rFonts w:hint="eastAsia" w:ascii="宋体" w:hAnsi="宋体" w:eastAsia="宋体" w:cs="宋体"/>
          <w:sz w:val="24"/>
          <w:szCs w:val="24"/>
          <w:lang w:eastAsia="zh-CN"/>
        </w:rPr>
        <w:t>“</w:t>
      </w:r>
      <w:r>
        <w:rPr>
          <w:rFonts w:hint="eastAsia" w:ascii="宋体" w:hAnsi="宋体" w:eastAsia="宋体" w:cs="宋体"/>
          <w:sz w:val="24"/>
          <w:szCs w:val="24"/>
        </w:rPr>
        <w:t>积极引导宗教与社会主义社会相适应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是处理中国宗教问题的根本途径。</w:t>
      </w:r>
      <w:r>
        <w:rPr>
          <w:rStyle w:val="29"/>
          <w:rFonts w:hint="eastAsia" w:ascii="宋体" w:hAnsi="宋体" w:eastAsia="宋体" w:cs="宋体"/>
          <w:sz w:val="24"/>
          <w:szCs w:val="24"/>
        </w:rPr>
        <w:footnoteReference w:id="59"/>
      </w:r>
      <w:r>
        <w:rPr>
          <w:rFonts w:hint="eastAsia" w:ascii="宋体" w:hAnsi="宋体" w:eastAsia="宋体" w:cs="宋体"/>
          <w:sz w:val="24"/>
          <w:szCs w:val="24"/>
        </w:rPr>
        <w:t xml:space="preserve"> 到新时代，习近平总书记提出的坚持宗教中国化方向、以</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该理论的核心内容包括几个关键方面：首先是关于我国宗教</w:t>
      </w:r>
      <w:r>
        <w:rPr>
          <w:rFonts w:hint="eastAsia" w:ascii="宋体" w:hAnsi="宋体" w:eastAsia="宋体" w:cs="宋体"/>
          <w:sz w:val="24"/>
          <w:szCs w:val="24"/>
          <w:lang w:eastAsia="zh-CN"/>
        </w:rPr>
        <w:t>“</w:t>
      </w:r>
      <w:r>
        <w:rPr>
          <w:rFonts w:hint="eastAsia" w:ascii="宋体" w:hAnsi="宋体" w:eastAsia="宋体" w:cs="宋体"/>
          <w:sz w:val="24"/>
          <w:szCs w:val="24"/>
        </w:rPr>
        <w:t>五性</w:t>
      </w:r>
      <w:r>
        <w:rPr>
          <w:rFonts w:hint="eastAsia" w:ascii="宋体" w:hAnsi="宋体" w:eastAsia="宋体" w:cs="宋体"/>
          <w:sz w:val="24"/>
          <w:szCs w:val="24"/>
          <w:lang w:eastAsia="zh-CN"/>
        </w:rPr>
        <w:t>”</w:t>
      </w:r>
      <w:r>
        <w:rPr>
          <w:rFonts w:hint="eastAsia" w:ascii="宋体" w:hAnsi="宋体" w:eastAsia="宋体" w:cs="宋体"/>
          <w:sz w:val="24"/>
          <w:szCs w:val="24"/>
        </w:rPr>
        <w:t>的基本判断，即长期性、群众性、民族性、国际性、复杂性；其次是坚持宗教中国化方向的核心要求；最后是</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的宗教工作方针，主张积极引导宗教与社会主义社会相适应。</w:t>
      </w:r>
      <w:r>
        <w:rPr>
          <w:rStyle w:val="29"/>
          <w:rFonts w:hint="eastAsia" w:ascii="宋体" w:hAnsi="宋体" w:eastAsia="宋体" w:cs="宋体"/>
          <w:sz w:val="24"/>
          <w:szCs w:val="24"/>
        </w:rPr>
        <w:footnoteReference w:id="60"/>
      </w:r>
      <w:r>
        <w:rPr>
          <w:rFonts w:hint="eastAsia" w:ascii="宋体" w:hAnsi="宋体" w:eastAsia="宋体" w:cs="宋体"/>
          <w:sz w:val="24"/>
          <w:szCs w:val="24"/>
        </w:rPr>
        <w:t xml:space="preserve"> 本文以此作为研究的根本政策遵循，确保分析不偏离正确的政治方向。</w:t>
      </w:r>
    </w:p>
    <w:p w14:paraId="6E62AE12">
      <w:pPr>
        <w:pStyle w:val="4"/>
        <w:bidi w:val="0"/>
        <w:rPr>
          <w:rFonts w:hint="eastAsia"/>
          <w:lang w:val="en-US" w:eastAsia="zh-CN"/>
        </w:rPr>
      </w:pPr>
      <w:bookmarkStart w:id="231" w:name="_Toc1172671626"/>
      <w:bookmarkStart w:id="232" w:name="_Toc765602829"/>
      <w:bookmarkStart w:id="233" w:name="_Toc2015847009"/>
      <w:bookmarkStart w:id="234" w:name="_Toc1722057354"/>
      <w:bookmarkStart w:id="235" w:name="_Toc547920762"/>
      <w:bookmarkStart w:id="236" w:name="_Toc1626273026"/>
      <w:bookmarkStart w:id="237" w:name="_Toc1940989465"/>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bookmarkEnd w:id="231"/>
      <w:bookmarkEnd w:id="232"/>
      <w:bookmarkEnd w:id="233"/>
      <w:bookmarkEnd w:id="234"/>
      <w:bookmarkEnd w:id="235"/>
      <w:bookmarkEnd w:id="236"/>
      <w:bookmarkEnd w:id="237"/>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Homi Bhabha的</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理论指出，文化相遇并非</w:t>
      </w:r>
      <w:r>
        <w:rPr>
          <w:rFonts w:hint="eastAsia" w:ascii="宋体" w:hAnsi="宋体" w:eastAsia="宋体" w:cs="宋体"/>
          <w:sz w:val="24"/>
          <w:szCs w:val="24"/>
          <w:lang w:eastAsia="zh-CN"/>
        </w:rPr>
        <w:t>“</w:t>
      </w:r>
      <w:r>
        <w:rPr>
          <w:rFonts w:hint="eastAsia" w:ascii="宋体" w:hAnsi="宋体" w:eastAsia="宋体" w:cs="宋体"/>
          <w:sz w:val="24"/>
          <w:szCs w:val="24"/>
        </w:rPr>
        <w:t>本土—外来</w:t>
      </w:r>
      <w:r>
        <w:rPr>
          <w:rFonts w:hint="eastAsia" w:ascii="宋体" w:hAnsi="宋体" w:eastAsia="宋体" w:cs="宋体"/>
          <w:sz w:val="24"/>
          <w:szCs w:val="24"/>
          <w:lang w:eastAsia="zh-CN"/>
        </w:rPr>
        <w:t>”</w:t>
      </w:r>
      <w:r>
        <w:rPr>
          <w:rFonts w:hint="eastAsia" w:ascii="宋体" w:hAnsi="宋体" w:eastAsia="宋体" w:cs="宋体"/>
          <w:sz w:val="24"/>
          <w:szCs w:val="24"/>
        </w:rPr>
        <w:t>的二元对立，而是在交互中生成新的意义空间。</w:t>
      </w:r>
      <w:r>
        <w:rPr>
          <w:rStyle w:val="29"/>
          <w:rFonts w:hint="eastAsia" w:ascii="宋体" w:hAnsi="宋体" w:eastAsia="宋体" w:cs="宋体"/>
          <w:sz w:val="24"/>
          <w:szCs w:val="24"/>
        </w:rPr>
        <w:footnoteReference w:id="61"/>
      </w:r>
      <w:r>
        <w:rPr>
          <w:rFonts w:hint="eastAsia" w:ascii="宋体" w:hAnsi="宋体" w:eastAsia="宋体" w:cs="宋体"/>
          <w:sz w:val="24"/>
          <w:szCs w:val="24"/>
        </w:rPr>
        <w:t xml:space="preserve"> 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的实践，正是发生在这一</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刘耘华系统分析了这一</w:t>
      </w:r>
      <w:r>
        <w:rPr>
          <w:rFonts w:hint="eastAsia" w:ascii="宋体" w:hAnsi="宋体" w:eastAsia="宋体" w:cs="宋体"/>
          <w:sz w:val="24"/>
          <w:szCs w:val="24"/>
          <w:lang w:eastAsia="zh-CN"/>
        </w:rPr>
        <w:t>“</w:t>
      </w:r>
      <w:r>
        <w:rPr>
          <w:rFonts w:hint="eastAsia" w:ascii="宋体" w:hAnsi="宋体" w:eastAsia="宋体" w:cs="宋体"/>
          <w:sz w:val="24"/>
          <w:szCs w:val="24"/>
        </w:rPr>
        <w:t>跨文化诠释</w:t>
      </w:r>
      <w:r>
        <w:rPr>
          <w:rFonts w:hint="eastAsia" w:ascii="宋体" w:hAnsi="宋体" w:eastAsia="宋体" w:cs="宋体"/>
          <w:sz w:val="24"/>
          <w:szCs w:val="24"/>
          <w:lang w:eastAsia="zh-CN"/>
        </w:rPr>
        <w:t>”</w:t>
      </w:r>
      <w:r>
        <w:rPr>
          <w:rFonts w:hint="eastAsia" w:ascii="宋体" w:hAnsi="宋体" w:eastAsia="宋体" w:cs="宋体"/>
          <w:sz w:val="24"/>
          <w:szCs w:val="24"/>
        </w:rPr>
        <w:t>的机制，指出其本质是</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62"/>
      </w:r>
      <w:r>
        <w:rPr>
          <w:rFonts w:hint="eastAsia" w:ascii="宋体" w:hAnsi="宋体" w:eastAsia="宋体" w:cs="宋体"/>
          <w:sz w:val="24"/>
          <w:szCs w:val="24"/>
        </w:rPr>
        <w:t xml:space="preserve"> 本文将当代融合视为这一</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的延续：基督教仁爱观念与核心价值观的对话，不是在二者之间寻找</w:t>
      </w:r>
      <w:r>
        <w:rPr>
          <w:rFonts w:hint="eastAsia" w:ascii="宋体" w:hAnsi="宋体" w:eastAsia="宋体" w:cs="宋体"/>
          <w:sz w:val="24"/>
          <w:szCs w:val="24"/>
          <w:lang w:eastAsia="zh-CN"/>
        </w:rPr>
        <w:t>“</w:t>
      </w:r>
      <w:r>
        <w:rPr>
          <w:rFonts w:hint="eastAsia" w:ascii="宋体" w:hAnsi="宋体" w:eastAsia="宋体" w:cs="宋体"/>
          <w:sz w:val="24"/>
          <w:szCs w:val="24"/>
        </w:rPr>
        <w:t>最大公约数</w:t>
      </w:r>
      <w:r>
        <w:rPr>
          <w:rFonts w:hint="eastAsia" w:ascii="宋体" w:hAnsi="宋体" w:eastAsia="宋体" w:cs="宋体"/>
          <w:sz w:val="24"/>
          <w:szCs w:val="24"/>
          <w:lang w:eastAsia="zh-CN"/>
        </w:rPr>
        <w:t>”</w:t>
      </w:r>
      <w:r>
        <w:rPr>
          <w:rFonts w:hint="eastAsia" w:ascii="宋体" w:hAnsi="宋体" w:eastAsia="宋体" w:cs="宋体"/>
          <w:sz w:val="24"/>
          <w:szCs w:val="24"/>
        </w:rPr>
        <w:t>，而是在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中生成兼具双方特质的</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新意义。这一理论视角为第三章第三节分析二者文化内核的契合性提供了分析工具。</w:t>
      </w:r>
    </w:p>
    <w:p w14:paraId="6DD6A973">
      <w:pPr>
        <w:pStyle w:val="4"/>
        <w:bidi w:val="0"/>
        <w:rPr>
          <w:rFonts w:hint="eastAsia"/>
          <w:lang w:val="en-US" w:eastAsia="zh-CN"/>
        </w:rPr>
      </w:pPr>
      <w:bookmarkStart w:id="238" w:name="_Toc1638665191"/>
      <w:bookmarkStart w:id="239" w:name="_Toc1912217826"/>
      <w:bookmarkStart w:id="240" w:name="_Toc1634589663"/>
      <w:bookmarkStart w:id="241" w:name="_Toc980838059"/>
      <w:bookmarkStart w:id="242" w:name="_Toc494368598"/>
      <w:bookmarkStart w:id="243" w:name="_Toc1746372613"/>
      <w:bookmarkStart w:id="244" w:name="_Toc1933340325"/>
      <w:r>
        <w:rPr>
          <w:rFonts w:hint="eastAsia"/>
          <w:lang w:val="en-US" w:eastAsia="zh-CN"/>
        </w:rPr>
        <w:t>三、</w:t>
      </w:r>
      <w:r>
        <w:rPr>
          <w:rFonts w:hint="eastAsia"/>
        </w:rPr>
        <w:t>交叠共识理论：价值对话框架</w:t>
      </w:r>
      <w:bookmarkEnd w:id="238"/>
      <w:bookmarkEnd w:id="239"/>
      <w:bookmarkEnd w:id="240"/>
      <w:bookmarkEnd w:id="241"/>
      <w:bookmarkEnd w:id="242"/>
      <w:bookmarkEnd w:id="243"/>
      <w:bookmarkEnd w:id="244"/>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在价值对话的理论基础方面，Rawls关于多元社会中不同价值体系如何在保持各自内核的前提下达成共识的思考，为本文提供了重要的参照。万俊人将这一理论引入中国语境后，论证了其与儒家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促进社会和谐</w:t>
      </w:r>
      <w:r>
        <w:rPr>
          <w:rFonts w:hint="eastAsia" w:ascii="宋体" w:hAnsi="宋体" w:eastAsia="宋体" w:cs="宋体"/>
          <w:sz w:val="24"/>
          <w:szCs w:val="24"/>
          <w:lang w:eastAsia="zh-CN"/>
        </w:rPr>
        <w:t>”</w:t>
      </w:r>
      <w:r>
        <w:rPr>
          <w:rFonts w:hint="eastAsia" w:ascii="宋体" w:hAnsi="宋体" w:eastAsia="宋体" w:cs="宋体"/>
          <w:sz w:val="24"/>
          <w:szCs w:val="24"/>
        </w:rPr>
        <w:t>等实践性价值上形成</w:t>
      </w:r>
      <w:r>
        <w:rPr>
          <w:rFonts w:hint="eastAsia" w:ascii="宋体" w:hAnsi="宋体" w:eastAsia="宋体" w:cs="宋体"/>
          <w:sz w:val="24"/>
          <w:szCs w:val="24"/>
          <w:lang w:eastAsia="zh-CN"/>
        </w:rPr>
        <w:t>“</w:t>
      </w:r>
      <w:r>
        <w:rPr>
          <w:rFonts w:hint="eastAsia" w:ascii="宋体" w:hAnsi="宋体" w:eastAsia="宋体" w:cs="宋体"/>
          <w:sz w:val="24"/>
          <w:szCs w:val="24"/>
        </w:rPr>
        <w:t>交叠</w:t>
      </w:r>
      <w:r>
        <w:rPr>
          <w:rFonts w:hint="eastAsia" w:ascii="宋体" w:hAnsi="宋体" w:eastAsia="宋体" w:cs="宋体"/>
          <w:sz w:val="24"/>
          <w:szCs w:val="24"/>
          <w:lang w:eastAsia="zh-CN"/>
        </w:rPr>
        <w:t>”</w:t>
      </w:r>
      <w:r>
        <w:rPr>
          <w:rFonts w:hint="eastAsia" w:ascii="宋体" w:hAnsi="宋体" w:eastAsia="宋体" w:cs="宋体"/>
          <w:sz w:val="24"/>
          <w:szCs w:val="24"/>
        </w:rPr>
        <w:t>，实现</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63"/>
      </w:r>
      <w:r>
        <w:rPr>
          <w:rStyle w:val="29"/>
          <w:rFonts w:hint="eastAsia" w:ascii="宋体" w:hAnsi="宋体" w:eastAsia="宋体" w:cs="宋体"/>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这一理论视角为第三章第一节分析二者价值追求的契合性提供了分析工具，同时也回应了</w:t>
      </w:r>
      <w:r>
        <w:rPr>
          <w:rFonts w:hint="eastAsia" w:ascii="宋体" w:hAnsi="宋体" w:eastAsia="宋体" w:cs="宋体"/>
          <w:sz w:val="24"/>
          <w:szCs w:val="24"/>
          <w:lang w:eastAsia="zh-CN"/>
        </w:rPr>
        <w:t>“</w:t>
      </w:r>
      <w:r>
        <w:rPr>
          <w:rFonts w:hint="eastAsia" w:ascii="宋体" w:hAnsi="宋体" w:eastAsia="宋体" w:cs="宋体"/>
          <w:sz w:val="24"/>
          <w:szCs w:val="24"/>
        </w:rPr>
        <w:t>虚假共识论</w:t>
      </w:r>
      <w:r>
        <w:rPr>
          <w:rFonts w:hint="eastAsia" w:ascii="宋体" w:hAnsi="宋体" w:eastAsia="宋体" w:cs="宋体"/>
          <w:sz w:val="24"/>
          <w:szCs w:val="24"/>
          <w:lang w:eastAsia="zh-CN"/>
        </w:rPr>
        <w:t>”</w:t>
      </w:r>
      <w:r>
        <w:rPr>
          <w:rFonts w:hint="eastAsia" w:ascii="宋体" w:hAnsi="宋体" w:eastAsia="宋体" w:cs="宋体"/>
          <w:sz w:val="24"/>
          <w:szCs w:val="24"/>
        </w:rPr>
        <w:t>的质疑——融合不是掩盖差异，而是承认差异前提下的实践合作。</w:t>
      </w:r>
    </w:p>
    <w:p w14:paraId="6A5BDA40">
      <w:pPr>
        <w:pStyle w:val="4"/>
        <w:bidi w:val="0"/>
        <w:rPr>
          <w:rFonts w:hint="eastAsia"/>
          <w:lang w:val="en-US" w:eastAsia="zh-CN"/>
        </w:rPr>
      </w:pPr>
      <w:bookmarkStart w:id="245" w:name="_Toc1552224227"/>
      <w:bookmarkStart w:id="246" w:name="_Toc1937653617"/>
      <w:bookmarkStart w:id="247" w:name="_Toc1715576009"/>
      <w:bookmarkStart w:id="248" w:name="_Toc860783241"/>
      <w:bookmarkStart w:id="249" w:name="_Toc238796343"/>
      <w:bookmarkStart w:id="250" w:name="_Toc1625503142"/>
      <w:bookmarkStart w:id="251" w:name="_Toc75779518"/>
      <w:r>
        <w:rPr>
          <w:rFonts w:hint="eastAsia"/>
          <w:lang w:val="en-US" w:eastAsia="zh-CN"/>
        </w:rPr>
        <w:t>四、</w:t>
      </w:r>
      <w:r>
        <w:rPr>
          <w:rFonts w:hint="eastAsia"/>
        </w:rPr>
        <w:t>处境化神学理论：教义诠释创新框架</w:t>
      </w:r>
      <w:bookmarkEnd w:id="245"/>
      <w:bookmarkEnd w:id="246"/>
      <w:bookmarkEnd w:id="247"/>
      <w:bookmarkEnd w:id="248"/>
      <w:bookmarkEnd w:id="249"/>
      <w:bookmarkEnd w:id="250"/>
      <w:bookmarkEnd w:id="251"/>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在教义诠释的方法论方面，Bevans的处境化神学理论为基督教教义的本土化提供了多种路径选择。其</w:t>
      </w:r>
      <w:r>
        <w:rPr>
          <w:rFonts w:hint="eastAsia" w:ascii="宋体" w:hAnsi="宋体" w:eastAsia="宋体" w:cs="宋体"/>
          <w:sz w:val="24"/>
          <w:szCs w:val="24"/>
          <w:lang w:eastAsia="zh-CN"/>
        </w:rPr>
        <w:t>“</w:t>
      </w:r>
      <w:r>
        <w:rPr>
          <w:rFonts w:hint="eastAsia" w:ascii="宋体" w:hAnsi="宋体" w:eastAsia="宋体" w:cs="宋体"/>
          <w:sz w:val="24"/>
          <w:szCs w:val="24"/>
        </w:rPr>
        <w:t>合成模型</w:t>
      </w:r>
      <w:r>
        <w:rPr>
          <w:rFonts w:hint="eastAsia" w:ascii="宋体" w:hAnsi="宋体" w:eastAsia="宋体" w:cs="宋体"/>
          <w:sz w:val="24"/>
          <w:szCs w:val="24"/>
          <w:lang w:eastAsia="zh-CN"/>
        </w:rPr>
        <w:t>”</w:t>
      </w:r>
      <w:r>
        <w:rPr>
          <w:rFonts w:hint="eastAsia" w:ascii="宋体" w:hAnsi="宋体" w:eastAsia="宋体" w:cs="宋体"/>
          <w:sz w:val="24"/>
          <w:szCs w:val="24"/>
        </w:rPr>
        <w:t>主张在基督教传统与本土文化之间寻找综合点，创造新的神学表达；</w:t>
      </w:r>
      <w:r>
        <w:rPr>
          <w:rFonts w:hint="eastAsia" w:ascii="宋体" w:hAnsi="宋体" w:eastAsia="宋体" w:cs="宋体"/>
          <w:sz w:val="24"/>
          <w:szCs w:val="24"/>
          <w:lang w:eastAsia="zh-CN"/>
        </w:rPr>
        <w:t>“</w:t>
      </w:r>
      <w:r>
        <w:rPr>
          <w:rFonts w:hint="eastAsia" w:ascii="宋体" w:hAnsi="宋体" w:eastAsia="宋体" w:cs="宋体"/>
          <w:sz w:val="24"/>
          <w:szCs w:val="24"/>
        </w:rPr>
        <w:t>自然模型</w:t>
      </w:r>
      <w:r>
        <w:rPr>
          <w:rFonts w:hint="eastAsia" w:ascii="宋体" w:hAnsi="宋体" w:eastAsia="宋体" w:cs="宋体"/>
          <w:sz w:val="24"/>
          <w:szCs w:val="24"/>
          <w:lang w:eastAsia="zh-CN"/>
        </w:rPr>
        <w:t>”</w:t>
      </w:r>
      <w:r>
        <w:rPr>
          <w:rFonts w:hint="eastAsia" w:ascii="宋体" w:hAnsi="宋体" w:eastAsia="宋体" w:cs="宋体"/>
          <w:sz w:val="24"/>
          <w:szCs w:val="24"/>
        </w:rPr>
        <w:t>则主张在本土文化的自然发展中</w:t>
      </w:r>
      <w:r>
        <w:rPr>
          <w:rFonts w:hint="eastAsia" w:ascii="宋体" w:hAnsi="宋体" w:eastAsia="宋体" w:cs="宋体"/>
          <w:sz w:val="24"/>
          <w:szCs w:val="24"/>
          <w:lang w:eastAsia="zh-CN"/>
        </w:rPr>
        <w:t>“</w:t>
      </w:r>
      <w:r>
        <w:rPr>
          <w:rFonts w:hint="eastAsia" w:ascii="宋体" w:hAnsi="宋体" w:eastAsia="宋体" w:cs="宋体"/>
          <w:sz w:val="24"/>
          <w:szCs w:val="24"/>
        </w:rPr>
        <w:t>发现</w:t>
      </w:r>
      <w:r>
        <w:rPr>
          <w:rFonts w:hint="eastAsia" w:ascii="宋体" w:hAnsi="宋体" w:eastAsia="宋体" w:cs="宋体"/>
          <w:sz w:val="24"/>
          <w:szCs w:val="24"/>
          <w:lang w:eastAsia="zh-CN"/>
        </w:rPr>
        <w:t>”</w:t>
      </w:r>
      <w:r>
        <w:rPr>
          <w:rFonts w:hint="eastAsia" w:ascii="宋体" w:hAnsi="宋体" w:eastAsia="宋体" w:cs="宋体"/>
          <w:sz w:val="24"/>
          <w:szCs w:val="24"/>
        </w:rPr>
        <w:t>福音的踪迹，而非强加外来的神学框架。Schreiter进一步指出，本土神学建构需经历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外来神学中的文化霸权元素，然后在本土经验中</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福音的意义。本文提出的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Agape与仁的创造性对接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w:t>
      </w:r>
      <w:r>
        <w:rPr>
          <w:rStyle w:val="29"/>
          <w:rFonts w:hint="eastAsia" w:ascii="宋体" w:hAnsi="宋体" w:eastAsia="宋体" w:cs="宋体"/>
          <w:sz w:val="24"/>
          <w:szCs w:val="24"/>
        </w:rPr>
        <w:footnoteReference w:id="65"/>
      </w:r>
      <w:r>
        <w:rPr>
          <w:rStyle w:val="29"/>
          <w:rFonts w:hint="eastAsia" w:ascii="宋体" w:hAnsi="宋体" w:eastAsia="宋体" w:cs="宋体"/>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Robert Schreiter在《建构本土神学》中进一步指出，本土神学建构需要经历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（deconstruction）与</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（reconstruction）两个阶段：首先解构外来神学中的文化霸权元素，然后在本土经验中重构福音的意义。</w:t>
      </w:r>
      <w:r>
        <w:rPr>
          <w:rStyle w:val="29"/>
          <w:rFonts w:hint="eastAsia" w:ascii="宋体" w:hAnsi="宋体" w:eastAsia="宋体" w:cs="宋体"/>
          <w:sz w:val="24"/>
          <w:szCs w:val="24"/>
        </w:rPr>
        <w:footnoteReference w:id="67"/>
      </w:r>
      <w:r>
        <w:rPr>
          <w:rFonts w:hint="eastAsia" w:ascii="宋体" w:hAnsi="宋体" w:eastAsia="宋体" w:cs="宋体"/>
          <w:sz w:val="24"/>
          <w:szCs w:val="24"/>
        </w:rPr>
        <w:t xml:space="preserve"> 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方案，正是这一方法论的具体应用。2023年《纲要》明确提出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w:t>
      </w:r>
      <w:r>
        <w:rPr>
          <w:rFonts w:hint="eastAsia" w:ascii="宋体" w:hAnsi="宋体" w:eastAsia="宋体" w:cs="宋体"/>
          <w:sz w:val="24"/>
          <w:szCs w:val="24"/>
          <w:lang w:eastAsia="zh-CN"/>
        </w:rPr>
        <w:t>”</w:t>
      </w:r>
      <w:r>
        <w:rPr>
          <w:rFonts w:hint="eastAsia" w:ascii="宋体" w:hAnsi="宋体" w:eastAsia="宋体" w:cs="宋体"/>
          <w:sz w:val="24"/>
          <w:szCs w:val="24"/>
        </w:rPr>
        <w:t>，这一政策要求与处境化神学理论形成了理论与实践的双向互动。</w:t>
      </w:r>
    </w:p>
    <w:p w14:paraId="37A1B6C4">
      <w:pPr>
        <w:pStyle w:val="4"/>
        <w:bidi w:val="0"/>
        <w:rPr>
          <w:rFonts w:hint="eastAsia"/>
          <w:lang w:val="en-US" w:eastAsia="zh-CN"/>
        </w:rPr>
      </w:pPr>
      <w:bookmarkStart w:id="252" w:name="_Toc1570538641"/>
      <w:bookmarkStart w:id="253" w:name="_Toc1734085295"/>
      <w:bookmarkStart w:id="254" w:name="_Toc1702317811"/>
      <w:bookmarkStart w:id="255" w:name="_Toc601239433"/>
      <w:bookmarkStart w:id="256" w:name="_Toc1950684205"/>
      <w:bookmarkStart w:id="257" w:name="_Toc1691834107"/>
      <w:bookmarkStart w:id="258" w:name="_Toc168556355"/>
      <w:r>
        <w:rPr>
          <w:rFonts w:hint="eastAsia"/>
          <w:lang w:val="en-US" w:eastAsia="zh-CN"/>
        </w:rPr>
        <w:t>五、</w:t>
      </w:r>
      <w:r>
        <w:rPr>
          <w:rFonts w:hint="eastAsia"/>
        </w:rPr>
        <w:t>研究边界与理论承诺</w:t>
      </w:r>
      <w:bookmarkEnd w:id="252"/>
      <w:bookmarkEnd w:id="253"/>
      <w:bookmarkEnd w:id="254"/>
      <w:bookmarkEnd w:id="255"/>
      <w:bookmarkEnd w:id="256"/>
      <w:bookmarkEnd w:id="257"/>
      <w:bookmarkEnd w:id="258"/>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Peter Berger的“方法论悬置”原则，即将宗教的“意义功能”与“整合功能”区分，社会学分析仅涉及后者。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41F0EDF3">
      <w:pPr>
        <w:pStyle w:val="2"/>
        <w:bidi w:val="0"/>
        <w:rPr>
          <w:rFonts w:hint="eastAsia"/>
          <w:lang w:val="en-US" w:eastAsia="zh-CN"/>
        </w:rPr>
      </w:pPr>
      <w:bookmarkStart w:id="259" w:name="_Toc1120591296"/>
      <w:bookmarkStart w:id="260" w:name="_Toc1321434010"/>
      <w:bookmarkStart w:id="261" w:name="_Toc2078304143"/>
      <w:bookmarkStart w:id="262" w:name="_Toc1270979628"/>
      <w:bookmarkStart w:id="263" w:name="_Toc1664078333"/>
      <w:bookmarkStart w:id="264" w:name="_Toc1972350069"/>
      <w:bookmarkStart w:id="265" w:name="_Toc395728092"/>
      <w:r>
        <w:rPr>
          <w:rFonts w:hint="eastAsia"/>
          <w:lang w:val="en-US" w:eastAsia="zh-CN"/>
        </w:rPr>
        <w:t>三、</w:t>
      </w:r>
      <w:r>
        <w:rPr>
          <w:rFonts w:hint="eastAsia"/>
        </w:rPr>
        <w:t>基督教仁爱观念与社会主义核心价值观的契合性分析</w:t>
      </w:r>
      <w:bookmarkEnd w:id="259"/>
      <w:bookmarkEnd w:id="260"/>
      <w:bookmarkEnd w:id="261"/>
      <w:bookmarkEnd w:id="262"/>
      <w:bookmarkEnd w:id="263"/>
      <w:bookmarkEnd w:id="264"/>
      <w:bookmarkEnd w:id="265"/>
    </w:p>
    <w:p w14:paraId="15750AA9">
      <w:pPr>
        <w:pStyle w:val="3"/>
        <w:bidi w:val="0"/>
        <w:rPr>
          <w:rFonts w:hint="eastAsia"/>
          <w:lang w:val="en-US" w:eastAsia="zh-CN"/>
        </w:rPr>
      </w:pPr>
      <w:bookmarkStart w:id="266" w:name="_Toc334771087"/>
      <w:bookmarkStart w:id="267" w:name="_Toc1236212946"/>
      <w:bookmarkStart w:id="268" w:name="_Toc346327682"/>
      <w:bookmarkStart w:id="269" w:name="_Toc65528796"/>
      <w:bookmarkStart w:id="270" w:name="_Toc1485007850"/>
      <w:bookmarkStart w:id="271" w:name="_Toc730034591"/>
      <w:bookmarkStart w:id="272" w:name="_Toc245187485"/>
      <w:r>
        <w:rPr>
          <w:rFonts w:hint="eastAsia"/>
          <w:lang w:val="en-US" w:eastAsia="zh-CN"/>
        </w:rPr>
        <w:t xml:space="preserve">第一节 </w:t>
      </w:r>
      <w:r>
        <w:rPr>
          <w:rFonts w:hint="eastAsia"/>
        </w:rPr>
        <w:t>价值追求的契合：对人的尊严与福祉的共同关切</w:t>
      </w:r>
      <w:bookmarkEnd w:id="266"/>
      <w:bookmarkEnd w:id="267"/>
      <w:bookmarkEnd w:id="268"/>
      <w:bookmarkEnd w:id="269"/>
      <w:bookmarkEnd w:id="270"/>
      <w:bookmarkEnd w:id="271"/>
      <w:bookmarkEnd w:id="272"/>
    </w:p>
    <w:p w14:paraId="5C38FD65">
      <w:pPr>
        <w:pStyle w:val="4"/>
        <w:bidi w:val="0"/>
        <w:rPr>
          <w:rFonts w:hint="eastAsia"/>
          <w:lang w:val="en-US" w:eastAsia="zh-CN"/>
        </w:rPr>
      </w:pPr>
      <w:bookmarkStart w:id="273" w:name="_Toc126698697"/>
      <w:bookmarkStart w:id="274" w:name="_Toc1048668004"/>
      <w:bookmarkStart w:id="275" w:name="_Toc90504069"/>
      <w:bookmarkStart w:id="276" w:name="_Toc1830847108"/>
      <w:bookmarkStart w:id="277" w:name="_Toc471989516"/>
      <w:bookmarkStart w:id="278" w:name="_Toc1117295626"/>
      <w:bookmarkStart w:id="279" w:name="_Toc1992425449"/>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bookmarkEnd w:id="273"/>
      <w:bookmarkEnd w:id="274"/>
      <w:bookmarkEnd w:id="275"/>
      <w:bookmarkEnd w:id="276"/>
      <w:bookmarkEnd w:id="277"/>
      <w:bookmarkEnd w:id="278"/>
      <w:bookmarkEnd w:id="279"/>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sz w:val="24"/>
          <w:szCs w:val="24"/>
        </w:rPr>
        <w:footnoteReference w:id="68"/>
      </w:r>
      <w:r>
        <w:rPr>
          <w:rFonts w:hint="eastAsia" w:ascii="宋体" w:hAnsi="宋体" w:eastAsia="宋体" w:cs="宋体"/>
          <w:sz w:val="24"/>
          <w:szCs w:val="24"/>
        </w:rPr>
        <w:t xml:space="preserve"> 从处境化神学角度看，基督教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的诫命在不同文化语境中必然经历</w:t>
      </w:r>
      <w:r>
        <w:rPr>
          <w:rFonts w:hint="eastAsia" w:ascii="宋体" w:hAnsi="宋体" w:eastAsia="宋体" w:cs="宋体"/>
          <w:sz w:val="24"/>
          <w:szCs w:val="24"/>
          <w:lang w:eastAsia="zh-CN"/>
        </w:rPr>
        <w:t>“</w:t>
      </w:r>
      <w:r>
        <w:rPr>
          <w:rFonts w:hint="eastAsia" w:ascii="宋体" w:hAnsi="宋体" w:eastAsia="宋体" w:cs="宋体"/>
          <w:sz w:val="24"/>
          <w:szCs w:val="24"/>
        </w:rPr>
        <w:t>再语境化</w:t>
      </w:r>
      <w:r>
        <w:rPr>
          <w:rFonts w:hint="eastAsia" w:ascii="宋体" w:hAnsi="宋体" w:eastAsia="宋体" w:cs="宋体"/>
          <w:sz w:val="24"/>
          <w:szCs w:val="24"/>
          <w:lang w:eastAsia="zh-CN"/>
        </w:rPr>
        <w:t>”</w:t>
      </w:r>
      <w:r>
        <w:rPr>
          <w:rFonts w:hint="eastAsia" w:ascii="宋体" w:hAnsi="宋体" w:eastAsia="宋体" w:cs="宋体"/>
          <w:sz w:val="24"/>
          <w:szCs w:val="24"/>
        </w:rPr>
        <w:t>（recontextualization）：在希腊罗马语境中，它表现为对陌生人的接待（hospitality）；在欧洲中世纪语境中，它表现为对贫民的救济（almsgiving）；在当代中国语境中，它则应当表现为对社会主义核心价值观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准则的主动践行。</w:t>
      </w:r>
    </w:p>
    <w:p w14:paraId="6D4EC2B8">
      <w:pPr>
        <w:pStyle w:val="4"/>
        <w:bidi w:val="0"/>
        <w:rPr>
          <w:rFonts w:hint="eastAsia"/>
          <w:lang w:val="en-US" w:eastAsia="zh-CN"/>
        </w:rPr>
      </w:pPr>
      <w:bookmarkStart w:id="280" w:name="_Toc1268706302"/>
      <w:bookmarkStart w:id="281" w:name="_Toc564852299"/>
      <w:bookmarkStart w:id="282" w:name="_Toc1901649940"/>
      <w:bookmarkStart w:id="283" w:name="_Toc683465607"/>
      <w:bookmarkStart w:id="284" w:name="_Toc2070687041"/>
      <w:bookmarkStart w:id="285" w:name="_Toc790576814"/>
      <w:bookmarkStart w:id="286" w:name="_Toc982013672"/>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bookmarkEnd w:id="280"/>
      <w:bookmarkEnd w:id="281"/>
      <w:bookmarkEnd w:id="282"/>
      <w:bookmarkEnd w:id="283"/>
      <w:bookmarkEnd w:id="284"/>
      <w:bookmarkEnd w:id="285"/>
      <w:bookmarkEnd w:id="286"/>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，价值逻辑的起点与归宿均指向</w:t>
      </w:r>
      <w:r>
        <w:rPr>
          <w:rFonts w:hint="eastAsia" w:ascii="宋体" w:hAnsi="宋体" w:eastAsia="宋体" w:cs="宋体"/>
          <w:sz w:val="24"/>
          <w:szCs w:val="24"/>
          <w:lang w:eastAsia="zh-CN"/>
        </w:rPr>
        <w:t>“</w:t>
      </w:r>
      <w:r>
        <w:rPr>
          <w:rFonts w:hint="eastAsia" w:ascii="宋体" w:hAnsi="宋体" w:eastAsia="宋体" w:cs="宋体"/>
          <w:sz w:val="24"/>
          <w:szCs w:val="24"/>
        </w:rPr>
        <w:t>以人民为中心</w:t>
      </w:r>
      <w:r>
        <w:rPr>
          <w:rFonts w:hint="eastAsia" w:ascii="宋体" w:hAnsi="宋体" w:eastAsia="宋体" w:cs="宋体"/>
          <w:sz w:val="24"/>
          <w:szCs w:val="24"/>
          <w:lang w:eastAsia="zh-CN"/>
        </w:rPr>
        <w:t>”</w:t>
      </w:r>
      <w:r>
        <w:rPr>
          <w:rFonts w:hint="eastAsia" w:ascii="宋体" w:hAnsi="宋体" w:eastAsia="宋体" w:cs="宋体"/>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从理论渊源上看，这一逻辑继承并发展了中华传统文化中源远流长的民本思想，如</w:t>
      </w:r>
      <w:r>
        <w:rPr>
          <w:rFonts w:hint="eastAsia" w:ascii="宋体" w:hAnsi="宋体" w:eastAsia="宋体" w:cs="宋体"/>
          <w:sz w:val="24"/>
          <w:szCs w:val="24"/>
          <w:lang w:eastAsia="zh-CN"/>
        </w:rPr>
        <w:t>“</w:t>
      </w:r>
      <w:r>
        <w:rPr>
          <w:rFonts w:hint="eastAsia" w:ascii="宋体" w:hAnsi="宋体" w:eastAsia="宋体" w:cs="宋体"/>
          <w:sz w:val="24"/>
          <w:szCs w:val="24"/>
        </w:rPr>
        <w:t>民惟邦本，本固邦宁</w:t>
      </w:r>
      <w:r>
        <w:rPr>
          <w:rFonts w:hint="eastAsia" w:ascii="宋体" w:hAnsi="宋体" w:eastAsia="宋体" w:cs="宋体"/>
          <w:sz w:val="24"/>
          <w:szCs w:val="24"/>
          <w:lang w:eastAsia="zh-CN"/>
        </w:rPr>
        <w:t>”</w:t>
      </w:r>
      <w:r>
        <w:rPr>
          <w:rFonts w:hint="eastAsia" w:ascii="宋体" w:hAnsi="宋体" w:eastAsia="宋体" w:cs="宋体"/>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价值理念在法律制度中的具体落实。</w:t>
      </w:r>
    </w:p>
    <w:p w14:paraId="606A0C73">
      <w:pPr>
        <w:pStyle w:val="4"/>
        <w:bidi w:val="0"/>
        <w:rPr>
          <w:rFonts w:hint="eastAsia"/>
          <w:lang w:val="en-US" w:eastAsia="zh-CN"/>
        </w:rPr>
      </w:pPr>
      <w:bookmarkStart w:id="287" w:name="_Toc116429046"/>
      <w:bookmarkStart w:id="288" w:name="_Toc1594869553"/>
      <w:bookmarkStart w:id="289" w:name="_Toc31423279"/>
      <w:bookmarkStart w:id="290" w:name="_Toc781686651"/>
      <w:bookmarkStart w:id="291" w:name="_Toc2064598452"/>
      <w:bookmarkStart w:id="292" w:name="_Toc743188909"/>
      <w:bookmarkStart w:id="293" w:name="_Toc1291958109"/>
      <w:r>
        <w:rPr>
          <w:rFonts w:hint="eastAsia"/>
          <w:lang w:val="en-US" w:eastAsia="zh-CN"/>
        </w:rPr>
        <w:t>三、</w:t>
      </w:r>
      <w:r>
        <w:rPr>
          <w:rFonts w:hint="eastAsia"/>
        </w:rPr>
        <w:t>二者价值追求的交叠共识：差异中的统一</w:t>
      </w:r>
      <w:bookmarkEnd w:id="287"/>
      <w:bookmarkEnd w:id="288"/>
      <w:bookmarkEnd w:id="289"/>
      <w:bookmarkEnd w:id="290"/>
      <w:bookmarkEnd w:id="291"/>
      <w:bookmarkEnd w:id="292"/>
      <w:bookmarkEnd w:id="293"/>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sz w:val="24"/>
          <w:szCs w:val="24"/>
          <w:lang w:eastAsia="zh-CN"/>
        </w:rPr>
        <w:t>“</w:t>
      </w:r>
      <w:r>
        <w:rPr>
          <w:rFonts w:hint="eastAsia" w:ascii="宋体" w:hAnsi="宋体" w:eastAsia="宋体" w:cs="宋体"/>
          <w:sz w:val="24"/>
          <w:szCs w:val="24"/>
        </w:rPr>
        <w:t>爱邻舍</w:t>
      </w:r>
      <w:r>
        <w:rPr>
          <w:rFonts w:hint="eastAsia" w:ascii="宋体" w:hAnsi="宋体" w:eastAsia="宋体" w:cs="宋体"/>
          <w:sz w:val="24"/>
          <w:szCs w:val="24"/>
          <w:lang w:eastAsia="zh-CN"/>
        </w:rPr>
        <w:t>”</w:t>
      </w:r>
      <w:r>
        <w:rPr>
          <w:rFonts w:hint="eastAsia" w:ascii="宋体" w:hAnsi="宋体" w:eastAsia="宋体" w:cs="宋体"/>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与此相应，社会主义核心价值观将</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从政治哲学的视角看，基督教仁爱观念与核心价值观属于两种不同的</w:t>
      </w:r>
      <w:r>
        <w:rPr>
          <w:rFonts w:hint="eastAsia" w:ascii="宋体" w:hAnsi="宋体" w:eastAsia="宋体" w:cs="宋体"/>
          <w:sz w:val="24"/>
          <w:szCs w:val="24"/>
          <w:lang w:eastAsia="zh-CN"/>
        </w:rPr>
        <w:t>“</w:t>
      </w:r>
      <w:r>
        <w:rPr>
          <w:rFonts w:hint="eastAsia" w:ascii="宋体" w:hAnsi="宋体" w:eastAsia="宋体" w:cs="宋体"/>
          <w:sz w:val="24"/>
          <w:szCs w:val="24"/>
        </w:rPr>
        <w:t>整全性学说</w:t>
      </w:r>
      <w:r>
        <w:rPr>
          <w:rFonts w:hint="eastAsia" w:ascii="宋体" w:hAnsi="宋体" w:eastAsia="宋体" w:cs="宋体"/>
          <w:sz w:val="24"/>
          <w:szCs w:val="24"/>
          <w:lang w:eastAsia="zh-CN"/>
        </w:rPr>
        <w:t>”</w:t>
      </w:r>
      <w:r>
        <w:rPr>
          <w:rFonts w:hint="eastAsia" w:ascii="宋体" w:hAnsi="宋体" w:eastAsia="宋体" w:cs="宋体"/>
          <w:sz w:val="24"/>
          <w:szCs w:val="24"/>
        </w:rPr>
        <w:t>（Comprehensive Doctrines），前者以上帝为价值根基，后者以人民为主体，二者在</w:t>
      </w:r>
      <w:r>
        <w:rPr>
          <w:rFonts w:hint="eastAsia" w:ascii="宋体" w:hAnsi="宋体" w:eastAsia="宋体" w:cs="宋体"/>
          <w:sz w:val="24"/>
          <w:szCs w:val="24"/>
          <w:lang w:eastAsia="zh-CN"/>
        </w:rPr>
        <w:t>“</w:t>
      </w:r>
      <w:r>
        <w:rPr>
          <w:rFonts w:hint="eastAsia" w:ascii="宋体" w:hAnsi="宋体" w:eastAsia="宋体" w:cs="宋体"/>
          <w:sz w:val="24"/>
          <w:szCs w:val="24"/>
        </w:rPr>
        <w:t>终极关切</w:t>
      </w:r>
      <w:r>
        <w:rPr>
          <w:rFonts w:hint="eastAsia" w:ascii="宋体" w:hAnsi="宋体" w:eastAsia="宋体" w:cs="宋体"/>
          <w:sz w:val="24"/>
          <w:szCs w:val="24"/>
          <w:lang w:eastAsia="zh-CN"/>
        </w:rPr>
        <w:t>”</w:t>
      </w:r>
      <w:r>
        <w:rPr>
          <w:rFonts w:hint="eastAsia" w:ascii="宋体" w:hAnsi="宋体" w:eastAsia="宋体" w:cs="宋体"/>
          <w:sz w:val="24"/>
          <w:szCs w:val="24"/>
        </w:rPr>
        <w:t>层面不可通约。但在公共伦理层面，二者可以就</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促进社会福祉</w:t>
      </w:r>
      <w:r>
        <w:rPr>
          <w:rFonts w:hint="eastAsia" w:ascii="宋体" w:hAnsi="宋体" w:eastAsia="宋体" w:cs="宋体"/>
          <w:sz w:val="24"/>
          <w:szCs w:val="24"/>
          <w:lang w:eastAsia="zh-CN"/>
        </w:rPr>
        <w:t>”</w:t>
      </w:r>
      <w:r>
        <w:rPr>
          <w:rFonts w:hint="eastAsia" w:ascii="宋体" w:hAnsi="宋体" w:eastAsia="宋体" w:cs="宋体"/>
          <w:sz w:val="24"/>
          <w:szCs w:val="24"/>
        </w:rPr>
        <w:t>等实践性价值达成</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——这不是掩盖差异的</w:t>
      </w:r>
      <w:r>
        <w:rPr>
          <w:rFonts w:hint="eastAsia" w:ascii="宋体" w:hAnsi="宋体" w:eastAsia="宋体" w:cs="宋体"/>
          <w:sz w:val="24"/>
          <w:szCs w:val="24"/>
          <w:lang w:eastAsia="zh-CN"/>
        </w:rPr>
        <w:t>“</w:t>
      </w:r>
      <w:r>
        <w:rPr>
          <w:rFonts w:hint="eastAsia" w:ascii="宋体" w:hAnsi="宋体" w:eastAsia="宋体" w:cs="宋体"/>
          <w:sz w:val="24"/>
          <w:szCs w:val="24"/>
        </w:rPr>
        <w:t>虚假共识</w:t>
      </w:r>
      <w:r>
        <w:rPr>
          <w:rFonts w:hint="eastAsia" w:ascii="宋体" w:hAnsi="宋体" w:eastAsia="宋体" w:cs="宋体"/>
          <w:sz w:val="24"/>
          <w:szCs w:val="24"/>
          <w:lang w:eastAsia="zh-CN"/>
        </w:rPr>
        <w:t>”</w:t>
      </w:r>
      <w:r>
        <w:rPr>
          <w:rFonts w:hint="eastAsia" w:ascii="宋体" w:hAnsi="宋体" w:eastAsia="宋体" w:cs="宋体"/>
          <w:sz w:val="24"/>
          <w:szCs w:val="24"/>
        </w:rPr>
        <w:t>，而是承认</w:t>
      </w:r>
      <w:r>
        <w:rPr>
          <w:rFonts w:hint="eastAsia" w:ascii="宋体" w:hAnsi="宋体" w:eastAsia="宋体" w:cs="宋体"/>
          <w:sz w:val="24"/>
          <w:szCs w:val="24"/>
          <w:lang w:eastAsia="zh-CN"/>
        </w:rPr>
        <w:t>“</w:t>
      </w:r>
      <w:r>
        <w:rPr>
          <w:rFonts w:hint="eastAsia" w:ascii="宋体" w:hAnsi="宋体" w:eastAsia="宋体" w:cs="宋体"/>
          <w:sz w:val="24"/>
          <w:szCs w:val="24"/>
        </w:rPr>
        <w:t>不可通约性</w:t>
      </w:r>
      <w:r>
        <w:rPr>
          <w:rFonts w:hint="eastAsia" w:ascii="宋体" w:hAnsi="宋体" w:eastAsia="宋体" w:cs="宋体"/>
          <w:sz w:val="24"/>
          <w:szCs w:val="24"/>
          <w:lang w:eastAsia="zh-CN"/>
        </w:rPr>
        <w:t>”</w:t>
      </w:r>
      <w:r>
        <w:rPr>
          <w:rFonts w:hint="eastAsia" w:ascii="宋体" w:hAnsi="宋体" w:eastAsia="宋体" w:cs="宋体"/>
          <w:sz w:val="24"/>
          <w:szCs w:val="24"/>
        </w:rPr>
        <w:t>前提下的</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以原典文本为参照，可以更清晰地看到这一交叠共识的生成机制。《论语·颜渊》载</w:t>
      </w:r>
      <w:r>
        <w:rPr>
          <w:rFonts w:hint="eastAsia" w:ascii="宋体" w:hAnsi="宋体" w:eastAsia="宋体" w:cs="宋体"/>
          <w:sz w:val="24"/>
          <w:szCs w:val="24"/>
          <w:lang w:eastAsia="zh-CN"/>
        </w:rPr>
        <w:t>“</w:t>
      </w:r>
      <w:r>
        <w:rPr>
          <w:rFonts w:hint="eastAsia" w:ascii="宋体" w:hAnsi="宋体" w:eastAsia="宋体" w:cs="宋体"/>
          <w:sz w:val="24"/>
          <w:szCs w:val="24"/>
        </w:rPr>
        <w:t>樊迟问仁，子曰：爱人</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的核心要义即在于</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；《礼记·礼运》提出</w:t>
      </w:r>
      <w:r>
        <w:rPr>
          <w:rFonts w:hint="eastAsia" w:ascii="宋体" w:hAnsi="宋体" w:eastAsia="宋体" w:cs="宋体"/>
          <w:sz w:val="24"/>
          <w:szCs w:val="24"/>
          <w:lang w:eastAsia="zh-CN"/>
        </w:rPr>
        <w:t>“</w:t>
      </w:r>
      <w:r>
        <w:rPr>
          <w:rFonts w:hint="eastAsia" w:ascii="宋体" w:hAnsi="宋体" w:eastAsia="宋体" w:cs="宋体"/>
          <w:sz w:val="24"/>
          <w:szCs w:val="24"/>
        </w:rPr>
        <w:t>大道之行也，天下为公</w:t>
      </w:r>
      <w:r>
        <w:rPr>
          <w:rFonts w:hint="eastAsia" w:ascii="宋体" w:hAnsi="宋体" w:eastAsia="宋体" w:cs="宋体"/>
          <w:sz w:val="24"/>
          <w:szCs w:val="24"/>
          <w:lang w:eastAsia="zh-CN"/>
        </w:rPr>
        <w:t>”</w:t>
      </w:r>
      <w:r>
        <w:rPr>
          <w:rFonts w:hint="eastAsia" w:ascii="宋体" w:hAnsi="宋体" w:eastAsia="宋体" w:cs="宋体"/>
          <w:sz w:val="24"/>
          <w:szCs w:val="24"/>
        </w:rPr>
        <w:t>，确立了中华文明对社会公义的追求。这两条经典论述与基督教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w:t>
      </w:r>
      <w:r>
        <w:rPr>
          <w:rFonts w:hint="eastAsia" w:ascii="宋体" w:hAnsi="宋体" w:eastAsia="宋体" w:cs="宋体"/>
          <w:sz w:val="24"/>
          <w:szCs w:val="24"/>
          <w:lang w:eastAsia="zh-CN"/>
        </w:rPr>
        <w:t>“</w:t>
      </w:r>
      <w:r>
        <w:rPr>
          <w:rFonts w:hint="eastAsia" w:ascii="宋体" w:hAnsi="宋体" w:eastAsia="宋体" w:cs="宋体"/>
          <w:sz w:val="24"/>
          <w:szCs w:val="24"/>
        </w:rPr>
        <w:t>行公义，好怜悯</w:t>
      </w:r>
      <w:r>
        <w:rPr>
          <w:rFonts w:hint="eastAsia" w:ascii="宋体" w:hAnsi="宋体" w:eastAsia="宋体" w:cs="宋体"/>
          <w:sz w:val="24"/>
          <w:szCs w:val="24"/>
          <w:lang w:eastAsia="zh-CN"/>
        </w:rPr>
        <w:t>”</w:t>
      </w:r>
      <w:r>
        <w:rPr>
          <w:rFonts w:hint="eastAsia" w:ascii="宋体" w:hAnsi="宋体" w:eastAsia="宋体" w:cs="宋体"/>
          <w:sz w:val="24"/>
          <w:szCs w:val="24"/>
        </w:rPr>
        <w:t>的教导（弥6:8）在伦理实践层面形成了深刻的呼应。值得注意的是，这种呼应不是简单的概念等同，而是在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中生成的</w:t>
      </w:r>
      <w:r>
        <w:rPr>
          <w:rFonts w:hint="eastAsia" w:ascii="宋体" w:hAnsi="宋体" w:eastAsia="宋体" w:cs="宋体"/>
          <w:sz w:val="24"/>
          <w:szCs w:val="24"/>
          <w:lang w:eastAsia="zh-CN"/>
        </w:rPr>
        <w:t>“</w:t>
      </w:r>
      <w:r>
        <w:rPr>
          <w:rFonts w:hint="eastAsia" w:ascii="宋体" w:hAnsi="宋体" w:eastAsia="宋体" w:cs="宋体"/>
          <w:sz w:val="24"/>
          <w:szCs w:val="24"/>
        </w:rPr>
        <w:t>创造性诠释</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为基督教Agape提供了</w:t>
      </w:r>
      <w:r>
        <w:rPr>
          <w:rFonts w:hint="eastAsia" w:ascii="宋体" w:hAnsi="宋体" w:eastAsia="宋体" w:cs="宋体"/>
          <w:sz w:val="24"/>
          <w:szCs w:val="24"/>
          <w:lang w:eastAsia="zh-CN"/>
        </w:rPr>
        <w:t>“</w:t>
      </w:r>
      <w:r>
        <w:rPr>
          <w:rFonts w:hint="eastAsia" w:ascii="宋体" w:hAnsi="宋体" w:eastAsia="宋体" w:cs="宋体"/>
          <w:sz w:val="24"/>
          <w:szCs w:val="24"/>
        </w:rPr>
        <w:t>差序推扩</w:t>
      </w:r>
      <w:r>
        <w:rPr>
          <w:rFonts w:hint="eastAsia" w:ascii="宋体" w:hAnsi="宋体" w:eastAsia="宋体" w:cs="宋体"/>
          <w:sz w:val="24"/>
          <w:szCs w:val="24"/>
          <w:lang w:eastAsia="zh-CN"/>
        </w:rPr>
        <w:t>”</w:t>
      </w:r>
      <w:r>
        <w:rPr>
          <w:rFonts w:hint="eastAsia" w:ascii="宋体" w:hAnsi="宋体" w:eastAsia="宋体" w:cs="宋体"/>
          <w:sz w:val="24"/>
          <w:szCs w:val="24"/>
        </w:rPr>
        <w:t>的本土化路径，而基督教Agape的普遍主义则为儒家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突破了</w:t>
      </w:r>
      <w:r>
        <w:rPr>
          <w:rFonts w:hint="eastAsia" w:ascii="宋体" w:hAnsi="宋体" w:eastAsia="宋体" w:cs="宋体"/>
          <w:sz w:val="24"/>
          <w:szCs w:val="24"/>
          <w:lang w:eastAsia="zh-CN"/>
        </w:rPr>
        <w:t>“</w:t>
      </w:r>
      <w:r>
        <w:rPr>
          <w:rFonts w:hint="eastAsia" w:ascii="宋体" w:hAnsi="宋体" w:eastAsia="宋体" w:cs="宋体"/>
          <w:sz w:val="24"/>
          <w:szCs w:val="24"/>
        </w:rPr>
        <w:t>爱有差等</w:t>
      </w:r>
      <w:r>
        <w:rPr>
          <w:rFonts w:hint="eastAsia" w:ascii="宋体" w:hAnsi="宋体" w:eastAsia="宋体" w:cs="宋体"/>
          <w:sz w:val="24"/>
          <w:szCs w:val="24"/>
          <w:lang w:eastAsia="zh-CN"/>
        </w:rPr>
        <w:t>”</w:t>
      </w:r>
      <w:r>
        <w:rPr>
          <w:rFonts w:hint="eastAsia" w:ascii="宋体" w:hAnsi="宋体" w:eastAsia="宋体" w:cs="宋体"/>
          <w:sz w:val="24"/>
          <w:szCs w:val="24"/>
        </w:rPr>
        <w:t>的局限，二者在对话中各自获得了新的理论生命力。</w:t>
      </w:r>
    </w:p>
    <w:p w14:paraId="3AE4CC9E">
      <w:pPr>
        <w:pStyle w:val="4"/>
        <w:bidi w:val="0"/>
        <w:rPr>
          <w:rFonts w:hint="eastAsia"/>
          <w:lang w:val="en-US" w:eastAsia="zh-CN"/>
        </w:rPr>
      </w:pPr>
      <w:bookmarkStart w:id="294" w:name="_Toc665414538"/>
      <w:bookmarkStart w:id="295" w:name="_Toc1011102611"/>
      <w:bookmarkStart w:id="296" w:name="_Toc732783146"/>
      <w:r>
        <w:rPr>
          <w:rFonts w:hint="eastAsia"/>
        </w:rPr>
        <w:t>四、“公正”与“平等”：基督教社会伦理与核心价值观的深层契合</w:t>
      </w:r>
      <w:bookmarkEnd w:id="294"/>
      <w:bookmarkEnd w:id="295"/>
      <w:bookmarkEnd w:id="296"/>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Justice/Righteousness）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471E2D32">
      <w:pPr>
        <w:pStyle w:val="3"/>
        <w:bidi w:val="0"/>
        <w:rPr>
          <w:rFonts w:hint="eastAsia"/>
          <w:lang w:val="en-US" w:eastAsia="zh-CN"/>
        </w:rPr>
      </w:pPr>
      <w:bookmarkStart w:id="297" w:name="_Toc812823086"/>
      <w:bookmarkStart w:id="298" w:name="_Toc1997556638"/>
      <w:bookmarkStart w:id="299" w:name="_Toc465373705"/>
      <w:bookmarkStart w:id="300" w:name="_Toc1650074658"/>
      <w:bookmarkStart w:id="301" w:name="_Toc1674790237"/>
      <w:bookmarkStart w:id="302" w:name="_Toc563484366"/>
      <w:bookmarkStart w:id="303" w:name="_Toc67619277"/>
      <w:r>
        <w:rPr>
          <w:rFonts w:hint="eastAsia"/>
          <w:lang w:val="en-US" w:eastAsia="zh-CN"/>
        </w:rPr>
        <w:t xml:space="preserve">第二节 </w:t>
      </w:r>
      <w:r>
        <w:rPr>
          <w:rFonts w:hint="eastAsia"/>
        </w:rPr>
        <w:t>社会功能的契合：对社会和谐与稳定的共同维护</w:t>
      </w:r>
      <w:bookmarkEnd w:id="297"/>
      <w:bookmarkEnd w:id="298"/>
      <w:bookmarkEnd w:id="299"/>
      <w:bookmarkEnd w:id="300"/>
      <w:bookmarkEnd w:id="301"/>
      <w:bookmarkEnd w:id="302"/>
      <w:bookmarkEnd w:id="303"/>
    </w:p>
    <w:p w14:paraId="0FEC4982">
      <w:pPr>
        <w:pStyle w:val="4"/>
        <w:bidi w:val="0"/>
        <w:rPr>
          <w:rFonts w:hint="eastAsia"/>
          <w:lang w:val="en-US" w:eastAsia="zh-CN"/>
        </w:rPr>
      </w:pPr>
      <w:bookmarkStart w:id="304" w:name="_Toc200959648"/>
      <w:bookmarkStart w:id="305" w:name="_Toc400417561"/>
      <w:bookmarkStart w:id="306" w:name="_Toc1322561315"/>
      <w:bookmarkStart w:id="307" w:name="_Toc974127835"/>
      <w:bookmarkStart w:id="308" w:name="_Toc1131352030"/>
      <w:bookmarkStart w:id="309" w:name="_Toc78856092"/>
      <w:bookmarkStart w:id="310" w:name="_Toc458339276"/>
      <w:r>
        <w:rPr>
          <w:rFonts w:hint="eastAsia"/>
          <w:lang w:val="en-US" w:eastAsia="zh-CN"/>
        </w:rPr>
        <w:t>一、</w:t>
      </w:r>
      <w:r>
        <w:rPr>
          <w:rFonts w:hint="eastAsia"/>
        </w:rPr>
        <w:t>基督教仁爱观念的社会调节与伦理约束功能</w:t>
      </w:r>
      <w:bookmarkEnd w:id="304"/>
      <w:bookmarkEnd w:id="305"/>
      <w:bookmarkEnd w:id="306"/>
      <w:bookmarkEnd w:id="307"/>
      <w:bookmarkEnd w:id="308"/>
      <w:bookmarkEnd w:id="309"/>
      <w:bookmarkEnd w:id="310"/>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Stanley Hauerwas在《品格的社群》中指出，基督教伦理的核心功能不在于提供普遍适用的道德法则，而在于塑造具有特定品格（character）的社群成员，这些成员通过日常实践中的“叙事性认同”（narrative identity）成为社会稳定的微观基础。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sz w:val="24"/>
          <w:szCs w:val="24"/>
        </w:rPr>
        <w:footnoteReference w:id="71"/>
      </w:r>
    </w:p>
    <w:p w14:paraId="585457D2">
      <w:pPr>
        <w:pStyle w:val="4"/>
        <w:bidi w:val="0"/>
        <w:rPr>
          <w:rFonts w:hint="eastAsia"/>
          <w:lang w:val="en-US" w:eastAsia="zh-CN"/>
        </w:rPr>
      </w:pPr>
      <w:bookmarkStart w:id="311" w:name="_Toc1751681676"/>
      <w:bookmarkStart w:id="312" w:name="_Toc1898681764"/>
      <w:bookmarkStart w:id="313" w:name="_Toc1832274755"/>
      <w:bookmarkStart w:id="314" w:name="_Toc1684510852"/>
      <w:bookmarkStart w:id="315" w:name="_Toc813357672"/>
      <w:bookmarkStart w:id="316" w:name="_Toc336928045"/>
      <w:bookmarkStart w:id="317" w:name="_Toc284369943"/>
      <w:r>
        <w:rPr>
          <w:rFonts w:hint="eastAsia"/>
          <w:lang w:val="en-US" w:eastAsia="zh-CN"/>
        </w:rPr>
        <w:t>二、</w:t>
      </w:r>
      <w:r>
        <w:rPr>
          <w:rFonts w:hint="eastAsia"/>
        </w:rPr>
        <w:t>核心价值观的社会整合与公序良俗维护功能</w:t>
      </w:r>
      <w:bookmarkEnd w:id="311"/>
      <w:bookmarkEnd w:id="312"/>
      <w:bookmarkEnd w:id="313"/>
      <w:bookmarkEnd w:id="314"/>
      <w:bookmarkEnd w:id="315"/>
      <w:bookmarkEnd w:id="316"/>
      <w:bookmarkEnd w:id="317"/>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富强、民主、文明、和谐</w:t>
      </w:r>
      <w:r>
        <w:rPr>
          <w:rFonts w:hint="eastAsia" w:ascii="宋体" w:hAnsi="宋体" w:eastAsia="宋体" w:cs="宋体"/>
          <w:sz w:val="24"/>
          <w:szCs w:val="24"/>
          <w:lang w:eastAsia="zh-CN"/>
        </w:rPr>
        <w:t>”</w:t>
      </w:r>
      <w:r>
        <w:rPr>
          <w:rFonts w:hint="eastAsia" w:ascii="宋体" w:hAnsi="宋体" w:eastAsia="宋体" w:cs="宋体"/>
          <w:sz w:val="24"/>
          <w:szCs w:val="24"/>
        </w:rPr>
        <w:t>国家目标，</w:t>
      </w:r>
      <w:r>
        <w:rPr>
          <w:rFonts w:hint="eastAsia" w:ascii="宋体" w:hAnsi="宋体" w:eastAsia="宋体" w:cs="宋体"/>
          <w:sz w:val="24"/>
          <w:szCs w:val="24"/>
          <w:lang w:eastAsia="zh-CN"/>
        </w:rPr>
        <w:t>“</w:t>
      </w:r>
      <w:r>
        <w:rPr>
          <w:rFonts w:hint="eastAsia" w:ascii="宋体" w:hAnsi="宋体" w:eastAsia="宋体" w:cs="宋体"/>
          <w:sz w:val="24"/>
          <w:szCs w:val="24"/>
        </w:rPr>
        <w:t>自由、平等、公正、法治</w:t>
      </w:r>
      <w:r>
        <w:rPr>
          <w:rFonts w:hint="eastAsia" w:ascii="宋体" w:hAnsi="宋体" w:eastAsia="宋体" w:cs="宋体"/>
          <w:sz w:val="24"/>
          <w:szCs w:val="24"/>
          <w:lang w:eastAsia="zh-CN"/>
        </w:rPr>
        <w:t>”</w:t>
      </w:r>
      <w:r>
        <w:rPr>
          <w:rFonts w:hint="eastAsia" w:ascii="宋体" w:hAnsi="宋体" w:eastAsia="宋体" w:cs="宋体"/>
          <w:sz w:val="24"/>
          <w:szCs w:val="24"/>
        </w:rPr>
        <w:t>社会取向，以及</w:t>
      </w:r>
      <w:r>
        <w:rPr>
          <w:rFonts w:hint="eastAsia" w:ascii="宋体" w:hAnsi="宋体" w:eastAsia="宋体" w:cs="宋体"/>
          <w:sz w:val="24"/>
          <w:szCs w:val="24"/>
          <w:lang w:eastAsia="zh-CN"/>
        </w:rPr>
        <w:t>“</w:t>
      </w:r>
      <w:r>
        <w:rPr>
          <w:rFonts w:hint="eastAsia" w:ascii="宋体" w:hAnsi="宋体" w:eastAsia="宋体" w:cs="宋体"/>
          <w:sz w:val="24"/>
          <w:szCs w:val="24"/>
        </w:rPr>
        <w:t>爱国、敬业、诚信、友善</w:t>
      </w:r>
      <w:r>
        <w:rPr>
          <w:rFonts w:hint="eastAsia" w:ascii="宋体" w:hAnsi="宋体" w:eastAsia="宋体" w:cs="宋体"/>
          <w:sz w:val="24"/>
          <w:szCs w:val="24"/>
          <w:lang w:eastAsia="zh-CN"/>
        </w:rPr>
        <w:t>”</w:t>
      </w:r>
      <w:r>
        <w:rPr>
          <w:rFonts w:hint="eastAsia" w:ascii="宋体" w:hAnsi="宋体" w:eastAsia="宋体" w:cs="宋体"/>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法治</w:t>
      </w:r>
      <w:r>
        <w:rPr>
          <w:rFonts w:hint="eastAsia" w:ascii="宋体" w:hAnsi="宋体" w:eastAsia="宋体" w:cs="宋体"/>
          <w:sz w:val="24"/>
          <w:szCs w:val="24"/>
          <w:lang w:eastAsia="zh-CN"/>
        </w:rPr>
        <w:t>”</w:t>
      </w:r>
      <w:r>
        <w:rPr>
          <w:rFonts w:hint="eastAsia" w:ascii="宋体" w:hAnsi="宋体" w:eastAsia="宋体" w:cs="宋体"/>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通过将这些价值理念融入法律法规、政策制度和社会治理的方方面面，能够潜移默化地规范社会行为，调节人际关系。</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价值倡导下社会信用体系的建设，不仅惩戒失信，更激励守信，优化了市场环境和社会交往环境；</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lang w:val="en-US" w:eastAsia="zh-CN"/>
        </w:rPr>
      </w:pPr>
      <w:bookmarkStart w:id="318" w:name="_Toc1296971163"/>
      <w:bookmarkStart w:id="319" w:name="_Toc1684896775"/>
      <w:bookmarkStart w:id="320" w:name="_Toc660611809"/>
      <w:bookmarkStart w:id="321" w:name="_Toc126309305"/>
      <w:bookmarkStart w:id="322" w:name="_Toc1368980149"/>
      <w:bookmarkStart w:id="323" w:name="_Toc1982758823"/>
      <w:bookmarkStart w:id="324" w:name="_Toc1254517426"/>
      <w:r>
        <w:rPr>
          <w:rFonts w:hint="eastAsia"/>
          <w:lang w:val="en-US" w:eastAsia="zh-CN"/>
        </w:rPr>
        <w:t>三、</w:t>
      </w:r>
      <w:r>
        <w:rPr>
          <w:rFonts w:hint="eastAsia"/>
        </w:rPr>
        <w:t>二者社会功能的互补性竞争关系</w:t>
      </w:r>
      <w:bookmarkEnd w:id="318"/>
      <w:bookmarkEnd w:id="319"/>
      <w:bookmarkEnd w:id="320"/>
      <w:bookmarkEnd w:id="321"/>
      <w:bookmarkEnd w:id="322"/>
      <w:bookmarkEnd w:id="323"/>
      <w:bookmarkEnd w:id="324"/>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sz w:val="24"/>
          <w:szCs w:val="24"/>
          <w:lang w:eastAsia="zh-CN"/>
        </w:rPr>
        <w:t>“</w:t>
      </w:r>
      <w:r>
        <w:rPr>
          <w:rFonts w:hint="eastAsia" w:ascii="宋体" w:hAnsi="宋体" w:eastAsia="宋体" w:cs="宋体"/>
          <w:sz w:val="24"/>
          <w:szCs w:val="24"/>
        </w:rPr>
        <w:t>社会服务版本</w:t>
      </w:r>
      <w:r>
        <w:rPr>
          <w:rFonts w:hint="eastAsia" w:ascii="宋体" w:hAnsi="宋体" w:eastAsia="宋体" w:cs="宋体"/>
          <w:sz w:val="24"/>
          <w:szCs w:val="24"/>
          <w:lang w:eastAsia="zh-CN"/>
        </w:rPr>
        <w:t>”</w:t>
      </w:r>
      <w:r>
        <w:rPr>
          <w:rFonts w:hint="eastAsia" w:ascii="宋体" w:hAnsi="宋体" w:eastAsia="宋体" w:cs="宋体"/>
          <w:sz w:val="24"/>
          <w:szCs w:val="24"/>
        </w:rPr>
        <w:t>——通过满足社会的公共需求来获取社会认可度。当这一</w:t>
      </w:r>
      <w:r>
        <w:rPr>
          <w:rFonts w:hint="eastAsia" w:ascii="宋体" w:hAnsi="宋体" w:eastAsia="宋体" w:cs="宋体"/>
          <w:sz w:val="24"/>
          <w:szCs w:val="24"/>
          <w:lang w:eastAsia="zh-CN"/>
        </w:rPr>
        <w:t>“</w:t>
      </w:r>
      <w:r>
        <w:rPr>
          <w:rFonts w:hint="eastAsia" w:ascii="宋体" w:hAnsi="宋体" w:eastAsia="宋体" w:cs="宋体"/>
          <w:sz w:val="24"/>
          <w:szCs w:val="24"/>
        </w:rPr>
        <w:t>宗教产品</w:t>
      </w:r>
      <w:r>
        <w:rPr>
          <w:rFonts w:hint="eastAsia" w:ascii="宋体" w:hAnsi="宋体" w:eastAsia="宋体" w:cs="宋体"/>
          <w:sz w:val="24"/>
          <w:szCs w:val="24"/>
          <w:lang w:eastAsia="zh-CN"/>
        </w:rPr>
        <w:t>”</w:t>
      </w:r>
      <w:r>
        <w:rPr>
          <w:rFonts w:hint="eastAsia" w:ascii="宋体" w:hAnsi="宋体" w:eastAsia="宋体" w:cs="宋体"/>
          <w:sz w:val="24"/>
          <w:szCs w:val="24"/>
        </w:rPr>
        <w:t>与核心价值观倡导的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w:t>
      </w:r>
      <w:r>
        <w:rPr>
          <w:rFonts w:hint="eastAsia" w:ascii="宋体" w:hAnsi="宋体" w:eastAsia="宋体" w:cs="宋体"/>
          <w:sz w:val="24"/>
          <w:szCs w:val="24"/>
          <w:lang w:eastAsia="zh-CN"/>
        </w:rPr>
        <w:t>“</w:t>
      </w:r>
      <w:r>
        <w:rPr>
          <w:rFonts w:hint="eastAsia" w:ascii="宋体" w:hAnsi="宋体" w:eastAsia="宋体" w:cs="宋体"/>
          <w:sz w:val="24"/>
          <w:szCs w:val="24"/>
        </w:rPr>
        <w:t>公共伦理产品</w:t>
      </w:r>
      <w:r>
        <w:rPr>
          <w:rFonts w:hint="eastAsia" w:ascii="宋体" w:hAnsi="宋体" w:eastAsia="宋体" w:cs="宋体"/>
          <w:sz w:val="24"/>
          <w:szCs w:val="24"/>
          <w:lang w:eastAsia="zh-CN"/>
        </w:rPr>
        <w:t>”</w:t>
      </w:r>
      <w:r>
        <w:rPr>
          <w:rFonts w:hint="eastAsia" w:ascii="宋体" w:hAnsi="宋体" w:eastAsia="宋体" w:cs="宋体"/>
          <w:sz w:val="24"/>
          <w:szCs w:val="24"/>
        </w:rPr>
        <w:t>形成功能替代时，二者便构成</w:t>
      </w:r>
      <w:r>
        <w:rPr>
          <w:rFonts w:hint="eastAsia" w:ascii="宋体" w:hAnsi="宋体" w:eastAsia="宋体" w:cs="宋体"/>
          <w:sz w:val="24"/>
          <w:szCs w:val="24"/>
          <w:lang w:eastAsia="zh-CN"/>
        </w:rPr>
        <w:t>“</w:t>
      </w:r>
      <w:r>
        <w:rPr>
          <w:rFonts w:hint="eastAsia" w:ascii="宋体" w:hAnsi="宋体" w:eastAsia="宋体" w:cs="宋体"/>
          <w:sz w:val="24"/>
          <w:szCs w:val="24"/>
        </w:rPr>
        <w:t>互补性竞争</w:t>
      </w:r>
      <w:r>
        <w:rPr>
          <w:rFonts w:hint="eastAsia" w:ascii="宋体" w:hAnsi="宋体" w:eastAsia="宋体" w:cs="宋体"/>
          <w:sz w:val="24"/>
          <w:szCs w:val="24"/>
          <w:lang w:eastAsia="zh-CN"/>
        </w:rPr>
        <w:t>”</w:t>
      </w:r>
      <w:r>
        <w:rPr>
          <w:rFonts w:hint="eastAsia" w:ascii="宋体" w:hAnsi="宋体" w:eastAsia="宋体" w:cs="宋体"/>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José 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sz w:val="24"/>
          <w:szCs w:val="24"/>
        </w:rPr>
        <w:footnoteReference w:id="72"/>
      </w:r>
      <w:r>
        <w:rPr>
          <w:rFonts w:hint="eastAsia" w:ascii="宋体" w:hAnsi="宋体" w:eastAsia="宋体" w:cs="宋体"/>
          <w:sz w:val="24"/>
          <w:szCs w:val="24"/>
        </w:rPr>
        <w:t xml:space="preserve"> 在这一框架下，基督教仁爱实践与核心价值观的社会整合功能不是相互排斥的，而是可以在公共领域中形成</w:t>
      </w:r>
      <w:r>
        <w:rPr>
          <w:rFonts w:hint="eastAsia" w:ascii="宋体" w:hAnsi="宋体" w:eastAsia="宋体" w:cs="宋体"/>
          <w:sz w:val="24"/>
          <w:szCs w:val="24"/>
          <w:lang w:eastAsia="zh-CN"/>
        </w:rPr>
        <w:t>“</w:t>
      </w:r>
      <w:r>
        <w:rPr>
          <w:rFonts w:hint="eastAsia" w:ascii="宋体" w:hAnsi="宋体" w:eastAsia="宋体" w:cs="宋体"/>
          <w:sz w:val="24"/>
          <w:szCs w:val="24"/>
        </w:rPr>
        <w:t>分工合作</w:t>
      </w:r>
      <w:r>
        <w:rPr>
          <w:rFonts w:hint="eastAsia" w:ascii="宋体" w:hAnsi="宋体" w:eastAsia="宋体" w:cs="宋体"/>
          <w:sz w:val="24"/>
          <w:szCs w:val="24"/>
          <w:lang w:eastAsia="zh-CN"/>
        </w:rPr>
        <w:t>”</w:t>
      </w:r>
      <w:r>
        <w:rPr>
          <w:rFonts w:hint="eastAsia" w:ascii="宋体" w:hAnsi="宋体" w:eastAsia="宋体" w:cs="宋体"/>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综上可得出明确结论：基督教仁爱观念与社会主义核心价值观的社会功能没有本质冲突，二者正向功能的目标一致性，是两类价值体系实现融合的核心功能基础。</w:t>
      </w:r>
    </w:p>
    <w:p w14:paraId="4B6D25E1">
      <w:pPr>
        <w:pStyle w:val="3"/>
        <w:bidi w:val="0"/>
        <w:rPr>
          <w:rFonts w:hint="eastAsia"/>
          <w:lang w:val="en-US" w:eastAsia="zh-CN"/>
        </w:rPr>
      </w:pPr>
      <w:bookmarkStart w:id="325" w:name="_Toc1340728083"/>
      <w:bookmarkStart w:id="326" w:name="_Toc1166645899"/>
      <w:bookmarkStart w:id="327" w:name="_Toc1235319491"/>
      <w:bookmarkStart w:id="328" w:name="_Toc412218873"/>
      <w:bookmarkStart w:id="329" w:name="_Toc309570285"/>
      <w:bookmarkStart w:id="330" w:name="_Toc1723787662"/>
      <w:bookmarkStart w:id="331" w:name="_Toc679932536"/>
      <w:r>
        <w:rPr>
          <w:rFonts w:hint="eastAsia"/>
          <w:lang w:val="en-US" w:eastAsia="zh-CN"/>
        </w:rPr>
        <w:t xml:space="preserve">第三节 </w:t>
      </w:r>
      <w:r>
        <w:rPr>
          <w:rFonts w:hint="eastAsia"/>
        </w:rPr>
        <w:t>文化内核的契合：对中华优秀传统文化的共同吸纳</w:t>
      </w:r>
      <w:bookmarkEnd w:id="325"/>
      <w:bookmarkEnd w:id="326"/>
      <w:bookmarkEnd w:id="327"/>
      <w:bookmarkEnd w:id="328"/>
      <w:bookmarkEnd w:id="329"/>
      <w:bookmarkEnd w:id="330"/>
      <w:bookmarkEnd w:id="331"/>
    </w:p>
    <w:p w14:paraId="37B2AE37">
      <w:pPr>
        <w:pStyle w:val="4"/>
        <w:bidi w:val="0"/>
        <w:rPr>
          <w:rFonts w:hint="eastAsia"/>
          <w:lang w:val="en-US" w:eastAsia="zh-CN"/>
        </w:rPr>
      </w:pPr>
      <w:bookmarkStart w:id="332" w:name="_Toc380353289"/>
      <w:bookmarkStart w:id="333" w:name="_Toc142786041"/>
      <w:bookmarkStart w:id="334" w:name="_Toc1291927383"/>
      <w:bookmarkStart w:id="335" w:name="_Toc70983010"/>
      <w:bookmarkStart w:id="336" w:name="_Toc1742386961"/>
      <w:bookmarkStart w:id="337" w:name="_Toc2144837204"/>
      <w:bookmarkStart w:id="338" w:name="_Toc865646865"/>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bookmarkEnd w:id="332"/>
      <w:bookmarkEnd w:id="333"/>
      <w:bookmarkEnd w:id="334"/>
      <w:bookmarkEnd w:id="335"/>
      <w:bookmarkEnd w:id="336"/>
      <w:bookmarkEnd w:id="337"/>
      <w:bookmarkEnd w:id="338"/>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基督教仁爱观念的中国化，本身就是一个持续的文化翻译过程。如前文所述，Bhabha的文化翻译理论强调，文化相遇不是简单的</w:t>
      </w:r>
      <w:r>
        <w:rPr>
          <w:rFonts w:hint="eastAsia" w:ascii="宋体" w:hAnsi="宋体" w:eastAsia="宋体" w:cs="宋体"/>
          <w:sz w:val="24"/>
          <w:szCs w:val="24"/>
          <w:lang w:eastAsia="zh-CN"/>
        </w:rPr>
        <w:t>“</w:t>
      </w:r>
      <w:r>
        <w:rPr>
          <w:rFonts w:hint="eastAsia" w:ascii="宋体" w:hAnsi="宋体" w:eastAsia="宋体" w:cs="宋体"/>
          <w:sz w:val="24"/>
          <w:szCs w:val="24"/>
        </w:rPr>
        <w:t>原文—译文</w:t>
      </w:r>
      <w:r>
        <w:rPr>
          <w:rFonts w:hint="eastAsia" w:ascii="宋体" w:hAnsi="宋体" w:eastAsia="宋体" w:cs="宋体"/>
          <w:sz w:val="24"/>
          <w:szCs w:val="24"/>
          <w:lang w:eastAsia="zh-CN"/>
        </w:rPr>
        <w:t>”</w:t>
      </w:r>
      <w:r>
        <w:rPr>
          <w:rFonts w:hint="eastAsia" w:ascii="宋体" w:hAnsi="宋体" w:eastAsia="宋体" w:cs="宋体"/>
          <w:sz w:val="24"/>
          <w:szCs w:val="24"/>
        </w:rPr>
        <w:t>对应，而是在交互中生成</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的新意义。利玛窦以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的实践正是这一理论的早期历史例证：他并非在寻找Agape与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的完全等价物，而是在两种文化符号的碰撞中创造新的神学表达。刘耘华将这一机制概括为</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73"/>
      </w:r>
      <w:r>
        <w:rPr>
          <w:rStyle w:val="29"/>
          <w:rFonts w:hint="eastAsia" w:ascii="宋体" w:hAnsi="宋体" w:eastAsia="宋体" w:cs="宋体"/>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Roger Ames指出，利玛窦的翻译策略实际上是一种“哲学创造”（philosophical creation），他并非在寻找“对等词”，而是在建构“可比性”（comparability）。</w:t>
      </w:r>
      <w:r>
        <w:rPr>
          <w:rStyle w:val="29"/>
          <w:rFonts w:hint="eastAsia" w:ascii="宋体" w:hAnsi="宋体" w:eastAsia="宋体" w:cs="宋体"/>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这些例子说明，基督教仁爱观念在与儒家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文化接触中，不断吸纳核心内容，形成中国特色表达形式。这种吸纳不是简单照搬，而是基于文化适配性的选择——儒家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文化中的人文关怀、社会责任感与基督教仁爱观念中的爱人如己、服务他人有天然共通之处，为两者融合提供基础。</w:t>
      </w:r>
    </w:p>
    <w:p w14:paraId="54B27E3B">
      <w:pPr>
        <w:pStyle w:val="4"/>
        <w:bidi w:val="0"/>
        <w:rPr>
          <w:rFonts w:hint="eastAsia"/>
          <w:lang w:val="en-US" w:eastAsia="zh-CN"/>
        </w:rPr>
      </w:pPr>
      <w:bookmarkStart w:id="339" w:name="_Toc216371264"/>
      <w:bookmarkStart w:id="340" w:name="_Toc1686394751"/>
      <w:bookmarkStart w:id="341" w:name="_Toc1065757388"/>
      <w:bookmarkStart w:id="342" w:name="_Toc1158024985"/>
      <w:bookmarkStart w:id="343" w:name="_Toc1210643035"/>
      <w:bookmarkStart w:id="344" w:name="_Toc618389086"/>
      <w:bookmarkStart w:id="345" w:name="_Toc1872635277"/>
      <w:r>
        <w:rPr>
          <w:rFonts w:hint="eastAsia"/>
          <w:lang w:val="en-US" w:eastAsia="zh-CN"/>
        </w:rPr>
        <w:t>二、</w:t>
      </w:r>
      <w:r>
        <w:rPr>
          <w:rFonts w:hint="eastAsia"/>
        </w:rPr>
        <w:t>社会主义核心价值观对中华优秀传统文化的传承发展</w:t>
      </w:r>
      <w:bookmarkEnd w:id="339"/>
      <w:bookmarkEnd w:id="340"/>
      <w:bookmarkEnd w:id="341"/>
      <w:bookmarkEnd w:id="342"/>
      <w:bookmarkEnd w:id="343"/>
      <w:bookmarkEnd w:id="344"/>
      <w:bookmarkEnd w:id="345"/>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社会主义核心价值观同样深深植根于中华优秀传统文化的沃土之中。它所倡导的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等价值理念，都可以在中华传统文化中找到源头。</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对应着</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的思想，</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体现了</w:t>
      </w:r>
      <w:r>
        <w:rPr>
          <w:rFonts w:hint="eastAsia" w:ascii="宋体" w:hAnsi="宋体" w:eastAsia="宋体" w:cs="宋体"/>
          <w:sz w:val="24"/>
          <w:szCs w:val="24"/>
          <w:lang w:eastAsia="zh-CN"/>
        </w:rPr>
        <w:t>“</w:t>
      </w:r>
      <w:r>
        <w:rPr>
          <w:rFonts w:hint="eastAsia" w:ascii="宋体" w:hAnsi="宋体" w:eastAsia="宋体" w:cs="宋体"/>
          <w:sz w:val="24"/>
          <w:szCs w:val="24"/>
        </w:rPr>
        <w:t>人无信不立</w:t>
      </w:r>
      <w:r>
        <w:rPr>
          <w:rFonts w:hint="eastAsia" w:ascii="宋体" w:hAnsi="宋体" w:eastAsia="宋体" w:cs="宋体"/>
          <w:sz w:val="24"/>
          <w:szCs w:val="24"/>
          <w:lang w:eastAsia="zh-CN"/>
        </w:rPr>
        <w:t>”</w:t>
      </w:r>
      <w:r>
        <w:rPr>
          <w:rFonts w:hint="eastAsia" w:ascii="宋体" w:hAnsi="宋体" w:eastAsia="宋体" w:cs="宋体"/>
          <w:sz w:val="24"/>
          <w:szCs w:val="24"/>
        </w:rPr>
        <w:t>的处世原则，</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则与</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sz w:val="24"/>
          <w:szCs w:val="24"/>
        </w:rPr>
        <w:footnoteReference w:id="78"/>
      </w:r>
    </w:p>
    <w:p w14:paraId="0976DA2C">
      <w:pPr>
        <w:pStyle w:val="4"/>
        <w:bidi w:val="0"/>
        <w:rPr>
          <w:rFonts w:hint="eastAsia"/>
          <w:lang w:val="en-US" w:eastAsia="zh-CN"/>
        </w:rPr>
      </w:pPr>
      <w:bookmarkStart w:id="346" w:name="_Toc862019677"/>
      <w:bookmarkStart w:id="347" w:name="_Toc747406951"/>
      <w:bookmarkStart w:id="348" w:name="_Toc281630134"/>
      <w:bookmarkStart w:id="349" w:name="_Toc23320489"/>
      <w:bookmarkStart w:id="350" w:name="_Toc2017417567"/>
      <w:bookmarkStart w:id="351" w:name="_Toc1592000569"/>
      <w:bookmarkStart w:id="352" w:name="_Toc2008253754"/>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bookmarkEnd w:id="346"/>
      <w:bookmarkEnd w:id="347"/>
      <w:bookmarkEnd w:id="348"/>
      <w:bookmarkEnd w:id="349"/>
      <w:bookmarkEnd w:id="350"/>
      <w:bookmarkEnd w:id="351"/>
      <w:bookmarkEnd w:id="352"/>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Agape的神学深度，又吸纳了儒家“仁”的文化厚度，还融入了马克思主义“人民性”的时代高度，形成了一种具有中国特色的“仁爱”公共伦理。</w:t>
      </w:r>
      <w:r>
        <w:rPr>
          <w:rStyle w:val="29"/>
          <w:rFonts w:hint="eastAsia" w:ascii="宋体" w:hAnsi="宋体" w:eastAsia="宋体" w:cs="宋体"/>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2B3A16DA">
      <w:pPr>
        <w:pStyle w:val="2"/>
        <w:bidi w:val="0"/>
        <w:rPr>
          <w:rFonts w:hint="eastAsia"/>
          <w:lang w:val="en-US" w:eastAsia="zh-CN"/>
        </w:rPr>
      </w:pPr>
      <w:bookmarkStart w:id="353" w:name="_Toc1036774154"/>
      <w:bookmarkStart w:id="354" w:name="_Toc1105434869"/>
      <w:bookmarkStart w:id="355" w:name="_Toc1040028677"/>
      <w:bookmarkStart w:id="356" w:name="_Toc303704150"/>
      <w:bookmarkStart w:id="357" w:name="_Toc117746086"/>
      <w:bookmarkStart w:id="358" w:name="_Toc1254805210"/>
      <w:bookmarkStart w:id="359" w:name="_Toc720363579"/>
      <w:r>
        <w:rPr>
          <w:rFonts w:hint="eastAsia"/>
          <w:lang w:val="en-US" w:eastAsia="zh-CN"/>
        </w:rPr>
        <w:t>四、</w:t>
      </w:r>
      <w:r>
        <w:rPr>
          <w:rFonts w:hint="eastAsia"/>
        </w:rPr>
        <w:t>基督教仁爱观念与核心价值观融合的现实障碍</w:t>
      </w:r>
      <w:bookmarkEnd w:id="353"/>
      <w:bookmarkEnd w:id="354"/>
      <w:bookmarkEnd w:id="355"/>
      <w:bookmarkEnd w:id="356"/>
      <w:bookmarkEnd w:id="357"/>
      <w:bookmarkEnd w:id="358"/>
      <w:bookmarkEnd w:id="359"/>
    </w:p>
    <w:p w14:paraId="27361B50">
      <w:pPr>
        <w:pStyle w:val="3"/>
        <w:bidi w:val="0"/>
        <w:rPr>
          <w:rFonts w:hint="eastAsia"/>
          <w:lang w:val="en-US" w:eastAsia="zh-CN"/>
        </w:rPr>
      </w:pPr>
      <w:bookmarkStart w:id="360" w:name="_Toc1392571406"/>
      <w:bookmarkStart w:id="361" w:name="_Toc380894520"/>
      <w:bookmarkStart w:id="362" w:name="_Toc1934503778"/>
      <w:bookmarkStart w:id="363" w:name="_Toc1162813086"/>
      <w:bookmarkStart w:id="364" w:name="_Toc1126028515"/>
      <w:bookmarkStart w:id="365" w:name="_Toc1221750930"/>
      <w:bookmarkStart w:id="366" w:name="_Toc1785354114"/>
      <w:r>
        <w:rPr>
          <w:rFonts w:hint="eastAsia"/>
          <w:lang w:val="en-US" w:eastAsia="zh-CN"/>
        </w:rPr>
        <w:t xml:space="preserve">第一节 </w:t>
      </w:r>
      <w:r>
        <w:rPr>
          <w:rFonts w:hint="eastAsia"/>
        </w:rPr>
        <w:t>认知层面的结构性壁垒</w:t>
      </w:r>
      <w:bookmarkEnd w:id="360"/>
      <w:bookmarkEnd w:id="361"/>
      <w:bookmarkEnd w:id="362"/>
      <w:bookmarkEnd w:id="363"/>
      <w:bookmarkEnd w:id="364"/>
      <w:bookmarkEnd w:id="365"/>
      <w:bookmarkEnd w:id="366"/>
    </w:p>
    <w:p w14:paraId="0216203B">
      <w:pPr>
        <w:pStyle w:val="4"/>
        <w:bidi w:val="0"/>
        <w:rPr>
          <w:rFonts w:hint="eastAsia"/>
          <w:lang w:val="en-US" w:eastAsia="zh-CN"/>
        </w:rPr>
      </w:pPr>
      <w:bookmarkStart w:id="367" w:name="_Toc1670835636"/>
      <w:bookmarkStart w:id="368" w:name="_Toc45445933"/>
      <w:bookmarkStart w:id="369" w:name="_Toc1298348702"/>
      <w:bookmarkStart w:id="370" w:name="_Toc302581266"/>
      <w:bookmarkStart w:id="371" w:name="_Toc1535354241"/>
      <w:bookmarkStart w:id="372" w:name="_Toc1876731543"/>
      <w:bookmarkStart w:id="373" w:name="_Toc1805078114"/>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bookmarkEnd w:id="367"/>
      <w:bookmarkEnd w:id="368"/>
      <w:bookmarkEnd w:id="369"/>
      <w:bookmarkEnd w:id="370"/>
      <w:bookmarkEnd w:id="371"/>
      <w:bookmarkEnd w:id="372"/>
      <w:bookmarkEnd w:id="373"/>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的要求看，这种认知偏差本质上是对</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等要求的理解不到位，需要在教育引导中予以纠正。</w:t>
      </w:r>
    </w:p>
    <w:p w14:paraId="3BE9FF81">
      <w:pPr>
        <w:pStyle w:val="4"/>
        <w:bidi w:val="0"/>
        <w:rPr>
          <w:rFonts w:hint="eastAsia"/>
          <w:lang w:val="en-US" w:eastAsia="zh-CN"/>
        </w:rPr>
      </w:pPr>
      <w:bookmarkStart w:id="374" w:name="_Toc1453101246"/>
      <w:bookmarkStart w:id="375" w:name="_Toc242061566"/>
      <w:bookmarkStart w:id="376" w:name="_Toc765297347"/>
      <w:bookmarkStart w:id="377" w:name="_Toc1238366080"/>
      <w:bookmarkStart w:id="378" w:name="_Toc535226135"/>
      <w:bookmarkStart w:id="379" w:name="_Toc2134719712"/>
      <w:bookmarkStart w:id="380" w:name="_Toc446380829"/>
      <w:r>
        <w:rPr>
          <w:rFonts w:hint="eastAsia"/>
          <w:lang w:val="en-US" w:eastAsia="zh-CN"/>
        </w:rPr>
        <w:t>二、</w:t>
      </w:r>
      <w:r>
        <w:rPr>
          <w:rFonts w:hint="eastAsia"/>
        </w:rPr>
        <w:t>非信众群体的历史记忆与刻板印象</w:t>
      </w:r>
      <w:bookmarkEnd w:id="374"/>
      <w:bookmarkEnd w:id="375"/>
      <w:bookmarkEnd w:id="376"/>
      <w:bookmarkEnd w:id="377"/>
      <w:bookmarkEnd w:id="378"/>
      <w:bookmarkEnd w:id="379"/>
      <w:bookmarkEnd w:id="380"/>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sz w:val="24"/>
          <w:szCs w:val="24"/>
          <w:lang w:eastAsia="zh-CN"/>
        </w:rPr>
        <w:t>“</w:t>
      </w:r>
      <w:r>
        <w:rPr>
          <w:rFonts w:hint="eastAsia" w:ascii="宋体" w:hAnsi="宋体" w:eastAsia="宋体" w:cs="宋体"/>
          <w:sz w:val="24"/>
          <w:szCs w:val="24"/>
        </w:rPr>
        <w:t>外来文化渗透</w:t>
      </w:r>
      <w:r>
        <w:rPr>
          <w:rFonts w:hint="eastAsia" w:ascii="宋体" w:hAnsi="宋体" w:eastAsia="宋体" w:cs="宋体"/>
          <w:sz w:val="24"/>
          <w:szCs w:val="24"/>
          <w:lang w:eastAsia="zh-CN"/>
        </w:rPr>
        <w:t>”</w:t>
      </w:r>
      <w:r>
        <w:rPr>
          <w:rFonts w:hint="eastAsia" w:ascii="宋体" w:hAnsi="宋体" w:eastAsia="宋体" w:cs="宋体"/>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陈金羽对Q教会服务队的实证研究发现，带有明显宗教符号的教会活动会显著降低社区非信众的接受度。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sz w:val="24"/>
          <w:szCs w:val="24"/>
        </w:rPr>
        <w:footnoteReference w:id="81"/>
      </w:r>
    </w:p>
    <w:p w14:paraId="1E43B99C">
      <w:pPr>
        <w:pStyle w:val="4"/>
        <w:bidi w:val="0"/>
        <w:rPr>
          <w:rFonts w:hint="eastAsia"/>
          <w:lang w:val="en-US" w:eastAsia="zh-CN"/>
        </w:rPr>
      </w:pPr>
      <w:bookmarkStart w:id="381" w:name="_Toc1072949146"/>
      <w:bookmarkStart w:id="382" w:name="_Toc994712344"/>
      <w:bookmarkStart w:id="383" w:name="_Toc1954683483"/>
      <w:bookmarkStart w:id="384" w:name="_Toc1088607838"/>
      <w:bookmarkStart w:id="385" w:name="_Toc1884137309"/>
      <w:bookmarkStart w:id="386" w:name="_Toc224909155"/>
      <w:bookmarkStart w:id="387" w:name="_Toc1162214032"/>
      <w:r>
        <w:rPr>
          <w:rFonts w:hint="eastAsia"/>
          <w:lang w:val="en-US" w:eastAsia="zh-CN"/>
        </w:rPr>
        <w:t>三、</w:t>
      </w:r>
      <w:r>
        <w:rPr>
          <w:rFonts w:hint="eastAsia"/>
        </w:rPr>
        <w:t>神学话语与政治话语的沟通鸿沟</w:t>
      </w:r>
      <w:bookmarkEnd w:id="381"/>
      <w:bookmarkEnd w:id="382"/>
      <w:bookmarkEnd w:id="383"/>
      <w:bookmarkEnd w:id="384"/>
      <w:bookmarkEnd w:id="385"/>
      <w:bookmarkEnd w:id="386"/>
      <w:bookmarkEnd w:id="387"/>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话语体系的差异进一步加剧了认知壁垒。基督教仁爱观念的话语深深植根于其神学传统，核心概念如</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以对上帝的信仰为前提，论述逻辑常从</w:t>
      </w:r>
      <w:r>
        <w:rPr>
          <w:rFonts w:hint="eastAsia" w:ascii="宋体" w:hAnsi="宋体" w:eastAsia="宋体" w:cs="宋体"/>
          <w:sz w:val="24"/>
          <w:szCs w:val="24"/>
          <w:lang w:eastAsia="zh-CN"/>
        </w:rPr>
        <w:t>“</w:t>
      </w:r>
      <w:r>
        <w:rPr>
          <w:rFonts w:hint="eastAsia" w:ascii="宋体" w:hAnsi="宋体" w:eastAsia="宋体" w:cs="宋体"/>
          <w:sz w:val="24"/>
          <w:szCs w:val="24"/>
        </w:rPr>
        <w:t>神的启示</w:t>
      </w:r>
      <w:r>
        <w:rPr>
          <w:rFonts w:hint="eastAsia" w:ascii="宋体" w:hAnsi="宋体" w:eastAsia="宋体" w:cs="宋体"/>
          <w:sz w:val="24"/>
          <w:szCs w:val="24"/>
          <w:lang w:eastAsia="zh-CN"/>
        </w:rPr>
        <w:t>”“</w:t>
      </w:r>
      <w:r>
        <w:rPr>
          <w:rFonts w:hint="eastAsia" w:ascii="宋体" w:hAnsi="宋体" w:eastAsia="宋体" w:cs="宋体"/>
          <w:sz w:val="24"/>
          <w:szCs w:val="24"/>
        </w:rPr>
        <w:t>人的罪性</w:t>
      </w:r>
      <w:r>
        <w:rPr>
          <w:rFonts w:hint="eastAsia" w:ascii="宋体" w:hAnsi="宋体" w:eastAsia="宋体" w:cs="宋体"/>
          <w:sz w:val="24"/>
          <w:szCs w:val="24"/>
          <w:lang w:eastAsia="zh-CN"/>
        </w:rPr>
        <w:t>”</w:t>
      </w:r>
      <w:r>
        <w:rPr>
          <w:rFonts w:hint="eastAsia" w:ascii="宋体" w:hAnsi="宋体" w:eastAsia="宋体" w:cs="宋体"/>
          <w:sz w:val="24"/>
          <w:szCs w:val="24"/>
        </w:rP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ascii="宋体" w:hAnsi="宋体" w:eastAsia="宋体" w:cs="宋体"/>
          <w:sz w:val="24"/>
          <w:szCs w:val="24"/>
          <w:lang w:eastAsia="zh-CN"/>
        </w:rPr>
        <w:t>“</w:t>
      </w:r>
      <w:r>
        <w:rPr>
          <w:rFonts w:hint="eastAsia" w:ascii="宋体" w:hAnsi="宋体" w:eastAsia="宋体" w:cs="宋体"/>
          <w:sz w:val="24"/>
          <w:szCs w:val="24"/>
        </w:rPr>
        <w:t>富强</w:t>
      </w:r>
      <w:r>
        <w:rPr>
          <w:rFonts w:hint="eastAsia" w:ascii="宋体" w:hAnsi="宋体" w:eastAsia="宋体" w:cs="宋体"/>
          <w:sz w:val="24"/>
          <w:szCs w:val="24"/>
          <w:lang w:eastAsia="zh-CN"/>
        </w:rPr>
        <w:t>”“</w:t>
      </w:r>
      <w:r>
        <w:rPr>
          <w:rFonts w:hint="eastAsia" w:ascii="宋体" w:hAnsi="宋体" w:eastAsia="宋体" w:cs="宋体"/>
          <w:sz w:val="24"/>
          <w:szCs w:val="24"/>
        </w:rPr>
        <w:t>民主</w:t>
      </w:r>
      <w:r>
        <w:rPr>
          <w:rFonts w:hint="eastAsia" w:ascii="宋体" w:hAnsi="宋体" w:eastAsia="宋体" w:cs="宋体"/>
          <w:sz w:val="24"/>
          <w:szCs w:val="24"/>
          <w:lang w:eastAsia="zh-CN"/>
        </w:rPr>
        <w:t>”“</w:t>
      </w:r>
      <w:r>
        <w:rPr>
          <w:rFonts w:hint="eastAsia" w:ascii="宋体" w:hAnsi="宋体" w:eastAsia="宋体" w:cs="宋体"/>
          <w:sz w:val="24"/>
          <w:szCs w:val="24"/>
        </w:rPr>
        <w:t>文明</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等世俗化、公共性的表达。</w:t>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这种话语差异导致双方在交流时难以准确把握对方意图：当基督教徒以</w:t>
      </w:r>
      <w:r>
        <w:rPr>
          <w:rFonts w:hint="eastAsia" w:ascii="宋体" w:hAnsi="宋体" w:eastAsia="宋体" w:cs="宋体"/>
          <w:sz w:val="24"/>
          <w:szCs w:val="24"/>
          <w:lang w:eastAsia="zh-CN"/>
        </w:rPr>
        <w:t>“</w:t>
      </w:r>
      <w:r>
        <w:rPr>
          <w:rFonts w:hint="eastAsia" w:ascii="宋体" w:hAnsi="宋体" w:eastAsia="宋体" w:cs="宋体"/>
          <w:sz w:val="24"/>
          <w:szCs w:val="24"/>
        </w:rPr>
        <w:t>传福音</w:t>
      </w:r>
      <w:r>
        <w:rPr>
          <w:rFonts w:hint="eastAsia" w:ascii="宋体" w:hAnsi="宋体" w:eastAsia="宋体" w:cs="宋体"/>
          <w:sz w:val="24"/>
          <w:szCs w:val="24"/>
          <w:lang w:eastAsia="zh-CN"/>
        </w:rPr>
        <w:t>”</w:t>
      </w:r>
      <w:r>
        <w:rPr>
          <w:rFonts w:hint="eastAsia" w:ascii="宋体" w:hAnsi="宋体" w:eastAsia="宋体" w:cs="宋体"/>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bidi w:val="0"/>
        <w:rPr>
          <w:rFonts w:hint="eastAsia"/>
          <w:lang w:val="en-US" w:eastAsia="zh-CN"/>
        </w:rPr>
      </w:pPr>
      <w:bookmarkStart w:id="388" w:name="_Toc160466975"/>
      <w:bookmarkStart w:id="389" w:name="_Toc2117657360"/>
      <w:bookmarkStart w:id="390" w:name="_Toc636112963"/>
      <w:bookmarkStart w:id="391" w:name="_Toc1818744473"/>
      <w:bookmarkStart w:id="392" w:name="_Toc2049377348"/>
      <w:bookmarkStart w:id="393" w:name="_Toc476949365"/>
      <w:bookmarkStart w:id="394" w:name="_Toc1967466359"/>
      <w:r>
        <w:rPr>
          <w:rFonts w:hint="eastAsia"/>
          <w:lang w:val="en-US" w:eastAsia="zh-CN"/>
        </w:rPr>
        <w:t xml:space="preserve">第二节 </w:t>
      </w:r>
      <w:r>
        <w:rPr>
          <w:rFonts w:hint="eastAsia"/>
        </w:rPr>
        <w:t>实践层面的形式化与功利化问题</w:t>
      </w:r>
      <w:bookmarkEnd w:id="388"/>
      <w:bookmarkEnd w:id="389"/>
      <w:bookmarkEnd w:id="390"/>
      <w:bookmarkEnd w:id="391"/>
      <w:bookmarkEnd w:id="392"/>
      <w:bookmarkEnd w:id="393"/>
      <w:bookmarkEnd w:id="394"/>
    </w:p>
    <w:p w14:paraId="07C0D58A">
      <w:pPr>
        <w:pStyle w:val="4"/>
        <w:bidi w:val="0"/>
        <w:rPr>
          <w:rFonts w:hint="eastAsia"/>
          <w:lang w:val="en-US" w:eastAsia="zh-CN"/>
        </w:rPr>
      </w:pPr>
      <w:bookmarkStart w:id="395" w:name="_Toc976974375"/>
      <w:bookmarkStart w:id="396" w:name="_Toc356126313"/>
      <w:bookmarkStart w:id="397" w:name="_Toc1876471840"/>
      <w:bookmarkStart w:id="398" w:name="_Toc1220767789"/>
      <w:bookmarkStart w:id="399" w:name="_Toc394873603"/>
      <w:bookmarkStart w:id="400" w:name="_Toc1679006951"/>
      <w:bookmarkStart w:id="401" w:name="_Toc253899207"/>
      <w:r>
        <w:rPr>
          <w:rFonts w:hint="eastAsia"/>
          <w:lang w:val="en-US" w:eastAsia="zh-CN"/>
        </w:rPr>
        <w:t>一、</w:t>
      </w:r>
      <w:r>
        <w:rPr>
          <w:rFonts w:hint="eastAsia"/>
        </w:rPr>
        <w:t>融合活动的象征性执行与形式化困境</w:t>
      </w:r>
      <w:bookmarkEnd w:id="395"/>
      <w:bookmarkEnd w:id="396"/>
      <w:bookmarkEnd w:id="397"/>
      <w:bookmarkEnd w:id="398"/>
      <w:bookmarkEnd w:id="399"/>
      <w:bookmarkEnd w:id="400"/>
      <w:bookmarkEnd w:id="401"/>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sz w:val="24"/>
          <w:szCs w:val="24"/>
          <w:lang w:eastAsia="zh-CN"/>
        </w:rPr>
        <w:t>“</w:t>
      </w:r>
      <w:r>
        <w:rPr>
          <w:rFonts w:hint="eastAsia" w:ascii="宋体" w:hAnsi="宋体" w:eastAsia="宋体" w:cs="宋体"/>
          <w:sz w:val="24"/>
          <w:szCs w:val="24"/>
        </w:rPr>
        <w:t>重宣传、轻实效</w:t>
      </w:r>
      <w:r>
        <w:rPr>
          <w:rFonts w:hint="eastAsia" w:ascii="宋体" w:hAnsi="宋体" w:eastAsia="宋体" w:cs="宋体"/>
          <w:sz w:val="24"/>
          <w:szCs w:val="24"/>
          <w:lang w:eastAsia="zh-CN"/>
        </w:rPr>
        <w:t>”</w:t>
      </w:r>
      <w:r>
        <w:rPr>
          <w:rFonts w:hint="eastAsia" w:ascii="宋体" w:hAnsi="宋体" w:eastAsia="宋体" w:cs="宋体"/>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sz w:val="24"/>
          <w:szCs w:val="24"/>
          <w:lang w:eastAsia="zh-CN"/>
        </w:rPr>
        <w:t>“</w:t>
      </w:r>
      <w:r>
        <w:rPr>
          <w:rFonts w:hint="eastAsia" w:ascii="宋体" w:hAnsi="宋体" w:eastAsia="宋体" w:cs="宋体"/>
          <w:sz w:val="24"/>
          <w:szCs w:val="24"/>
        </w:rPr>
        <w:t>表面功夫</w:t>
      </w:r>
      <w:r>
        <w:rPr>
          <w:rFonts w:hint="eastAsia" w:ascii="宋体" w:hAnsi="宋体" w:eastAsia="宋体" w:cs="宋体"/>
          <w:sz w:val="24"/>
          <w:szCs w:val="24"/>
          <w:lang w:eastAsia="zh-CN"/>
        </w:rPr>
        <w:t>”</w:t>
      </w:r>
      <w:r>
        <w:rPr>
          <w:rFonts w:hint="eastAsia" w:ascii="宋体" w:hAnsi="宋体" w:eastAsia="宋体" w:cs="宋体"/>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lang w:val="en-US" w:eastAsia="zh-CN"/>
        </w:rPr>
      </w:pPr>
      <w:bookmarkStart w:id="402" w:name="_Toc378018402"/>
      <w:bookmarkStart w:id="403" w:name="_Toc385466285"/>
      <w:bookmarkStart w:id="404" w:name="_Toc348355663"/>
      <w:bookmarkStart w:id="405" w:name="_Toc2064858685"/>
      <w:bookmarkStart w:id="406" w:name="_Toc916176391"/>
      <w:bookmarkStart w:id="407" w:name="_Toc1134703877"/>
      <w:bookmarkStart w:id="408" w:name="_Toc233965460"/>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bookmarkEnd w:id="402"/>
      <w:bookmarkEnd w:id="403"/>
      <w:bookmarkEnd w:id="404"/>
      <w:bookmarkEnd w:id="405"/>
      <w:bookmarkEnd w:id="406"/>
      <w:bookmarkEnd w:id="407"/>
      <w:bookmarkEnd w:id="408"/>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lang w:val="en-US" w:eastAsia="zh-CN"/>
        </w:rPr>
      </w:pPr>
      <w:bookmarkStart w:id="409" w:name="_Toc1721172643"/>
      <w:bookmarkStart w:id="410" w:name="_Toc1098654588"/>
      <w:bookmarkStart w:id="411" w:name="_Toc744183275"/>
      <w:bookmarkStart w:id="412" w:name="_Toc773206319"/>
      <w:bookmarkStart w:id="413" w:name="_Toc718854547"/>
      <w:bookmarkStart w:id="414" w:name="_Toc1313275379"/>
      <w:bookmarkStart w:id="415" w:name="_Toc214928563"/>
      <w:r>
        <w:rPr>
          <w:rFonts w:hint="eastAsia"/>
          <w:lang w:val="en-US" w:eastAsia="zh-CN"/>
        </w:rPr>
        <w:t>三、</w:t>
      </w:r>
      <w:r>
        <w:rPr>
          <w:rFonts w:hint="eastAsia"/>
        </w:rPr>
        <w:t>融合内容与群众真实需求的结构性脱节</w:t>
      </w:r>
      <w:bookmarkEnd w:id="409"/>
      <w:bookmarkEnd w:id="410"/>
      <w:bookmarkEnd w:id="411"/>
      <w:bookmarkEnd w:id="412"/>
      <w:bookmarkEnd w:id="413"/>
      <w:bookmarkEnd w:id="414"/>
      <w:bookmarkEnd w:id="415"/>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最后是融合内容与群众需求的脱节。部分宣传材料停留在抽象概念的简单叠加，如将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lang w:val="en-US" w:eastAsia="zh-CN"/>
        </w:rPr>
      </w:pPr>
      <w:bookmarkStart w:id="416" w:name="_Toc45373407"/>
      <w:bookmarkStart w:id="417" w:name="_Toc382370987"/>
      <w:bookmarkStart w:id="418" w:name="_Toc236864087"/>
      <w:r>
        <w:rPr>
          <w:rFonts w:hint="eastAsia"/>
        </w:rPr>
        <w:t>四、“公正”、“平等”价值在融合实践中的边缘化问题</w:t>
      </w:r>
      <w:bookmarkEnd w:id="416"/>
      <w:bookmarkEnd w:id="417"/>
      <w:bookmarkEnd w:id="418"/>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值得注意的是，当前基督教界在推进融合工作时，对社会主义核心价值观的理解往往偏重于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等个人道德层面，而对</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平等</w:t>
      </w:r>
      <w:r>
        <w:rPr>
          <w:rFonts w:hint="eastAsia" w:ascii="宋体" w:hAnsi="宋体" w:eastAsia="宋体" w:cs="宋体"/>
          <w:sz w:val="24"/>
          <w:szCs w:val="24"/>
          <w:lang w:eastAsia="zh-CN"/>
        </w:rPr>
        <w:t>”</w:t>
      </w:r>
      <w:r>
        <w:rPr>
          <w:rFonts w:hint="eastAsia" w:ascii="宋体" w:hAnsi="宋体" w:eastAsia="宋体" w:cs="宋体"/>
          <w:sz w:val="24"/>
          <w:szCs w:val="24"/>
        </w:rPr>
        <w:t>等社会制度层面的价值关注不足。这种倾向导致融合工作更多停留在慈善公益的道德实践层面，未能充分发挥基督教</w:t>
      </w:r>
      <w:r>
        <w:rPr>
          <w:rFonts w:hint="eastAsia" w:ascii="宋体" w:hAnsi="宋体" w:eastAsia="宋体" w:cs="宋体"/>
          <w:sz w:val="24"/>
          <w:szCs w:val="24"/>
          <w:lang w:eastAsia="zh-CN"/>
        </w:rPr>
        <w:t>“</w:t>
      </w:r>
      <w:r>
        <w:rPr>
          <w:rFonts w:hint="eastAsia" w:ascii="宋体" w:hAnsi="宋体" w:eastAsia="宋体" w:cs="宋体"/>
          <w:sz w:val="24"/>
          <w:szCs w:val="24"/>
        </w:rPr>
        <w:t>行公义</w:t>
      </w:r>
      <w:r>
        <w:rPr>
          <w:rFonts w:hint="eastAsia" w:ascii="宋体" w:hAnsi="宋体" w:eastAsia="宋体" w:cs="宋体"/>
          <w:sz w:val="24"/>
          <w:szCs w:val="24"/>
          <w:lang w:eastAsia="zh-CN"/>
        </w:rPr>
        <w:t>”</w:t>
      </w:r>
      <w:r>
        <w:rPr>
          <w:rFonts w:hint="eastAsia" w:ascii="宋体" w:hAnsi="宋体" w:eastAsia="宋体" w:cs="宋体"/>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sz w:val="24"/>
          <w:szCs w:val="24"/>
          <w:lang w:eastAsia="zh-CN"/>
        </w:rPr>
        <w:t>“</w:t>
      </w:r>
      <w:r>
        <w:rPr>
          <w:rFonts w:hint="eastAsia" w:ascii="宋体" w:hAnsi="宋体" w:eastAsia="宋体" w:cs="宋体"/>
          <w:sz w:val="24"/>
          <w:szCs w:val="24"/>
        </w:rPr>
        <w:t>重道德、轻制度</w:t>
      </w:r>
      <w:r>
        <w:rPr>
          <w:rFonts w:hint="eastAsia" w:ascii="宋体" w:hAnsi="宋体" w:eastAsia="宋体" w:cs="宋体"/>
          <w:sz w:val="24"/>
          <w:szCs w:val="24"/>
          <w:lang w:eastAsia="zh-CN"/>
        </w:rPr>
        <w:t>”</w:t>
      </w:r>
      <w:r>
        <w:rPr>
          <w:rFonts w:hint="eastAsia" w:ascii="宋体" w:hAnsi="宋体" w:eastAsia="宋体" w:cs="宋体"/>
          <w:sz w:val="24"/>
          <w:szCs w:val="24"/>
        </w:rPr>
        <w:t>的倾向，不仅限制了融合工作的深度，也使得基督教社会伦理中最具变革潜力的</w:t>
      </w:r>
      <w:r>
        <w:rPr>
          <w:rFonts w:hint="eastAsia" w:ascii="宋体" w:hAnsi="宋体" w:eastAsia="宋体" w:cs="宋体"/>
          <w:sz w:val="24"/>
          <w:szCs w:val="24"/>
          <w:lang w:eastAsia="zh-CN"/>
        </w:rPr>
        <w:t>“</w:t>
      </w:r>
      <w:r>
        <w:rPr>
          <w:rFonts w:hint="eastAsia" w:ascii="宋体" w:hAnsi="宋体" w:eastAsia="宋体" w:cs="宋体"/>
          <w:sz w:val="24"/>
          <w:szCs w:val="24"/>
        </w:rPr>
        <w:t>公义</w:t>
      </w:r>
      <w:r>
        <w:rPr>
          <w:rFonts w:hint="eastAsia" w:ascii="宋体" w:hAnsi="宋体" w:eastAsia="宋体" w:cs="宋体"/>
          <w:sz w:val="24"/>
          <w:szCs w:val="24"/>
          <w:lang w:eastAsia="zh-CN"/>
        </w:rPr>
        <w:t>”</w:t>
      </w:r>
      <w:r>
        <w:rPr>
          <w:rFonts w:hint="eastAsia" w:ascii="宋体" w:hAnsi="宋体" w:eastAsia="宋体" w:cs="宋体"/>
          <w:sz w:val="24"/>
          <w:szCs w:val="24"/>
        </w:rPr>
        <w:t>维度未能得到充分释放。</w:t>
      </w:r>
    </w:p>
    <w:p w14:paraId="51B85303">
      <w:pPr>
        <w:pStyle w:val="3"/>
        <w:bidi w:val="0"/>
        <w:rPr>
          <w:rFonts w:hint="eastAsia"/>
          <w:lang w:val="en-US" w:eastAsia="zh-CN"/>
        </w:rPr>
      </w:pPr>
      <w:bookmarkStart w:id="419" w:name="_Toc543542797"/>
      <w:bookmarkStart w:id="420" w:name="_Toc1023263610"/>
      <w:bookmarkStart w:id="421" w:name="_Toc855055436"/>
      <w:bookmarkStart w:id="422" w:name="_Toc1015217533"/>
      <w:bookmarkStart w:id="423" w:name="_Toc234156764"/>
      <w:bookmarkStart w:id="424" w:name="_Toc1238106685"/>
      <w:bookmarkStart w:id="425" w:name="_Toc1687512318"/>
      <w:r>
        <w:rPr>
          <w:rFonts w:hint="eastAsia"/>
          <w:lang w:val="en-US" w:eastAsia="zh-CN"/>
        </w:rPr>
        <w:t xml:space="preserve">第三节 </w:t>
      </w:r>
      <w:r>
        <w:rPr>
          <w:rFonts w:hint="eastAsia"/>
        </w:rPr>
        <w:t>制度层面的保障缺位</w:t>
      </w:r>
      <w:bookmarkEnd w:id="419"/>
      <w:bookmarkEnd w:id="420"/>
      <w:bookmarkEnd w:id="421"/>
      <w:bookmarkEnd w:id="422"/>
      <w:bookmarkEnd w:id="423"/>
      <w:bookmarkEnd w:id="424"/>
      <w:bookmarkEnd w:id="425"/>
    </w:p>
    <w:p w14:paraId="280B9A6B">
      <w:pPr>
        <w:pStyle w:val="4"/>
        <w:bidi w:val="0"/>
        <w:rPr>
          <w:rFonts w:hint="eastAsia"/>
          <w:lang w:val="en-US" w:eastAsia="zh-CN"/>
        </w:rPr>
      </w:pPr>
      <w:bookmarkStart w:id="426" w:name="_Toc1003501716"/>
      <w:bookmarkStart w:id="427" w:name="_Toc942448094"/>
      <w:bookmarkStart w:id="428" w:name="_Toc2103630775"/>
      <w:bookmarkStart w:id="429" w:name="_Toc2075838488"/>
      <w:bookmarkStart w:id="430" w:name="_Toc1282691244"/>
      <w:bookmarkStart w:id="431" w:name="_Toc1889999012"/>
      <w:bookmarkStart w:id="432" w:name="_Toc203002697"/>
      <w:r>
        <w:rPr>
          <w:rFonts w:hint="eastAsia"/>
          <w:lang w:val="en-US" w:eastAsia="zh-CN"/>
        </w:rPr>
        <w:t>一、</w:t>
      </w:r>
      <w:r>
        <w:rPr>
          <w:rFonts w:hint="eastAsia"/>
        </w:rPr>
        <w:t>引导机制的不健全与权责模糊</w:t>
      </w:r>
      <w:bookmarkEnd w:id="426"/>
      <w:bookmarkEnd w:id="427"/>
      <w:bookmarkEnd w:id="428"/>
      <w:bookmarkEnd w:id="429"/>
      <w:bookmarkEnd w:id="430"/>
      <w:bookmarkEnd w:id="431"/>
      <w:bookmarkEnd w:id="432"/>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lang w:val="en-US" w:eastAsia="zh-CN"/>
        </w:rPr>
      </w:pPr>
      <w:bookmarkStart w:id="433" w:name="_Toc2033219233"/>
      <w:bookmarkStart w:id="434" w:name="_Toc1699154864"/>
      <w:bookmarkStart w:id="435" w:name="_Toc598138654"/>
      <w:bookmarkStart w:id="436" w:name="_Toc1664260921"/>
      <w:bookmarkStart w:id="437" w:name="_Toc1750889322"/>
      <w:bookmarkStart w:id="438" w:name="_Toc1782771907"/>
      <w:bookmarkStart w:id="439" w:name="_Toc1662297043"/>
      <w:r>
        <w:rPr>
          <w:rFonts w:hint="eastAsia"/>
          <w:lang w:val="en-US" w:eastAsia="zh-CN"/>
        </w:rPr>
        <w:t>二、</w:t>
      </w:r>
      <w:r>
        <w:rPr>
          <w:rFonts w:hint="eastAsia"/>
        </w:rPr>
        <w:t>评估监督体系的缺位与指标虚化</w:t>
      </w:r>
      <w:bookmarkEnd w:id="433"/>
      <w:bookmarkEnd w:id="434"/>
      <w:bookmarkEnd w:id="435"/>
      <w:bookmarkEnd w:id="436"/>
      <w:bookmarkEnd w:id="437"/>
      <w:bookmarkEnd w:id="438"/>
      <w:bookmarkEnd w:id="439"/>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对违规开展的融合活动也缺乏有效的监管手段，部分教会打着</w:t>
      </w:r>
      <w:r>
        <w:rPr>
          <w:rFonts w:hint="eastAsia" w:ascii="宋体" w:hAnsi="宋体" w:eastAsia="宋体" w:cs="宋体"/>
          <w:sz w:val="24"/>
          <w:szCs w:val="24"/>
          <w:lang w:eastAsia="zh-CN"/>
        </w:rPr>
        <w:t>“</w:t>
      </w:r>
      <w:r>
        <w:rPr>
          <w:rFonts w:hint="eastAsia" w:ascii="宋体" w:hAnsi="宋体" w:eastAsia="宋体" w:cs="宋体"/>
          <w:sz w:val="24"/>
          <w:szCs w:val="24"/>
        </w:rPr>
        <w:t>融合实践</w:t>
      </w:r>
      <w:r>
        <w:rPr>
          <w:rFonts w:hint="eastAsia" w:ascii="宋体" w:hAnsi="宋体" w:eastAsia="宋体" w:cs="宋体"/>
          <w:sz w:val="24"/>
          <w:szCs w:val="24"/>
          <w:lang w:eastAsia="zh-CN"/>
        </w:rPr>
        <w:t>”</w:t>
      </w:r>
      <w:r>
        <w:rPr>
          <w:rFonts w:hint="eastAsia" w:ascii="宋体" w:hAnsi="宋体" w:eastAsia="宋体" w:cs="宋体"/>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lang w:val="en-US" w:eastAsia="zh-CN"/>
        </w:rPr>
      </w:pPr>
      <w:bookmarkStart w:id="440" w:name="_Toc1555857967"/>
      <w:bookmarkStart w:id="441" w:name="_Toc258797072"/>
      <w:bookmarkStart w:id="442" w:name="_Toc458261442"/>
      <w:bookmarkStart w:id="443" w:name="_Toc545406171"/>
      <w:bookmarkStart w:id="444" w:name="_Toc228420013"/>
      <w:bookmarkStart w:id="445" w:name="_Toc1355598005"/>
      <w:bookmarkStart w:id="446" w:name="_Toc1611637878"/>
      <w:r>
        <w:rPr>
          <w:rFonts w:hint="eastAsia"/>
          <w:lang w:val="en-US" w:eastAsia="zh-CN"/>
        </w:rPr>
        <w:t>三、</w:t>
      </w:r>
      <w:r>
        <w:rPr>
          <w:rFonts w:hint="eastAsia"/>
        </w:rPr>
        <w:t>基层宗教工作队伍的能力短板与培训缺失</w:t>
      </w:r>
      <w:bookmarkEnd w:id="440"/>
      <w:bookmarkEnd w:id="441"/>
      <w:bookmarkEnd w:id="442"/>
      <w:bookmarkEnd w:id="443"/>
      <w:bookmarkEnd w:id="444"/>
      <w:bookmarkEnd w:id="445"/>
      <w:bookmarkEnd w:id="446"/>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因此</w:t>
      </w:r>
      <w:r>
        <w:rPr>
          <w:rFonts w:hint="eastAsia" w:ascii="宋体" w:hAnsi="宋体" w:eastAsia="宋体" w:cs="宋体"/>
          <w:sz w:val="24"/>
          <w:szCs w:val="24"/>
        </w:rPr>
        <w:t>基层宗教工作队伍分层培训</w:t>
      </w:r>
      <w:r>
        <w:rPr>
          <w:rFonts w:hint="eastAsia" w:ascii="宋体" w:hAnsi="宋体" w:eastAsia="宋体" w:cs="宋体"/>
          <w:sz w:val="24"/>
          <w:szCs w:val="24"/>
          <w:lang w:val="en-US" w:eastAsia="zh-CN"/>
        </w:rPr>
        <w:t>就非常的重要，培训的内容可以包括：</w:t>
      </w:r>
      <w:r>
        <w:rPr>
          <w:rFonts w:hint="eastAsia" w:ascii="宋体" w:hAnsi="宋体" w:eastAsia="宋体" w:cs="宋体"/>
          <w:sz w:val="24"/>
          <w:szCs w:val="24"/>
        </w:rPr>
        <w:t>政策理论：中国特色社会主义宗教理论核心要义、</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的政策内涵、《宗教事务条例》解读</w:t>
      </w:r>
      <w:r>
        <w:rPr>
          <w:rFonts w:hint="eastAsia" w:ascii="宋体" w:hAnsi="宋体" w:eastAsia="宋体" w:cs="宋体"/>
          <w:sz w:val="24"/>
          <w:szCs w:val="24"/>
          <w:lang w:eastAsia="zh-CN"/>
        </w:rPr>
        <w:t>；</w:t>
      </w:r>
      <w:r>
        <w:rPr>
          <w:rFonts w:hint="eastAsia" w:ascii="宋体" w:hAnsi="宋体" w:eastAsia="宋体" w:cs="宋体"/>
          <w:sz w:val="24"/>
          <w:szCs w:val="24"/>
        </w:rPr>
        <w:t>宗教常识：基督教基本教义概述、仁爱观念的本源与本土化演进、基督教公益慈善的历史传统</w:t>
      </w:r>
      <w:r>
        <w:rPr>
          <w:rFonts w:hint="eastAsia" w:ascii="宋体" w:hAnsi="宋体" w:eastAsia="宋体" w:cs="宋体"/>
          <w:sz w:val="24"/>
          <w:szCs w:val="24"/>
          <w:lang w:eastAsia="zh-CN"/>
        </w:rPr>
        <w:t>；</w:t>
      </w:r>
      <w:r>
        <w:rPr>
          <w:rFonts w:hint="eastAsia" w:ascii="宋体" w:hAnsi="宋体" w:eastAsia="宋体" w:cs="宋体"/>
          <w:sz w:val="24"/>
          <w:szCs w:val="24"/>
        </w:rPr>
        <w:t>价值融合方法：两类价值契合点的梳理技巧、融合活动的策划与实施、</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的引导艺术</w:t>
      </w:r>
      <w:r>
        <w:rPr>
          <w:rFonts w:hint="eastAsia" w:ascii="宋体" w:hAnsi="宋体" w:eastAsia="宋体" w:cs="宋体"/>
          <w:sz w:val="24"/>
          <w:szCs w:val="24"/>
          <w:lang w:eastAsia="zh-CN"/>
        </w:rPr>
        <w:t>；</w:t>
      </w:r>
      <w:r>
        <w:rPr>
          <w:rFonts w:hint="eastAsia" w:ascii="宋体" w:hAnsi="宋体" w:eastAsia="宋体" w:cs="宋体"/>
          <w:sz w:val="24"/>
          <w:szCs w:val="24"/>
        </w:rPr>
        <w:t>实操演练：宗教团体公益项目审批流程模拟、讲经内容审核实操、社区融合活动组织演练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最终</w:t>
      </w:r>
      <w:r>
        <w:rPr>
          <w:rFonts w:hint="eastAsia" w:ascii="宋体" w:hAnsi="宋体" w:eastAsia="宋体" w:cs="宋体"/>
          <w:sz w:val="24"/>
          <w:szCs w:val="24"/>
        </w:rPr>
        <w:t>培训评估：采用</w:t>
      </w:r>
      <w:r>
        <w:rPr>
          <w:rFonts w:hint="eastAsia" w:ascii="宋体" w:hAnsi="宋体" w:eastAsia="宋体" w:cs="宋体"/>
          <w:sz w:val="24"/>
          <w:szCs w:val="24"/>
          <w:lang w:eastAsia="zh-CN"/>
        </w:rPr>
        <w:t>“</w:t>
      </w:r>
      <w:r>
        <w:rPr>
          <w:rFonts w:hint="eastAsia" w:ascii="宋体" w:hAnsi="宋体" w:eastAsia="宋体" w:cs="宋体"/>
          <w:sz w:val="24"/>
          <w:szCs w:val="24"/>
        </w:rPr>
        <w:t>理论学习+案例分析+情景模拟+实操考核</w:t>
      </w:r>
      <w:r>
        <w:rPr>
          <w:rFonts w:hint="eastAsia" w:ascii="宋体" w:hAnsi="宋体" w:eastAsia="宋体" w:cs="宋体"/>
          <w:sz w:val="24"/>
          <w:szCs w:val="24"/>
          <w:lang w:eastAsia="zh-CN"/>
        </w:rPr>
        <w:t>”</w:t>
      </w:r>
      <w:r>
        <w:rPr>
          <w:rFonts w:hint="eastAsia" w:ascii="宋体" w:hAnsi="宋体" w:eastAsia="宋体" w:cs="宋体"/>
          <w:sz w:val="24"/>
          <w:szCs w:val="24"/>
        </w:rPr>
        <w:t>的综合评估方式，确保参训</w:t>
      </w:r>
      <w:r>
        <w:rPr>
          <w:rFonts w:hint="eastAsia" w:ascii="宋体" w:hAnsi="宋体" w:eastAsia="宋体" w:cs="宋体"/>
          <w:sz w:val="24"/>
          <w:szCs w:val="24"/>
          <w:lang w:val="en-US" w:eastAsia="zh-CN"/>
        </w:rPr>
        <w:t>人员</w:t>
      </w:r>
      <w:r>
        <w:rPr>
          <w:rFonts w:hint="eastAsia" w:ascii="宋体" w:hAnsi="宋体" w:eastAsia="宋体" w:cs="宋体"/>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sz w:val="24"/>
          <w:szCs w:val="24"/>
          <w:lang w:eastAsia="zh-CN"/>
        </w:rPr>
        <w:t>“</w:t>
      </w:r>
      <w:r>
        <w:rPr>
          <w:rFonts w:hint="eastAsia" w:ascii="宋体" w:hAnsi="宋体" w:eastAsia="宋体" w:cs="宋体"/>
          <w:sz w:val="24"/>
          <w:szCs w:val="24"/>
        </w:rPr>
        <w:t>不敢管</w:t>
      </w:r>
      <w:r>
        <w:rPr>
          <w:rFonts w:hint="eastAsia" w:ascii="宋体" w:hAnsi="宋体" w:eastAsia="宋体" w:cs="宋体"/>
          <w:sz w:val="24"/>
          <w:szCs w:val="24"/>
          <w:lang w:eastAsia="zh-CN"/>
        </w:rPr>
        <w:t>”“</w:t>
      </w:r>
      <w:r>
        <w:rPr>
          <w:rFonts w:hint="eastAsia" w:ascii="宋体" w:hAnsi="宋体" w:eastAsia="宋体" w:cs="宋体"/>
          <w:sz w:val="24"/>
          <w:szCs w:val="24"/>
        </w:rPr>
        <w:t>不愿管</w:t>
      </w:r>
      <w:r>
        <w:rPr>
          <w:rFonts w:hint="eastAsia" w:ascii="宋体" w:hAnsi="宋体" w:eastAsia="宋体" w:cs="宋体"/>
          <w:sz w:val="24"/>
          <w:szCs w:val="24"/>
          <w:lang w:eastAsia="zh-CN"/>
        </w:rPr>
        <w:t>”</w:t>
      </w:r>
      <w:r>
        <w:rPr>
          <w:rFonts w:hint="eastAsia" w:ascii="宋体" w:hAnsi="宋体" w:eastAsia="宋体" w:cs="宋体"/>
          <w:sz w:val="24"/>
          <w:szCs w:val="24"/>
        </w:rPr>
        <w:t>的消极回避，或</w:t>
      </w:r>
      <w:r>
        <w:rPr>
          <w:rFonts w:hint="eastAsia" w:ascii="宋体" w:hAnsi="宋体" w:eastAsia="宋体" w:cs="宋体"/>
          <w:sz w:val="24"/>
          <w:szCs w:val="24"/>
          <w:lang w:eastAsia="zh-CN"/>
        </w:rPr>
        <w:t>“</w:t>
      </w:r>
      <w:r>
        <w:rPr>
          <w:rFonts w:hint="eastAsia" w:ascii="宋体" w:hAnsi="宋体" w:eastAsia="宋体" w:cs="宋体"/>
          <w:sz w:val="24"/>
          <w:szCs w:val="24"/>
        </w:rPr>
        <w:t>简单化</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6BA3EE47">
      <w:pPr>
        <w:pStyle w:val="2"/>
        <w:bidi w:val="0"/>
        <w:rPr>
          <w:rFonts w:hint="eastAsia"/>
          <w:lang w:val="en-US" w:eastAsia="zh-CN"/>
        </w:rPr>
      </w:pPr>
      <w:bookmarkStart w:id="447" w:name="_Toc1123697552"/>
      <w:bookmarkStart w:id="448" w:name="_Toc1181310601"/>
      <w:bookmarkStart w:id="449" w:name="_Toc1543965497"/>
      <w:bookmarkStart w:id="450" w:name="_Toc948003929"/>
      <w:bookmarkStart w:id="451" w:name="_Toc1501881302"/>
      <w:bookmarkStart w:id="452" w:name="_Toc881659012"/>
      <w:bookmarkStart w:id="453" w:name="_Toc586575935"/>
      <w:r>
        <w:rPr>
          <w:rFonts w:hint="eastAsia"/>
          <w:lang w:val="en-US" w:eastAsia="zh-CN"/>
        </w:rPr>
        <w:t>五、</w:t>
      </w:r>
      <w:r>
        <w:rPr>
          <w:rFonts w:hint="eastAsia"/>
        </w:rPr>
        <w:t>基督教仁爱观念与核心价值观的融合途径构建</w:t>
      </w:r>
      <w:bookmarkEnd w:id="447"/>
      <w:bookmarkEnd w:id="448"/>
      <w:bookmarkEnd w:id="449"/>
      <w:bookmarkEnd w:id="450"/>
      <w:bookmarkEnd w:id="451"/>
      <w:bookmarkEnd w:id="452"/>
      <w:bookmarkEnd w:id="453"/>
    </w:p>
    <w:p w14:paraId="746E5CE8">
      <w:pPr>
        <w:pStyle w:val="3"/>
        <w:bidi w:val="0"/>
        <w:rPr>
          <w:rFonts w:hint="eastAsia"/>
          <w:lang w:val="en-US" w:eastAsia="zh-CN"/>
        </w:rPr>
      </w:pPr>
      <w:bookmarkStart w:id="454" w:name="_Toc1383201378"/>
      <w:bookmarkStart w:id="455" w:name="_Toc1013564746"/>
      <w:bookmarkStart w:id="456" w:name="_Toc800954492"/>
      <w:bookmarkStart w:id="457" w:name="_Toc920857610"/>
      <w:bookmarkStart w:id="458" w:name="_Toc596255876"/>
      <w:bookmarkStart w:id="459" w:name="_Toc405850384"/>
      <w:bookmarkStart w:id="460" w:name="_Toc1631799815"/>
      <w:r>
        <w:rPr>
          <w:rFonts w:hint="eastAsia"/>
          <w:lang w:val="en-US" w:eastAsia="zh-CN"/>
        </w:rPr>
        <w:t xml:space="preserve">第一节 </w:t>
      </w:r>
      <w:r>
        <w:rPr>
          <w:rFonts w:hint="eastAsia"/>
        </w:rPr>
        <w:t>教义阐释维度：构建本土化、时代化的仁爱话语体系</w:t>
      </w:r>
      <w:bookmarkEnd w:id="454"/>
      <w:bookmarkEnd w:id="455"/>
      <w:bookmarkEnd w:id="456"/>
      <w:bookmarkEnd w:id="457"/>
      <w:bookmarkEnd w:id="458"/>
      <w:bookmarkEnd w:id="459"/>
      <w:bookmarkEnd w:id="460"/>
    </w:p>
    <w:p w14:paraId="7907FF9B">
      <w:pPr>
        <w:pStyle w:val="4"/>
        <w:bidi w:val="0"/>
        <w:rPr>
          <w:rFonts w:hint="eastAsia"/>
          <w:lang w:val="en-US" w:eastAsia="zh-CN"/>
        </w:rPr>
      </w:pPr>
      <w:bookmarkStart w:id="461" w:name="_Toc2086690988"/>
      <w:bookmarkStart w:id="462" w:name="_Toc1142398018"/>
      <w:bookmarkStart w:id="463" w:name="_Toc1214647648"/>
      <w:bookmarkStart w:id="464" w:name="_Toc955081271"/>
      <w:bookmarkStart w:id="465" w:name="_Toc1113811030"/>
      <w:bookmarkStart w:id="466" w:name="_Toc719341016"/>
      <w:bookmarkStart w:id="467" w:name="_Toc145834868"/>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bookmarkEnd w:id="461"/>
      <w:bookmarkEnd w:id="462"/>
      <w:bookmarkEnd w:id="463"/>
      <w:bookmarkEnd w:id="464"/>
      <w:bookmarkEnd w:id="465"/>
      <w:bookmarkEnd w:id="466"/>
      <w:bookmarkEnd w:id="467"/>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上帝</w:t>
      </w:r>
      <w:r>
        <w:rPr>
          <w:rFonts w:hint="eastAsia" w:ascii="宋体" w:hAnsi="宋体" w:eastAsia="宋体" w:cs="宋体"/>
          <w:sz w:val="24"/>
          <w:szCs w:val="24"/>
          <w:lang w:eastAsia="zh-CN"/>
        </w:rPr>
        <w:t>”</w:t>
      </w:r>
      <w:r>
        <w:rPr>
          <w:rFonts w:hint="eastAsia" w:ascii="宋体" w:hAnsi="宋体" w:eastAsia="宋体" w:cs="宋体"/>
          <w:sz w:val="24"/>
          <w:szCs w:val="24"/>
        </w:rPr>
        <w:t>译</w:t>
      </w:r>
      <w:r>
        <w:rPr>
          <w:rFonts w:hint="eastAsia" w:ascii="宋体" w:hAnsi="宋体" w:eastAsia="宋体" w:cs="宋体"/>
          <w:sz w:val="24"/>
          <w:szCs w:val="24"/>
          <w:lang w:eastAsia="zh-CN"/>
        </w:rPr>
        <w:t>“</w:t>
      </w:r>
      <w:r>
        <w:rPr>
          <w:rFonts w:hint="eastAsia" w:ascii="宋体" w:hAnsi="宋体" w:eastAsia="宋体" w:cs="宋体"/>
          <w:sz w:val="24"/>
          <w:szCs w:val="24"/>
        </w:rPr>
        <w:t>Deus</w:t>
      </w:r>
      <w:r>
        <w:rPr>
          <w:rFonts w:hint="eastAsia" w:ascii="宋体" w:hAnsi="宋体" w:eastAsia="宋体" w:cs="宋体"/>
          <w:sz w:val="24"/>
          <w:szCs w:val="24"/>
          <w:lang w:eastAsia="zh-CN"/>
        </w:rPr>
        <w:t>”</w:t>
      </w:r>
      <w:r>
        <w:rPr>
          <w:rFonts w:hint="eastAsia" w:ascii="宋体" w:hAnsi="宋体" w:eastAsia="宋体" w:cs="宋体"/>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进行对接。这种对接不是概念替换，而是在</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sz w:val="24"/>
          <w:szCs w:val="24"/>
          <w:lang w:eastAsia="zh-CN"/>
        </w:rPr>
        <w:t>“</w:t>
      </w:r>
      <w:r>
        <w:rPr>
          <w:rFonts w:hint="eastAsia" w:ascii="宋体" w:hAnsi="宋体" w:eastAsia="宋体" w:cs="宋体"/>
          <w:sz w:val="24"/>
          <w:szCs w:val="24"/>
        </w:rPr>
        <w:t>讲仁爱、尚和合、重民本、求大同</w:t>
      </w:r>
      <w:r>
        <w:rPr>
          <w:rFonts w:hint="eastAsia" w:ascii="宋体" w:hAnsi="宋体" w:eastAsia="宋体" w:cs="宋体"/>
          <w:sz w:val="24"/>
          <w:szCs w:val="24"/>
          <w:lang w:eastAsia="zh-CN"/>
        </w:rPr>
        <w:t>”</w:t>
      </w:r>
      <w:r>
        <w:rPr>
          <w:rFonts w:hint="eastAsia" w:ascii="宋体" w:hAnsi="宋体" w:eastAsia="宋体" w:cs="宋体"/>
          <w:sz w:val="24"/>
          <w:szCs w:val="24"/>
        </w:rPr>
        <w:t>等价值理念融入宗教经典教义诠释。</w:t>
      </w:r>
      <w:r>
        <w:rPr>
          <w:rStyle w:val="29"/>
          <w:rFonts w:hint="eastAsia" w:ascii="宋体" w:hAnsi="宋体" w:eastAsia="宋体" w:cs="宋体"/>
          <w:sz w:val="24"/>
          <w:szCs w:val="24"/>
        </w:rPr>
        <w:footnoteReference w:id="82"/>
      </w:r>
      <w:r>
        <w:rPr>
          <w:rFonts w:hint="eastAsia" w:ascii="宋体" w:hAnsi="宋体" w:eastAsia="宋体" w:cs="宋体"/>
          <w:sz w:val="24"/>
          <w:szCs w:val="24"/>
        </w:rPr>
        <w:t xml:space="preserve"> 例如，在阐释</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时，可以引入儒家</w:t>
      </w:r>
      <w:r>
        <w:rPr>
          <w:rFonts w:hint="eastAsia" w:ascii="宋体" w:hAnsi="宋体" w:eastAsia="宋体" w:cs="宋体"/>
          <w:sz w:val="24"/>
          <w:szCs w:val="24"/>
          <w:lang w:eastAsia="zh-CN"/>
        </w:rPr>
        <w:t>“</w:t>
      </w:r>
      <w:r>
        <w:rPr>
          <w:rFonts w:hint="eastAsia" w:ascii="宋体" w:hAnsi="宋体" w:eastAsia="宋体" w:cs="宋体"/>
          <w:sz w:val="24"/>
          <w:szCs w:val="24"/>
        </w:rPr>
        <w:t>己欲立而立人，己欲达而达人</w:t>
      </w:r>
      <w:r>
        <w:rPr>
          <w:rFonts w:hint="eastAsia" w:ascii="宋体" w:hAnsi="宋体" w:eastAsia="宋体" w:cs="宋体"/>
          <w:sz w:val="24"/>
          <w:szCs w:val="24"/>
          <w:lang w:eastAsia="zh-CN"/>
        </w:rPr>
        <w:t>”</w:t>
      </w:r>
      <w:r>
        <w:rPr>
          <w:rFonts w:hint="eastAsia" w:ascii="宋体" w:hAnsi="宋体" w:eastAsia="宋体" w:cs="宋体"/>
          <w:sz w:val="24"/>
          <w:szCs w:val="24"/>
        </w:rPr>
        <w:t>（《论语·雍也》）的忠恕之道，说明基督教之爱与儒家之仁在实践伦理层面的相通性；在阐释</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时，可以结合</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以德报怨</w:t>
      </w:r>
      <w:r>
        <w:rPr>
          <w:rFonts w:hint="eastAsia" w:ascii="宋体" w:hAnsi="宋体" w:eastAsia="宋体" w:cs="宋体"/>
          <w:sz w:val="24"/>
          <w:szCs w:val="24"/>
          <w:lang w:eastAsia="zh-CN"/>
        </w:rPr>
        <w:t>”</w:t>
      </w:r>
      <w:r>
        <w:rPr>
          <w:rFonts w:hint="eastAsia" w:ascii="宋体" w:hAnsi="宋体" w:eastAsia="宋体" w:cs="宋体"/>
          <w:sz w:val="24"/>
          <w:szCs w:val="24"/>
        </w:rPr>
        <w:t>的中华传统智慧，赋予其更具中国文化气质的表达方式。</w:t>
      </w:r>
    </w:p>
    <w:p w14:paraId="0A990621">
      <w:pPr>
        <w:pStyle w:val="4"/>
        <w:bidi w:val="0"/>
        <w:rPr>
          <w:rFonts w:hint="eastAsia"/>
        </w:rPr>
      </w:pPr>
      <w:bookmarkStart w:id="468" w:name="_Toc459996159"/>
      <w:bookmarkStart w:id="469" w:name="_Toc1779684346"/>
      <w:bookmarkStart w:id="470" w:name="_Toc603471554"/>
      <w:bookmarkStart w:id="471" w:name="_Toc1758144019"/>
      <w:bookmarkStart w:id="472" w:name="_Toc207030311"/>
      <w:bookmarkStart w:id="473" w:name="_Toc1779006949"/>
      <w:bookmarkStart w:id="474" w:name="_Toc767785249"/>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bookmarkEnd w:id="468"/>
      <w:bookmarkEnd w:id="469"/>
      <w:bookmarkEnd w:id="470"/>
      <w:bookmarkEnd w:id="471"/>
      <w:bookmarkEnd w:id="472"/>
      <w:bookmarkEnd w:id="473"/>
      <w:bookmarkEnd w:id="474"/>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方案，核心在于将儒家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的差序推扩逻辑与基督教Agape的普遍主义进行辩证统一，形成</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第一层：家国情怀（爱家爱国）。儒家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孝悌</w:t>
      </w:r>
      <w:r>
        <w:rPr>
          <w:rFonts w:hint="eastAsia" w:ascii="宋体" w:hAnsi="宋体" w:eastAsia="宋体" w:cs="宋体"/>
          <w:sz w:val="24"/>
          <w:szCs w:val="24"/>
          <w:lang w:eastAsia="zh-CN"/>
        </w:rPr>
        <w:t>”</w:t>
      </w:r>
      <w:r>
        <w:rPr>
          <w:rFonts w:hint="eastAsia" w:ascii="宋体" w:hAnsi="宋体" w:eastAsia="宋体" w:cs="宋体"/>
          <w:sz w:val="24"/>
          <w:szCs w:val="24"/>
        </w:rPr>
        <w:t>为根基，由亲亲而仁民，由仁民而爱物。基督教Agape虽然强调普遍性，但在《圣经》中同样重视家庭伦理（</w:t>
      </w:r>
      <w:r>
        <w:rPr>
          <w:rFonts w:hint="eastAsia" w:ascii="宋体" w:hAnsi="宋体" w:eastAsia="宋体" w:cs="宋体"/>
          <w:sz w:val="24"/>
          <w:szCs w:val="24"/>
          <w:lang w:eastAsia="zh-CN"/>
        </w:rPr>
        <w:t>“</w:t>
      </w:r>
      <w:r>
        <w:rPr>
          <w:rFonts w:hint="eastAsia" w:ascii="宋体" w:hAnsi="宋体" w:eastAsia="宋体" w:cs="宋体"/>
          <w:sz w:val="24"/>
          <w:szCs w:val="24"/>
        </w:rPr>
        <w:t>当孝敬父母</w:t>
      </w:r>
      <w:r>
        <w:rPr>
          <w:rFonts w:hint="eastAsia" w:ascii="宋体" w:hAnsi="宋体" w:eastAsia="宋体" w:cs="宋体"/>
          <w:sz w:val="24"/>
          <w:szCs w:val="24"/>
          <w:lang w:eastAsia="zh-CN"/>
        </w:rPr>
        <w:t>”</w:t>
      </w:r>
      <w:r>
        <w:rPr>
          <w:rFonts w:hint="eastAsia" w:ascii="宋体" w:hAnsi="宋体" w:eastAsia="宋体" w:cs="宋体"/>
          <w:sz w:val="24"/>
          <w:szCs w:val="24"/>
        </w:rPr>
        <w:t>，《出埃及记》20:12）。当代教义阐释可以将</w:t>
      </w:r>
      <w:r>
        <w:rPr>
          <w:rFonts w:hint="eastAsia" w:ascii="宋体" w:hAnsi="宋体" w:eastAsia="宋体" w:cs="宋体"/>
          <w:sz w:val="24"/>
          <w:szCs w:val="24"/>
          <w:lang w:eastAsia="zh-CN"/>
        </w:rPr>
        <w:t>“</w:t>
      </w:r>
      <w:r>
        <w:rPr>
          <w:rFonts w:hint="eastAsia" w:ascii="宋体" w:hAnsi="宋体" w:eastAsia="宋体" w:cs="宋体"/>
          <w:sz w:val="24"/>
          <w:szCs w:val="24"/>
        </w:rPr>
        <w:t>爱家</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爱国</w:t>
      </w:r>
      <w:r>
        <w:rPr>
          <w:rFonts w:hint="eastAsia" w:ascii="宋体" w:hAnsi="宋体" w:eastAsia="宋体" w:cs="宋体"/>
          <w:sz w:val="24"/>
          <w:szCs w:val="24"/>
          <w:lang w:eastAsia="zh-CN"/>
        </w:rPr>
        <w:t>”</w:t>
      </w:r>
      <w:r>
        <w:rPr>
          <w:rFonts w:hint="eastAsia" w:ascii="宋体" w:hAnsi="宋体" w:eastAsia="宋体" w:cs="宋体"/>
          <w:sz w:val="24"/>
          <w:szCs w:val="24"/>
        </w:rPr>
        <w:t>衔接，论证基督徒爱国爱教的一致性：爱上帝要求信徒</w:t>
      </w:r>
      <w:r>
        <w:rPr>
          <w:rFonts w:hint="eastAsia" w:ascii="宋体" w:hAnsi="宋体" w:eastAsia="宋体" w:cs="宋体"/>
          <w:sz w:val="24"/>
          <w:szCs w:val="24"/>
          <w:lang w:eastAsia="zh-CN"/>
        </w:rPr>
        <w:t>“</w:t>
      </w:r>
      <w:r>
        <w:rPr>
          <w:rFonts w:hint="eastAsia" w:ascii="宋体" w:hAnsi="宋体" w:eastAsia="宋体" w:cs="宋体"/>
          <w:sz w:val="24"/>
          <w:szCs w:val="24"/>
        </w:rPr>
        <w:t>在上有权柄的，人人当顺服他</w:t>
      </w:r>
      <w:r>
        <w:rPr>
          <w:rFonts w:hint="eastAsia" w:ascii="宋体" w:hAnsi="宋体" w:eastAsia="宋体" w:cs="宋体"/>
          <w:sz w:val="24"/>
          <w:szCs w:val="24"/>
          <w:lang w:eastAsia="zh-CN"/>
        </w:rPr>
        <w:t>”</w:t>
      </w:r>
      <w:r>
        <w:rPr>
          <w:rFonts w:hint="eastAsia" w:ascii="宋体" w:hAnsi="宋体" w:eastAsia="宋体" w:cs="宋体"/>
          <w:sz w:val="24"/>
          <w:szCs w:val="24"/>
        </w:rPr>
        <w:t>（罗13:1），而在中国语境中，</w:t>
      </w:r>
      <w:r>
        <w:rPr>
          <w:rFonts w:hint="eastAsia" w:ascii="宋体" w:hAnsi="宋体" w:eastAsia="宋体" w:cs="宋体"/>
          <w:sz w:val="24"/>
          <w:szCs w:val="24"/>
          <w:lang w:eastAsia="zh-CN"/>
        </w:rPr>
        <w:t>“</w:t>
      </w:r>
      <w:r>
        <w:rPr>
          <w:rFonts w:hint="eastAsia" w:ascii="宋体" w:hAnsi="宋体" w:eastAsia="宋体" w:cs="宋体"/>
          <w:sz w:val="24"/>
          <w:szCs w:val="24"/>
        </w:rPr>
        <w:t>顺服权柄</w:t>
      </w:r>
      <w:r>
        <w:rPr>
          <w:rFonts w:hint="eastAsia" w:ascii="宋体" w:hAnsi="宋体" w:eastAsia="宋体" w:cs="宋体"/>
          <w:sz w:val="24"/>
          <w:szCs w:val="24"/>
          <w:lang w:eastAsia="zh-CN"/>
        </w:rPr>
        <w:t>”</w:t>
      </w:r>
      <w:r>
        <w:rPr>
          <w:rFonts w:hint="eastAsia" w:ascii="宋体" w:hAnsi="宋体" w:eastAsia="宋体" w:cs="宋体"/>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第二层：社区互助（爱人如己）。这是融合实践的核心层面。儒家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在社区层面表现为</w:t>
      </w:r>
      <w:r>
        <w:rPr>
          <w:rFonts w:hint="eastAsia" w:ascii="宋体" w:hAnsi="宋体" w:eastAsia="宋体" w:cs="宋体"/>
          <w:sz w:val="24"/>
          <w:szCs w:val="24"/>
          <w:lang w:eastAsia="zh-CN"/>
        </w:rPr>
        <w:t>“</w:t>
      </w:r>
      <w:r>
        <w:rPr>
          <w:rFonts w:hint="eastAsia" w:ascii="宋体" w:hAnsi="宋体" w:eastAsia="宋体" w:cs="宋体"/>
          <w:sz w:val="24"/>
          <w:szCs w:val="24"/>
        </w:rPr>
        <w:t>邻里守望</w:t>
      </w:r>
      <w:r>
        <w:rPr>
          <w:rFonts w:hint="eastAsia" w:ascii="宋体" w:hAnsi="宋体" w:eastAsia="宋体" w:cs="宋体"/>
          <w:sz w:val="24"/>
          <w:szCs w:val="24"/>
          <w:lang w:eastAsia="zh-CN"/>
        </w:rPr>
        <w:t>”“</w:t>
      </w:r>
      <w:r>
        <w:rPr>
          <w:rFonts w:hint="eastAsia" w:ascii="宋体" w:hAnsi="宋体" w:eastAsia="宋体" w:cs="宋体"/>
          <w:sz w:val="24"/>
          <w:szCs w:val="24"/>
        </w:rPr>
        <w:t>敦亲睦邻</w:t>
      </w:r>
      <w:r>
        <w:rPr>
          <w:rFonts w:hint="eastAsia" w:ascii="宋体" w:hAnsi="宋体" w:eastAsia="宋体" w:cs="宋体"/>
          <w:sz w:val="24"/>
          <w:szCs w:val="24"/>
          <w:lang w:eastAsia="zh-CN"/>
        </w:rPr>
        <w:t>”</w:t>
      </w:r>
      <w:r>
        <w:rPr>
          <w:rFonts w:hint="eastAsia" w:ascii="宋体" w:hAnsi="宋体" w:eastAsia="宋体" w:cs="宋体"/>
          <w:sz w:val="24"/>
          <w:szCs w:val="24"/>
        </w:rPr>
        <w:t>，基督教Agape则表现为</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式的邻人关爱。二者可以在</w:t>
      </w:r>
      <w:r>
        <w:rPr>
          <w:rFonts w:hint="eastAsia" w:ascii="宋体" w:hAnsi="宋体" w:eastAsia="宋体" w:cs="宋体"/>
          <w:sz w:val="24"/>
          <w:szCs w:val="24"/>
          <w:lang w:eastAsia="zh-CN"/>
        </w:rPr>
        <w:t>“</w:t>
      </w:r>
      <w:r>
        <w:rPr>
          <w:rFonts w:hint="eastAsia" w:ascii="宋体" w:hAnsi="宋体" w:eastAsia="宋体" w:cs="宋体"/>
          <w:sz w:val="24"/>
          <w:szCs w:val="24"/>
        </w:rPr>
        <w:t>社区共同体</w:t>
      </w:r>
      <w:r>
        <w:rPr>
          <w:rFonts w:hint="eastAsia" w:ascii="宋体" w:hAnsi="宋体" w:eastAsia="宋体" w:cs="宋体"/>
          <w:sz w:val="24"/>
          <w:szCs w:val="24"/>
          <w:lang w:eastAsia="zh-CN"/>
        </w:rPr>
        <w:t>”</w:t>
      </w:r>
      <w:r>
        <w:rPr>
          <w:rFonts w:hint="eastAsia" w:ascii="宋体" w:hAnsi="宋体" w:eastAsia="宋体" w:cs="宋体"/>
          <w:sz w:val="24"/>
          <w:szCs w:val="24"/>
        </w:rPr>
        <w:t>概念中实现对接：基督徒参与社区养老、困境儿童帮扶，既是践行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第三层：人类关怀（博爱大同）。儒家</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万人得救</w:t>
      </w:r>
      <w:r>
        <w:rPr>
          <w:rFonts w:hint="eastAsia" w:ascii="宋体" w:hAnsi="宋体" w:eastAsia="宋体" w:cs="宋体"/>
          <w:sz w:val="24"/>
          <w:szCs w:val="24"/>
          <w:lang w:eastAsia="zh-CN"/>
        </w:rPr>
        <w:t>”</w:t>
      </w:r>
      <w:r>
        <w:rPr>
          <w:rFonts w:hint="eastAsia" w:ascii="宋体" w:hAnsi="宋体" w:eastAsia="宋体" w:cs="宋体"/>
          <w:sz w:val="24"/>
          <w:szCs w:val="24"/>
        </w:rPr>
        <w:t>的普世关怀可以在</w:t>
      </w:r>
      <w:r>
        <w:rPr>
          <w:rFonts w:hint="eastAsia" w:ascii="宋体" w:hAnsi="宋体" w:eastAsia="宋体" w:cs="宋体"/>
          <w:sz w:val="24"/>
          <w:szCs w:val="24"/>
          <w:lang w:eastAsia="zh-CN"/>
        </w:rPr>
        <w:t>“</w:t>
      </w:r>
      <w:r>
        <w:rPr>
          <w:rFonts w:hint="eastAsia" w:ascii="宋体" w:hAnsi="宋体" w:eastAsia="宋体" w:cs="宋体"/>
          <w:sz w:val="24"/>
          <w:szCs w:val="24"/>
        </w:rPr>
        <w:t>人类命运共同体</w:t>
      </w:r>
      <w:r>
        <w:rPr>
          <w:rFonts w:hint="eastAsia" w:ascii="宋体" w:hAnsi="宋体" w:eastAsia="宋体" w:cs="宋体"/>
          <w:sz w:val="24"/>
          <w:szCs w:val="24"/>
          <w:lang w:eastAsia="zh-CN"/>
        </w:rPr>
        <w:t>”</w:t>
      </w:r>
      <w:r>
        <w:rPr>
          <w:rFonts w:hint="eastAsia" w:ascii="宋体" w:hAnsi="宋体" w:eastAsia="宋体" w:cs="宋体"/>
          <w:sz w:val="24"/>
          <w:szCs w:val="24"/>
        </w:rPr>
        <w:t>理念中实现对接。这种诠释既保留了基督教Agape的终极关怀，又赋予其鲜明的中国气派。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这种三层结构不是对基督教教义的篡改，而是“处境化诠释”（contextual hermeneutics）的必然要求。正如Schreiter所言，本土神学建构需要在本土经验中“重新发现”福音的意义，而非将外来意义“强加”于本土经验。 2023年《纲要》明确提出“以社会主义核心价值观为引领，用中华优秀传统文化浸润”，这一政策要求为“Agape与‘仁’的创造性对接”提供了制度支撑。</w:t>
      </w:r>
    </w:p>
    <w:p w14:paraId="522CDC5F">
      <w:pPr>
        <w:pStyle w:val="4"/>
        <w:bidi w:val="0"/>
        <w:rPr>
          <w:rFonts w:hint="eastAsia"/>
        </w:rPr>
      </w:pPr>
      <w:bookmarkStart w:id="475" w:name="_Toc1002567806"/>
      <w:bookmarkStart w:id="476" w:name="_Toc2128626944"/>
      <w:bookmarkStart w:id="477" w:name="_Toc1899028260"/>
      <w:bookmarkStart w:id="478" w:name="_Toc214315113"/>
      <w:bookmarkStart w:id="479" w:name="_Toc634928837"/>
      <w:bookmarkStart w:id="480" w:name="_Toc354974662"/>
      <w:bookmarkStart w:id="481" w:name="_Toc2084928767"/>
      <w:r>
        <w:rPr>
          <w:rFonts w:hint="eastAsia"/>
          <w:lang w:val="en-US" w:eastAsia="zh-CN"/>
        </w:rPr>
        <w:t>三、</w:t>
      </w:r>
      <w:r>
        <w:rPr>
          <w:rFonts w:hint="eastAsia"/>
        </w:rPr>
        <w:t>浙江神学院神学思想建设的实践引领</w:t>
      </w:r>
      <w:bookmarkEnd w:id="475"/>
      <w:bookmarkEnd w:id="476"/>
      <w:bookmarkEnd w:id="477"/>
      <w:bookmarkEnd w:id="478"/>
      <w:bookmarkEnd w:id="479"/>
      <w:bookmarkEnd w:id="480"/>
      <w:bookmarkEnd w:id="481"/>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sz w:val="24"/>
          <w:szCs w:val="24"/>
          <w:lang w:eastAsia="zh-CN"/>
        </w:rPr>
        <w:t>“</w:t>
      </w:r>
      <w:r>
        <w:rPr>
          <w:rFonts w:hint="eastAsia" w:ascii="宋体" w:hAnsi="宋体" w:eastAsia="宋体" w:cs="宋体"/>
          <w:sz w:val="24"/>
          <w:szCs w:val="24"/>
        </w:rPr>
        <w:t>为谁培养人、培养什么人、怎样培养人</w:t>
      </w:r>
      <w:r>
        <w:rPr>
          <w:rFonts w:hint="eastAsia" w:ascii="宋体" w:hAnsi="宋体" w:eastAsia="宋体" w:cs="宋体"/>
          <w:sz w:val="24"/>
          <w:szCs w:val="24"/>
          <w:lang w:eastAsia="zh-CN"/>
        </w:rPr>
        <w:t>”</w:t>
      </w:r>
      <w:r>
        <w:rPr>
          <w:rFonts w:hint="eastAsia" w:ascii="宋体" w:hAnsi="宋体" w:eastAsia="宋体" w:cs="宋体"/>
          <w:sz w:val="24"/>
          <w:szCs w:val="24"/>
        </w:rPr>
        <w:t>三个基本问题开展教育教学工作，推动特色教育多元融合，实行</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爱心培养理念、提倡</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教学、开展课外</w:t>
      </w:r>
      <w:r>
        <w:rPr>
          <w:rFonts w:hint="eastAsia" w:ascii="宋体" w:hAnsi="宋体" w:eastAsia="宋体" w:cs="宋体"/>
          <w:sz w:val="24"/>
          <w:szCs w:val="24"/>
          <w:lang w:eastAsia="zh-CN"/>
        </w:rPr>
        <w:t>“</w:t>
      </w:r>
      <w:r>
        <w:rPr>
          <w:rFonts w:hint="eastAsia" w:ascii="宋体" w:hAnsi="宋体" w:eastAsia="宋体" w:cs="宋体"/>
          <w:sz w:val="24"/>
          <w:szCs w:val="24"/>
        </w:rPr>
        <w:t>生命操守</w:t>
      </w:r>
      <w:r>
        <w:rPr>
          <w:rFonts w:hint="eastAsia" w:ascii="宋体" w:hAnsi="宋体" w:eastAsia="宋体" w:cs="宋体"/>
          <w:sz w:val="24"/>
          <w:szCs w:val="24"/>
          <w:lang w:eastAsia="zh-CN"/>
        </w:rPr>
        <w:t>”</w:t>
      </w:r>
      <w:r>
        <w:rPr>
          <w:rFonts w:hint="eastAsia" w:ascii="宋体" w:hAnsi="宋体" w:eastAsia="宋体" w:cs="宋体"/>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爱心培养理念将知识传授、品格塑造、能力培养、社会实践融为一体，强调神学教育不仅要培养</w:t>
      </w:r>
      <w:r>
        <w:rPr>
          <w:rFonts w:hint="eastAsia" w:ascii="宋体" w:hAnsi="宋体" w:eastAsia="宋体" w:cs="宋体"/>
          <w:sz w:val="24"/>
          <w:szCs w:val="24"/>
          <w:lang w:eastAsia="zh-CN"/>
        </w:rPr>
        <w:t>“</w:t>
      </w:r>
      <w:r>
        <w:rPr>
          <w:rFonts w:hint="eastAsia" w:ascii="宋体" w:hAnsi="宋体" w:eastAsia="宋体" w:cs="宋体"/>
          <w:sz w:val="24"/>
          <w:szCs w:val="24"/>
        </w:rPr>
        <w:t>宗教上有造诣</w:t>
      </w:r>
      <w:r>
        <w:rPr>
          <w:rFonts w:hint="eastAsia" w:ascii="宋体" w:hAnsi="宋体" w:eastAsia="宋体" w:cs="宋体"/>
          <w:sz w:val="24"/>
          <w:szCs w:val="24"/>
          <w:lang w:eastAsia="zh-CN"/>
        </w:rPr>
        <w:t>”</w:t>
      </w:r>
      <w:r>
        <w:rPr>
          <w:rFonts w:hint="eastAsia" w:ascii="宋体" w:hAnsi="宋体" w:eastAsia="宋体" w:cs="宋体"/>
          <w:sz w:val="24"/>
          <w:szCs w:val="24"/>
        </w:rPr>
        <w:t>的人才，更要培养</w:t>
      </w:r>
      <w:r>
        <w:rPr>
          <w:rFonts w:hint="eastAsia" w:ascii="宋体" w:hAnsi="宋体" w:eastAsia="宋体" w:cs="宋体"/>
          <w:sz w:val="24"/>
          <w:szCs w:val="24"/>
          <w:lang w:eastAsia="zh-CN"/>
        </w:rPr>
        <w:t>“</w:t>
      </w:r>
      <w:r>
        <w:rPr>
          <w:rFonts w:hint="eastAsia" w:ascii="宋体" w:hAnsi="宋体" w:eastAsia="宋体" w:cs="宋体"/>
          <w:sz w:val="24"/>
          <w:szCs w:val="24"/>
        </w:rPr>
        <w:t>政治上靠得住、品德上能服众</w:t>
      </w:r>
      <w:r>
        <w:rPr>
          <w:rFonts w:hint="eastAsia" w:ascii="宋体" w:hAnsi="宋体" w:eastAsia="宋体" w:cs="宋体"/>
          <w:sz w:val="24"/>
          <w:szCs w:val="24"/>
          <w:lang w:eastAsia="zh-CN"/>
        </w:rPr>
        <w:t>”</w:t>
      </w:r>
      <w:r>
        <w:rPr>
          <w:rFonts w:hint="eastAsia" w:ascii="宋体" w:hAnsi="宋体" w:eastAsia="宋体" w:cs="宋体"/>
          <w:sz w:val="24"/>
          <w:szCs w:val="24"/>
        </w:rPr>
        <w:t>的复合型人才。这一理念与社会主义核心价值观的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敬业</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浙江神学院还定期举办神学思想建设研讨会。2019年12月，浙江省基督教两会在浙江神学院举办</w:t>
      </w:r>
      <w:r>
        <w:rPr>
          <w:rFonts w:hint="eastAsia" w:ascii="宋体" w:hAnsi="宋体" w:eastAsia="宋体" w:cs="宋体"/>
          <w:sz w:val="24"/>
          <w:szCs w:val="24"/>
          <w:lang w:eastAsia="zh-CN"/>
        </w:rPr>
        <w:t>“</w:t>
      </w:r>
      <w:r>
        <w:rPr>
          <w:rFonts w:hint="eastAsia" w:ascii="宋体" w:hAnsi="宋体" w:eastAsia="宋体" w:cs="宋体"/>
          <w:sz w:val="24"/>
          <w:szCs w:val="24"/>
        </w:rPr>
        <w:t>基督教中国化神学思想建设第十九次研讨会暨浙江神学院三十五周年感恩活动</w:t>
      </w:r>
      <w:r>
        <w:rPr>
          <w:rFonts w:hint="eastAsia" w:ascii="宋体" w:hAnsi="宋体" w:eastAsia="宋体" w:cs="宋体"/>
          <w:sz w:val="24"/>
          <w:szCs w:val="24"/>
          <w:lang w:eastAsia="zh-CN"/>
        </w:rPr>
        <w:t>”</w:t>
      </w:r>
      <w:r>
        <w:rPr>
          <w:rFonts w:hint="eastAsia" w:ascii="宋体" w:hAnsi="宋体" w:eastAsia="宋体" w:cs="宋体"/>
          <w:sz w:val="24"/>
          <w:szCs w:val="24"/>
        </w:rPr>
        <w:t>，研讨会以</w:t>
      </w:r>
      <w:r>
        <w:rPr>
          <w:rFonts w:hint="eastAsia" w:ascii="宋体" w:hAnsi="宋体" w:eastAsia="宋体" w:cs="宋体"/>
          <w:sz w:val="24"/>
          <w:szCs w:val="24"/>
          <w:lang w:eastAsia="zh-CN"/>
        </w:rPr>
        <w:t>“</w:t>
      </w:r>
      <w:r>
        <w:rPr>
          <w:rFonts w:hint="eastAsia" w:ascii="宋体" w:hAnsi="宋体" w:eastAsia="宋体" w:cs="宋体"/>
          <w:sz w:val="24"/>
          <w:szCs w:val="24"/>
        </w:rPr>
        <w:t>基督教促进社会主义经济发展作贡献</w:t>
      </w:r>
      <w:r>
        <w:rPr>
          <w:rFonts w:hint="eastAsia" w:ascii="宋体" w:hAnsi="宋体" w:eastAsia="宋体" w:cs="宋体"/>
          <w:sz w:val="24"/>
          <w:szCs w:val="24"/>
          <w:lang w:eastAsia="zh-CN"/>
        </w:rPr>
        <w:t>”</w:t>
      </w:r>
      <w:r>
        <w:rPr>
          <w:rFonts w:hint="eastAsia" w:ascii="宋体" w:hAnsi="宋体" w:eastAsia="宋体" w:cs="宋体"/>
          <w:sz w:val="24"/>
          <w:szCs w:val="24"/>
        </w:rPr>
        <w:t>为主题，探讨了</w:t>
      </w:r>
      <w:r>
        <w:rPr>
          <w:rFonts w:hint="eastAsia" w:ascii="宋体" w:hAnsi="宋体" w:eastAsia="宋体" w:cs="宋体"/>
          <w:sz w:val="24"/>
          <w:szCs w:val="24"/>
          <w:lang w:eastAsia="zh-CN"/>
        </w:rPr>
        <w:t>“</w:t>
      </w:r>
      <w:r>
        <w:rPr>
          <w:rFonts w:hint="eastAsia" w:ascii="宋体" w:hAnsi="宋体" w:eastAsia="宋体" w:cs="宋体"/>
          <w:sz w:val="24"/>
          <w:szCs w:val="24"/>
        </w:rPr>
        <w:t>马太效应</w:t>
      </w:r>
      <w:r>
        <w:rPr>
          <w:rFonts w:hint="eastAsia" w:ascii="宋体" w:hAnsi="宋体" w:eastAsia="宋体" w:cs="宋体"/>
          <w:sz w:val="24"/>
          <w:szCs w:val="24"/>
          <w:lang w:eastAsia="zh-CN"/>
        </w:rPr>
        <w:t>”</w:t>
      </w:r>
      <w:r>
        <w:rPr>
          <w:rFonts w:hint="eastAsia" w:ascii="宋体" w:hAnsi="宋体" w:eastAsia="宋体" w:cs="宋体"/>
          <w:sz w:val="24"/>
          <w:szCs w:val="24"/>
        </w:rPr>
        <w:t>的积极运用、敬业精神的神学基础、社会主要矛盾变化对基督教的考验等议题。</w:t>
      </w:r>
      <w:r>
        <w:rPr>
          <w:rStyle w:val="29"/>
          <w:rFonts w:hint="eastAsia" w:ascii="宋体" w:hAnsi="宋体" w:eastAsia="宋体" w:cs="宋体"/>
          <w:sz w:val="24"/>
          <w:szCs w:val="24"/>
        </w:rPr>
        <w:footnoteReference w:id="83"/>
      </w:r>
      <w:r>
        <w:rPr>
          <w:rFonts w:hint="eastAsia" w:ascii="宋体" w:hAnsi="宋体" w:eastAsia="宋体" w:cs="宋体"/>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张忠成牧师在研讨会上以</w:t>
      </w:r>
      <w:r>
        <w:rPr>
          <w:rFonts w:hint="eastAsia" w:ascii="宋体" w:hAnsi="宋体" w:eastAsia="宋体" w:cs="宋体"/>
          <w:sz w:val="24"/>
          <w:szCs w:val="24"/>
          <w:lang w:eastAsia="zh-CN"/>
        </w:rPr>
        <w:t>“</w:t>
      </w:r>
      <w:r>
        <w:rPr>
          <w:rFonts w:hint="eastAsia" w:ascii="宋体" w:hAnsi="宋体" w:eastAsia="宋体" w:cs="宋体"/>
          <w:sz w:val="24"/>
          <w:szCs w:val="24"/>
        </w:rPr>
        <w:t>基督教伦理与社会主义核心价值观之刍议</w:t>
      </w:r>
      <w:r>
        <w:rPr>
          <w:rFonts w:hint="eastAsia" w:ascii="宋体" w:hAnsi="宋体" w:eastAsia="宋体" w:cs="宋体"/>
          <w:sz w:val="24"/>
          <w:szCs w:val="24"/>
          <w:lang w:eastAsia="zh-CN"/>
        </w:rPr>
        <w:t>”</w:t>
      </w:r>
      <w:r>
        <w:rPr>
          <w:rFonts w:hint="eastAsia" w:ascii="宋体" w:hAnsi="宋体" w:eastAsia="宋体" w:cs="宋体"/>
          <w:sz w:val="24"/>
          <w:szCs w:val="24"/>
        </w:rPr>
        <w:t>为题发言，直接论证了基督教伦理与核心价值观的契合性。</w:t>
      </w:r>
      <w:r>
        <w:rPr>
          <w:rStyle w:val="29"/>
          <w:rFonts w:hint="eastAsia" w:ascii="宋体" w:hAnsi="宋体" w:eastAsia="宋体" w:cs="宋体"/>
          <w:sz w:val="24"/>
          <w:szCs w:val="24"/>
        </w:rPr>
        <w:footnoteReference w:id="85"/>
      </w:r>
      <w:r>
        <w:rPr>
          <w:rFonts w:hint="eastAsia" w:ascii="宋体" w:hAnsi="宋体" w:eastAsia="宋体" w:cs="宋体"/>
          <w:sz w:val="24"/>
          <w:szCs w:val="24"/>
        </w:rPr>
        <w:t xml:space="preserve"> 这种由宗教界代表人士主动发起的价值对话，比外部强加的政策宣讲更具说服力，是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sz w:val="24"/>
          <w:szCs w:val="24"/>
          <w:lang w:eastAsia="zh-CN"/>
        </w:rPr>
        <w:t>“</w:t>
      </w:r>
      <w:r>
        <w:rPr>
          <w:rFonts w:hint="eastAsia" w:ascii="宋体" w:hAnsi="宋体" w:eastAsia="宋体" w:cs="宋体"/>
          <w:sz w:val="24"/>
          <w:szCs w:val="24"/>
        </w:rPr>
        <w:t>邻舍</w:t>
      </w:r>
      <w:r>
        <w:rPr>
          <w:rFonts w:hint="eastAsia" w:ascii="宋体" w:hAnsi="宋体" w:eastAsia="宋体" w:cs="宋体"/>
          <w:sz w:val="24"/>
          <w:szCs w:val="24"/>
          <w:lang w:eastAsia="zh-CN"/>
        </w:rPr>
        <w:t>”</w:t>
      </w:r>
      <w:r>
        <w:rPr>
          <w:rFonts w:hint="eastAsia" w:ascii="宋体" w:hAnsi="宋体" w:eastAsia="宋体" w:cs="宋体"/>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为增强教义阐释的可操作性，本文提供以下讲经讲道示范框架。以</w:t>
      </w:r>
      <w:r>
        <w:rPr>
          <w:rFonts w:hint="eastAsia" w:ascii="宋体" w:hAnsi="宋体" w:eastAsia="宋体" w:cs="宋体"/>
          <w:sz w:val="24"/>
          <w:szCs w:val="24"/>
          <w:lang w:eastAsia="zh-CN"/>
        </w:rPr>
        <w:t>“</w:t>
      </w:r>
      <w:r>
        <w:rPr>
          <w:rFonts w:hint="eastAsia" w:ascii="宋体" w:hAnsi="宋体" w:eastAsia="宋体" w:cs="宋体"/>
          <w:sz w:val="24"/>
          <w:szCs w:val="24"/>
        </w:rPr>
        <w:t>绵羊与山羊</w:t>
      </w:r>
      <w:r>
        <w:rPr>
          <w:rFonts w:hint="eastAsia" w:ascii="宋体" w:hAnsi="宋体" w:eastAsia="宋体" w:cs="宋体"/>
          <w:sz w:val="24"/>
          <w:szCs w:val="24"/>
          <w:lang w:eastAsia="zh-CN"/>
        </w:rPr>
        <w:t>”</w:t>
      </w:r>
      <w:r>
        <w:rPr>
          <w:rFonts w:hint="eastAsia" w:ascii="宋体" w:hAnsi="宋体" w:eastAsia="宋体" w:cs="宋体"/>
          <w:sz w:val="24"/>
          <w:szCs w:val="24"/>
        </w:rPr>
        <w:t>寓言（太25:31-46）为例，传统讲道侧重于末日审判的神学含义，在社会主义核心价值观引领下的处境化诠释中，可将讲道重心转向</w:t>
      </w:r>
      <w:r>
        <w:rPr>
          <w:rFonts w:hint="eastAsia" w:ascii="宋体" w:hAnsi="宋体" w:eastAsia="宋体" w:cs="宋体"/>
          <w:sz w:val="24"/>
          <w:szCs w:val="24"/>
          <w:lang w:eastAsia="zh-CN"/>
        </w:rPr>
        <w:t>“</w:t>
      </w:r>
      <w:r>
        <w:rPr>
          <w:rFonts w:hint="eastAsia" w:ascii="宋体" w:hAnsi="宋体" w:eastAsia="宋体" w:cs="宋体"/>
          <w:sz w:val="24"/>
          <w:szCs w:val="24"/>
        </w:rPr>
        <w:t>给最小的弟兄做</w:t>
      </w:r>
      <w:r>
        <w:rPr>
          <w:rFonts w:hint="eastAsia" w:ascii="宋体" w:hAnsi="宋体" w:eastAsia="宋体" w:cs="宋体"/>
          <w:sz w:val="24"/>
          <w:szCs w:val="24"/>
          <w:lang w:eastAsia="zh-CN"/>
        </w:rPr>
        <w:t>”</w:t>
      </w:r>
      <w:r>
        <w:rPr>
          <w:rFonts w:hint="eastAsia" w:ascii="宋体" w:hAnsi="宋体" w:eastAsia="宋体" w:cs="宋体"/>
          <w:sz w:val="24"/>
          <w:szCs w:val="24"/>
        </w:rPr>
        <w:t>的实践伦理：</w:t>
      </w:r>
      <w:r>
        <w:rPr>
          <w:rFonts w:hint="eastAsia" w:ascii="宋体" w:hAnsi="宋体" w:eastAsia="宋体" w:cs="宋体"/>
          <w:sz w:val="24"/>
          <w:szCs w:val="24"/>
          <w:lang w:val="en-US" w:eastAsia="zh-CN"/>
        </w:rPr>
        <w:t>如讲道</w:t>
      </w:r>
      <w:r>
        <w:rPr>
          <w:rFonts w:hint="eastAsia" w:ascii="宋体" w:hAnsi="宋体" w:eastAsia="宋体" w:cs="宋体"/>
          <w:sz w:val="24"/>
          <w:szCs w:val="24"/>
        </w:rPr>
        <w:t>主题：</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价值的信仰实践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w:t>
      </w:r>
      <w:r>
        <w:rPr>
          <w:rFonts w:hint="eastAsia" w:ascii="宋体" w:hAnsi="宋体" w:eastAsia="宋体" w:cs="宋体"/>
          <w:sz w:val="24"/>
          <w:szCs w:val="24"/>
        </w:rPr>
        <w:t>经文：《马太福音》22:37-39</w:t>
      </w:r>
      <w:r>
        <w:rPr>
          <w:rFonts w:hint="eastAsia" w:ascii="宋体" w:hAnsi="宋体" w:eastAsia="宋体" w:cs="宋体"/>
          <w:sz w:val="24"/>
          <w:szCs w:val="24"/>
          <w:lang w:eastAsia="zh-CN"/>
        </w:rPr>
        <w:t>“</w:t>
      </w:r>
      <w:r>
        <w:rPr>
          <w:rFonts w:hint="eastAsia" w:ascii="宋体" w:hAnsi="宋体" w:eastAsia="宋体" w:cs="宋体"/>
          <w:sz w:val="24"/>
          <w:szCs w:val="24"/>
        </w:rPr>
        <w:t>最大的诫命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第一点</w:t>
      </w:r>
      <w:r>
        <w:rPr>
          <w:rFonts w:hint="eastAsia" w:ascii="宋体" w:hAnsi="宋体" w:eastAsia="宋体" w:cs="宋体"/>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爱心培养理念中</w:t>
      </w:r>
      <w:r>
        <w:rPr>
          <w:rFonts w:hint="eastAsia" w:ascii="宋体" w:hAnsi="宋体" w:eastAsia="宋体" w:cs="宋体"/>
          <w:sz w:val="24"/>
          <w:szCs w:val="24"/>
          <w:lang w:eastAsia="zh-CN"/>
        </w:rPr>
        <w:t>“</w:t>
      </w:r>
      <w:r>
        <w:rPr>
          <w:rFonts w:hint="eastAsia" w:ascii="宋体" w:hAnsi="宋体" w:eastAsia="宋体" w:cs="宋体"/>
          <w:sz w:val="24"/>
          <w:szCs w:val="24"/>
        </w:rPr>
        <w:t>品格塑造</w:t>
      </w:r>
      <w:r>
        <w:rPr>
          <w:rFonts w:hint="eastAsia" w:ascii="宋体" w:hAnsi="宋体" w:eastAsia="宋体" w:cs="宋体"/>
          <w:sz w:val="24"/>
          <w:szCs w:val="24"/>
          <w:lang w:eastAsia="zh-CN"/>
        </w:rPr>
        <w:t>”</w:t>
      </w:r>
      <w:r>
        <w:rPr>
          <w:rFonts w:hint="eastAsia" w:ascii="宋体" w:hAnsi="宋体" w:eastAsia="宋体" w:cs="宋体"/>
          <w:sz w:val="24"/>
          <w:szCs w:val="24"/>
        </w:rPr>
        <w:t>的要求，说明基督徒的爱国情怀是信仰的自然延伸。</w:t>
      </w:r>
      <w:r>
        <w:rPr>
          <w:rFonts w:hint="eastAsia" w:ascii="宋体" w:hAnsi="宋体" w:eastAsia="宋体" w:cs="宋体"/>
          <w:sz w:val="24"/>
          <w:szCs w:val="24"/>
          <w:lang w:val="en-US" w:eastAsia="zh-CN"/>
        </w:rPr>
        <w:t>第二点：</w:t>
      </w:r>
      <w:r>
        <w:rPr>
          <w:rFonts w:hint="eastAsia" w:ascii="宋体" w:hAnsi="宋体" w:eastAsia="宋体" w:cs="宋体"/>
          <w:sz w:val="24"/>
          <w:szCs w:val="24"/>
        </w:rPr>
        <w:t>爱人如己与友善价值的对接。将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进行对照。引用《论语》中</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的忠恕之道，说明基督教之爱与儒家之仁在实践伦理层面的相通性。结合浙江光盐爱心基金会</w:t>
      </w:r>
      <w:r>
        <w:rPr>
          <w:rFonts w:hint="eastAsia" w:ascii="宋体" w:hAnsi="宋体" w:eastAsia="宋体" w:cs="宋体"/>
          <w:sz w:val="24"/>
          <w:szCs w:val="24"/>
          <w:lang w:eastAsia="zh-CN"/>
        </w:rPr>
        <w:t>“</w:t>
      </w:r>
      <w:r>
        <w:rPr>
          <w:rFonts w:hint="eastAsia" w:ascii="宋体" w:hAnsi="宋体" w:eastAsia="宋体" w:cs="宋体"/>
          <w:sz w:val="24"/>
          <w:szCs w:val="24"/>
        </w:rPr>
        <w:t>光盐助学</w:t>
      </w:r>
      <w:r>
        <w:rPr>
          <w:rFonts w:hint="eastAsia" w:ascii="宋体" w:hAnsi="宋体" w:eastAsia="宋体" w:cs="宋体"/>
          <w:sz w:val="24"/>
          <w:szCs w:val="24"/>
          <w:lang w:eastAsia="zh-CN"/>
        </w:rPr>
        <w:t>”</w:t>
      </w:r>
      <w:r>
        <w:rPr>
          <w:rFonts w:hint="eastAsia" w:ascii="宋体" w:hAnsi="宋体" w:eastAsia="宋体" w:cs="宋体"/>
          <w:sz w:val="24"/>
          <w:szCs w:val="24"/>
        </w:rPr>
        <w:t>项目的具体案例，说明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如何在当代转化为对弱势群体的实际关怀。第三</w:t>
      </w:r>
      <w:r>
        <w:rPr>
          <w:rFonts w:hint="eastAsia" w:ascii="宋体" w:hAnsi="宋体" w:eastAsia="宋体" w:cs="宋体"/>
          <w:sz w:val="24"/>
          <w:szCs w:val="24"/>
          <w:lang w:val="en-US" w:eastAsia="zh-CN"/>
        </w:rPr>
        <w:t>点</w:t>
      </w:r>
      <w:r>
        <w:rPr>
          <w:rFonts w:hint="eastAsia" w:ascii="宋体" w:hAnsi="宋体" w:eastAsia="宋体" w:cs="宋体"/>
          <w:sz w:val="24"/>
          <w:szCs w:val="24"/>
        </w:rPr>
        <w:t>：从社区互助到社会和谐。引用</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寓言（路10:25-37），论证基督徒参与社区养老、困境儿童帮扶既是践行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价值。结合杭州圣爱康复医院的社区服务实践，说明信仰如何转化为具体的社会服务行动。</w:t>
      </w:r>
    </w:p>
    <w:p w14:paraId="1E9C7281">
      <w:pPr>
        <w:pStyle w:val="3"/>
        <w:bidi w:val="0"/>
        <w:rPr>
          <w:rFonts w:hint="eastAsia"/>
          <w:lang w:val="en-US" w:eastAsia="zh-CN"/>
        </w:rPr>
      </w:pPr>
      <w:bookmarkStart w:id="482" w:name="_Toc902972435"/>
      <w:bookmarkStart w:id="483" w:name="_Toc1000421080"/>
      <w:bookmarkStart w:id="484" w:name="_Toc664028172"/>
      <w:bookmarkStart w:id="485" w:name="_Toc1066004106"/>
      <w:bookmarkStart w:id="486" w:name="_Toc402721516"/>
      <w:bookmarkStart w:id="487" w:name="_Toc349572868"/>
      <w:bookmarkStart w:id="488" w:name="_Toc907118870"/>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bookmarkEnd w:id="482"/>
      <w:bookmarkEnd w:id="483"/>
      <w:bookmarkEnd w:id="484"/>
      <w:bookmarkEnd w:id="485"/>
      <w:bookmarkEnd w:id="486"/>
      <w:bookmarkEnd w:id="487"/>
      <w:bookmarkEnd w:id="488"/>
    </w:p>
    <w:p w14:paraId="17C94084">
      <w:pPr>
        <w:pStyle w:val="4"/>
        <w:bidi w:val="0"/>
        <w:rPr>
          <w:rFonts w:hint="eastAsia"/>
          <w:lang w:val="en-US" w:eastAsia="zh-CN"/>
        </w:rPr>
      </w:pPr>
      <w:bookmarkStart w:id="489" w:name="_Toc2022426268"/>
      <w:bookmarkStart w:id="490" w:name="_Toc1996456992"/>
      <w:bookmarkStart w:id="491" w:name="_Toc1427619197"/>
      <w:bookmarkStart w:id="492" w:name="_Toc2138265343"/>
      <w:bookmarkStart w:id="493" w:name="_Toc1819547715"/>
      <w:bookmarkStart w:id="494" w:name="_Toc1903417931"/>
      <w:bookmarkStart w:id="495" w:name="_Toc960438037"/>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bookmarkEnd w:id="489"/>
      <w:bookmarkEnd w:id="490"/>
      <w:bookmarkEnd w:id="491"/>
      <w:bookmarkEnd w:id="492"/>
      <w:bookmarkEnd w:id="493"/>
      <w:bookmarkEnd w:id="494"/>
      <w:bookmarkEnd w:id="495"/>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教义阐释的深化，需要与教育引导相互配合。有效的价值教育，必须考虑受众的文化背景与接受习惯，避免将官方话语生硬</w:t>
      </w:r>
      <w:r>
        <w:rPr>
          <w:rFonts w:hint="eastAsia" w:ascii="宋体" w:hAnsi="宋体" w:eastAsia="宋体" w:cs="宋体"/>
          <w:sz w:val="24"/>
          <w:szCs w:val="24"/>
          <w:lang w:eastAsia="zh-CN"/>
        </w:rPr>
        <w:t>“</w:t>
      </w:r>
      <w:r>
        <w:rPr>
          <w:rFonts w:hint="eastAsia" w:ascii="宋体" w:hAnsi="宋体" w:eastAsia="宋体" w:cs="宋体"/>
          <w:sz w:val="24"/>
          <w:szCs w:val="24"/>
        </w:rPr>
        <w:t>编码</w:t>
      </w:r>
      <w:r>
        <w:rPr>
          <w:rFonts w:hint="eastAsia" w:ascii="宋体" w:hAnsi="宋体" w:eastAsia="宋体" w:cs="宋体"/>
          <w:sz w:val="24"/>
          <w:szCs w:val="24"/>
          <w:lang w:eastAsia="zh-CN"/>
        </w:rPr>
        <w:t>”</w:t>
      </w:r>
      <w:r>
        <w:rPr>
          <w:rFonts w:hint="eastAsia" w:ascii="宋体" w:hAnsi="宋体" w:eastAsia="宋体" w:cs="宋体"/>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互助</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为增强教育引导的可操作性，</w:t>
      </w:r>
      <w:r>
        <w:rPr>
          <w:rFonts w:hint="eastAsia" w:ascii="宋体" w:hAnsi="宋体" w:eastAsia="宋体" w:cs="宋体"/>
          <w:sz w:val="24"/>
          <w:szCs w:val="24"/>
          <w:lang w:val="en-US" w:eastAsia="zh-CN"/>
        </w:rPr>
        <w:t>可以</w:t>
      </w:r>
      <w:r>
        <w:rPr>
          <w:rFonts w:hint="eastAsia" w:ascii="宋体" w:hAnsi="宋体" w:eastAsia="宋体" w:cs="宋体"/>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第一讲：从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到</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第二讲：《圣经》中的慈善传统与中国</w:t>
      </w:r>
      <w:r>
        <w:rPr>
          <w:rFonts w:hint="eastAsia" w:ascii="宋体" w:hAnsi="宋体" w:eastAsia="宋体" w:cs="宋体"/>
          <w:sz w:val="24"/>
          <w:szCs w:val="24"/>
          <w:lang w:eastAsia="zh-CN"/>
        </w:rPr>
        <w:t>“</w:t>
      </w:r>
      <w:r>
        <w:rPr>
          <w:rFonts w:hint="eastAsia" w:ascii="宋体" w:hAnsi="宋体" w:eastAsia="宋体" w:cs="宋体"/>
          <w:sz w:val="24"/>
          <w:szCs w:val="24"/>
        </w:rPr>
        <w:t>扶贫济困</w:t>
      </w:r>
      <w:r>
        <w:rPr>
          <w:rFonts w:hint="eastAsia" w:ascii="宋体" w:hAnsi="宋体" w:eastAsia="宋体" w:cs="宋体"/>
          <w:sz w:val="24"/>
          <w:szCs w:val="24"/>
          <w:lang w:eastAsia="zh-CN"/>
        </w:rPr>
        <w:t>”</w:t>
      </w:r>
      <w:r>
        <w:rPr>
          <w:rFonts w:hint="eastAsia" w:ascii="宋体" w:hAnsi="宋体" w:eastAsia="宋体" w:cs="宋体"/>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第四讲：儒家</w:t>
      </w:r>
      <w:r>
        <w:rPr>
          <w:rFonts w:hint="eastAsia" w:ascii="宋体" w:hAnsi="宋体" w:eastAsia="宋体" w:cs="宋体"/>
          <w:sz w:val="24"/>
          <w:szCs w:val="24"/>
          <w:lang w:eastAsia="zh-CN"/>
        </w:rPr>
        <w:t>“</w:t>
      </w:r>
      <w:r>
        <w:rPr>
          <w:rFonts w:hint="eastAsia" w:ascii="宋体" w:hAnsi="宋体" w:eastAsia="宋体" w:cs="宋体"/>
          <w:sz w:val="24"/>
          <w:szCs w:val="24"/>
        </w:rPr>
        <w:t>己所不欲，勿施于人</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金规则</w:t>
      </w:r>
      <w:r>
        <w:rPr>
          <w:rFonts w:hint="eastAsia" w:ascii="宋体" w:hAnsi="宋体" w:eastAsia="宋体" w:cs="宋体"/>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第五讲：公益慈善中的</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第六讲：基督徒的公民责任与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sz w:val="24"/>
          <w:szCs w:val="24"/>
        </w:rPr>
      </w:pPr>
      <w:r>
        <w:rPr>
          <w:rFonts w:hint="eastAsia" w:ascii="宋体" w:hAnsi="宋体" w:eastAsia="宋体" w:cs="宋体"/>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教学方法：采用</w:t>
      </w:r>
      <w:r>
        <w:rPr>
          <w:rFonts w:hint="eastAsia" w:ascii="宋体" w:hAnsi="宋体" w:eastAsia="宋体" w:cs="宋体"/>
          <w:sz w:val="24"/>
          <w:szCs w:val="24"/>
          <w:lang w:eastAsia="zh-CN"/>
        </w:rPr>
        <w:t>“</w:t>
      </w:r>
      <w:r>
        <w:rPr>
          <w:rFonts w:hint="eastAsia" w:ascii="宋体" w:hAnsi="宋体" w:eastAsia="宋体" w:cs="宋体"/>
          <w:sz w:val="24"/>
          <w:szCs w:val="24"/>
        </w:rPr>
        <w:t>经典阅读+案例讨论+实践体验</w:t>
      </w:r>
      <w:r>
        <w:rPr>
          <w:rFonts w:hint="eastAsia" w:ascii="宋体" w:hAnsi="宋体" w:eastAsia="宋体" w:cs="宋体"/>
          <w:sz w:val="24"/>
          <w:szCs w:val="24"/>
          <w:lang w:eastAsia="zh-CN"/>
        </w:rPr>
        <w:t>”</w:t>
      </w:r>
      <w:r>
        <w:rPr>
          <w:rFonts w:hint="eastAsia" w:ascii="宋体" w:hAnsi="宋体" w:eastAsia="宋体" w:cs="宋体"/>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评估方式：采用</w:t>
      </w:r>
      <w:r>
        <w:rPr>
          <w:rFonts w:hint="eastAsia" w:ascii="宋体" w:hAnsi="宋体" w:eastAsia="宋体" w:cs="宋体"/>
          <w:sz w:val="24"/>
          <w:szCs w:val="24"/>
          <w:lang w:eastAsia="zh-CN"/>
        </w:rPr>
        <w:t>“</w:t>
      </w:r>
      <w:r>
        <w:rPr>
          <w:rFonts w:hint="eastAsia" w:ascii="宋体" w:hAnsi="宋体" w:eastAsia="宋体" w:cs="宋体"/>
          <w:sz w:val="24"/>
          <w:szCs w:val="24"/>
        </w:rPr>
        <w:t>学习心得+实践报告+同伴互评</w:t>
      </w:r>
      <w:r>
        <w:rPr>
          <w:rFonts w:hint="eastAsia" w:ascii="宋体" w:hAnsi="宋体" w:eastAsia="宋体" w:cs="宋体"/>
          <w:sz w:val="24"/>
          <w:szCs w:val="24"/>
          <w:lang w:eastAsia="zh-CN"/>
        </w:rPr>
        <w:t>”</w:t>
      </w:r>
      <w:r>
        <w:rPr>
          <w:rFonts w:hint="eastAsia" w:ascii="宋体" w:hAnsi="宋体" w:eastAsia="宋体" w:cs="宋体"/>
          <w:sz w:val="24"/>
          <w:szCs w:val="24"/>
        </w:rPr>
        <w:t>的综合评估方式，避免考试式的知识检测，注重价值内化与行为转化。</w:t>
      </w:r>
    </w:p>
    <w:p w14:paraId="032EEBCC">
      <w:pPr>
        <w:pStyle w:val="4"/>
        <w:bidi w:val="0"/>
        <w:rPr>
          <w:rFonts w:hint="eastAsia"/>
          <w:lang w:val="en-US" w:eastAsia="zh-CN"/>
        </w:rPr>
      </w:pPr>
      <w:bookmarkStart w:id="496" w:name="_Toc20680169"/>
      <w:bookmarkStart w:id="497" w:name="_Toc1834270903"/>
      <w:bookmarkStart w:id="498" w:name="_Toc547121560"/>
      <w:bookmarkStart w:id="499" w:name="_Toc161056048"/>
      <w:bookmarkStart w:id="500" w:name="_Toc971312725"/>
      <w:bookmarkStart w:id="501" w:name="_Toc1828760605"/>
      <w:bookmarkStart w:id="502" w:name="_Toc1594997007"/>
      <w:r>
        <w:rPr>
          <w:rFonts w:hint="eastAsia"/>
          <w:lang w:val="en-US" w:eastAsia="zh-CN"/>
        </w:rPr>
        <w:t>二、</w:t>
      </w:r>
      <w:r>
        <w:rPr>
          <w:rFonts w:hint="eastAsia"/>
        </w:rPr>
        <w:t>面向普通群众的认知科普与话语转换</w:t>
      </w:r>
      <w:bookmarkEnd w:id="496"/>
      <w:bookmarkEnd w:id="497"/>
      <w:bookmarkEnd w:id="498"/>
      <w:bookmarkEnd w:id="499"/>
      <w:bookmarkEnd w:id="500"/>
      <w:bookmarkEnd w:id="501"/>
      <w:bookmarkEnd w:id="502"/>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lang w:val="en-US" w:eastAsia="zh-CN"/>
        </w:rPr>
      </w:pPr>
      <w:bookmarkStart w:id="503" w:name="_Toc1826733216"/>
      <w:bookmarkStart w:id="504" w:name="_Toc1463314036"/>
      <w:bookmarkStart w:id="505" w:name="_Toc2094566113"/>
      <w:bookmarkStart w:id="506" w:name="_Toc1039603516"/>
      <w:bookmarkStart w:id="507" w:name="_Toc1829768228"/>
      <w:bookmarkStart w:id="508" w:name="_Toc1193532371"/>
      <w:bookmarkStart w:id="509" w:name="_Toc76331148"/>
      <w:r>
        <w:rPr>
          <w:rFonts w:hint="eastAsia"/>
          <w:lang w:val="en-US" w:eastAsia="zh-CN"/>
        </w:rPr>
        <w:t>三、</w:t>
      </w:r>
      <w:r>
        <w:rPr>
          <w:rFonts w:hint="eastAsia"/>
        </w:rPr>
        <w:t>融合型文化载体的创新设计</w:t>
      </w:r>
      <w:bookmarkEnd w:id="503"/>
      <w:bookmarkEnd w:id="504"/>
      <w:bookmarkEnd w:id="505"/>
      <w:bookmarkEnd w:id="506"/>
      <w:bookmarkEnd w:id="507"/>
      <w:bookmarkEnd w:id="508"/>
      <w:bookmarkEnd w:id="509"/>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的仁爱精神与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bidi w:val="0"/>
        <w:rPr>
          <w:rFonts w:hint="eastAsia"/>
          <w:lang w:val="en-US" w:eastAsia="zh-CN"/>
        </w:rPr>
      </w:pPr>
      <w:bookmarkStart w:id="510" w:name="_Toc1820719567"/>
      <w:bookmarkStart w:id="511" w:name="_Toc689341420"/>
      <w:bookmarkStart w:id="512" w:name="_Toc1478943800"/>
      <w:bookmarkStart w:id="513" w:name="_Toc936277608"/>
      <w:bookmarkStart w:id="514" w:name="_Toc948782956"/>
      <w:bookmarkStart w:id="515" w:name="_Toc53812770"/>
      <w:bookmarkStart w:id="516" w:name="_Toc849867177"/>
      <w:r>
        <w:rPr>
          <w:rFonts w:hint="eastAsia"/>
          <w:lang w:val="en-US" w:eastAsia="zh-CN"/>
        </w:rPr>
        <w:t xml:space="preserve">第三节 </w:t>
      </w:r>
      <w:r>
        <w:rPr>
          <w:rFonts w:hint="eastAsia"/>
        </w:rPr>
        <w:t>实践转化维度：搭建多元化的仁爱践行平台</w:t>
      </w:r>
      <w:bookmarkEnd w:id="510"/>
      <w:bookmarkEnd w:id="511"/>
      <w:bookmarkEnd w:id="512"/>
      <w:bookmarkEnd w:id="513"/>
      <w:bookmarkEnd w:id="514"/>
      <w:bookmarkEnd w:id="515"/>
      <w:bookmarkEnd w:id="516"/>
    </w:p>
    <w:p w14:paraId="1C546349">
      <w:pPr>
        <w:pStyle w:val="4"/>
        <w:bidi w:val="0"/>
        <w:rPr>
          <w:rFonts w:hint="eastAsia"/>
          <w:lang w:val="en-US" w:eastAsia="zh-CN"/>
        </w:rPr>
      </w:pPr>
      <w:bookmarkStart w:id="517" w:name="_Toc1339276466"/>
      <w:bookmarkStart w:id="518" w:name="_Toc1632716222"/>
      <w:bookmarkStart w:id="519" w:name="_Toc86970375"/>
      <w:bookmarkStart w:id="520" w:name="_Toc1405076087"/>
      <w:bookmarkStart w:id="521" w:name="_Toc1129062517"/>
      <w:bookmarkStart w:id="522" w:name="_Toc340610003"/>
      <w:bookmarkStart w:id="523" w:name="_Toc803907642"/>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bookmarkEnd w:id="517"/>
      <w:bookmarkEnd w:id="518"/>
      <w:bookmarkEnd w:id="519"/>
      <w:bookmarkEnd w:id="520"/>
      <w:bookmarkEnd w:id="521"/>
      <w:bookmarkEnd w:id="522"/>
      <w:bookmarkEnd w:id="523"/>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sz w:val="24"/>
          <w:szCs w:val="24"/>
        </w:rPr>
        <w:footnoteReference w:id="87"/>
      </w:r>
      <w:r>
        <w:rPr>
          <w:rFonts w:hint="eastAsia" w:ascii="宋体" w:hAnsi="宋体" w:eastAsia="宋体" w:cs="宋体"/>
          <w:sz w:val="24"/>
          <w:szCs w:val="24"/>
        </w:rPr>
        <w:t xml:space="preserve"> 基金会的使命是</w:t>
      </w:r>
      <w:r>
        <w:rPr>
          <w:rFonts w:hint="eastAsia" w:ascii="宋体" w:hAnsi="宋体" w:eastAsia="宋体" w:cs="宋体"/>
          <w:sz w:val="24"/>
          <w:szCs w:val="24"/>
          <w:lang w:eastAsia="zh-CN"/>
        </w:rPr>
        <w:t>“</w:t>
      </w:r>
      <w:r>
        <w:rPr>
          <w:rFonts w:hint="eastAsia" w:ascii="宋体" w:hAnsi="宋体" w:eastAsia="宋体" w:cs="宋体"/>
          <w:sz w:val="24"/>
          <w:szCs w:val="24"/>
        </w:rPr>
        <w:t>热爱生命、扶贫济困，同蒙福祉、共享主恩、荣神益人</w:t>
      </w:r>
      <w:r>
        <w:rPr>
          <w:rFonts w:hint="eastAsia" w:ascii="宋体" w:hAnsi="宋体" w:eastAsia="宋体" w:cs="宋体"/>
          <w:sz w:val="24"/>
          <w:szCs w:val="24"/>
          <w:lang w:eastAsia="zh-CN"/>
        </w:rPr>
        <w:t>”</w:t>
      </w:r>
      <w:r>
        <w:rPr>
          <w:rFonts w:hint="eastAsia" w:ascii="宋体" w:hAnsi="宋体" w:eastAsia="宋体" w:cs="宋体"/>
          <w:sz w:val="24"/>
          <w:szCs w:val="24"/>
        </w:rPr>
        <w:t>，其运作方式完全遵循社会公益组织的规范，在对外宣传中不突出宗教标识，而是以</w:t>
      </w:r>
      <w:r>
        <w:rPr>
          <w:rFonts w:hint="eastAsia" w:ascii="宋体" w:hAnsi="宋体" w:eastAsia="宋体" w:cs="宋体"/>
          <w:sz w:val="24"/>
          <w:szCs w:val="24"/>
          <w:lang w:eastAsia="zh-CN"/>
        </w:rPr>
        <w:t>“</w:t>
      </w:r>
      <w:r>
        <w:rPr>
          <w:rFonts w:hint="eastAsia" w:ascii="宋体" w:hAnsi="宋体" w:eastAsia="宋体" w:cs="宋体"/>
          <w:sz w:val="24"/>
          <w:szCs w:val="24"/>
        </w:rPr>
        <w:t>光盐爱心</w:t>
      </w:r>
      <w:r>
        <w:rPr>
          <w:rFonts w:hint="eastAsia" w:ascii="宋体" w:hAnsi="宋体" w:eastAsia="宋体" w:cs="宋体"/>
          <w:sz w:val="24"/>
          <w:szCs w:val="24"/>
          <w:lang w:eastAsia="zh-CN"/>
        </w:rPr>
        <w:t>”</w:t>
      </w:r>
      <w:r>
        <w:rPr>
          <w:rFonts w:hint="eastAsia" w:ascii="宋体" w:hAnsi="宋体" w:eastAsia="宋体" w:cs="宋体"/>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lang w:val="en-US" w:eastAsia="zh-CN"/>
        </w:rPr>
      </w:pPr>
      <w:bookmarkStart w:id="524" w:name="_Toc1422212665"/>
      <w:bookmarkStart w:id="525" w:name="_Toc1443459855"/>
      <w:bookmarkStart w:id="526" w:name="_Toc1383611797"/>
      <w:bookmarkStart w:id="527" w:name="_Toc515501788"/>
      <w:bookmarkStart w:id="528" w:name="_Toc988218327"/>
      <w:bookmarkStart w:id="529" w:name="_Toc1588401166"/>
      <w:bookmarkStart w:id="530" w:name="_Toc1456115817"/>
      <w:r>
        <w:rPr>
          <w:rFonts w:hint="eastAsia"/>
          <w:lang w:val="en-US" w:eastAsia="zh-CN"/>
        </w:rPr>
        <w:t>二、</w:t>
      </w:r>
      <w:r>
        <w:rPr>
          <w:rFonts w:hint="eastAsia"/>
        </w:rPr>
        <w:t>杭州圣爱康复医院的社区服务融入模式</w:t>
      </w:r>
      <w:bookmarkEnd w:id="524"/>
      <w:bookmarkEnd w:id="525"/>
      <w:bookmarkEnd w:id="526"/>
      <w:bookmarkEnd w:id="527"/>
      <w:bookmarkEnd w:id="528"/>
      <w:bookmarkEnd w:id="529"/>
      <w:bookmarkEnd w:id="530"/>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的要求与自身信仰追求的一致性，社区非信众的认可度也会逐步提升。这种</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内核的实践模式，正是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转化效果的生动体现——信众在不知不觉中完成了从宗教慈善到公共服务的逻辑转换，实现了宗教信仰与公民责任的有机统一。</w:t>
      </w:r>
    </w:p>
    <w:p w14:paraId="7CB428E5">
      <w:pPr>
        <w:pStyle w:val="4"/>
        <w:bidi w:val="0"/>
        <w:rPr>
          <w:rFonts w:hint="eastAsia"/>
          <w:lang w:val="en-US" w:eastAsia="zh-CN"/>
        </w:rPr>
      </w:pPr>
      <w:bookmarkStart w:id="531" w:name="_Toc1410542463"/>
      <w:bookmarkStart w:id="532" w:name="_Toc107022826"/>
      <w:bookmarkStart w:id="533" w:name="_Toc1089518918"/>
      <w:bookmarkStart w:id="534" w:name="_Toc1635269545"/>
      <w:bookmarkStart w:id="535" w:name="_Toc346895991"/>
      <w:bookmarkStart w:id="536" w:name="_Toc889181105"/>
      <w:bookmarkStart w:id="537" w:name="_Toc214895107"/>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bookmarkEnd w:id="531"/>
      <w:bookmarkEnd w:id="532"/>
      <w:bookmarkEnd w:id="533"/>
      <w:bookmarkEnd w:id="534"/>
      <w:bookmarkEnd w:id="535"/>
      <w:bookmarkEnd w:id="536"/>
      <w:bookmarkEnd w:id="537"/>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的要求看，这类文化活动特别有助于增进对中华文化的认同。习近平总书记强调，要</w:t>
      </w:r>
      <w:r>
        <w:rPr>
          <w:rFonts w:hint="eastAsia" w:ascii="宋体" w:hAnsi="宋体" w:eastAsia="宋体" w:cs="宋体"/>
          <w:sz w:val="24"/>
          <w:szCs w:val="24"/>
          <w:lang w:eastAsia="zh-CN"/>
        </w:rPr>
        <w:t>“</w:t>
      </w:r>
      <w:r>
        <w:rPr>
          <w:rFonts w:hint="eastAsia" w:ascii="宋体" w:hAnsi="宋体" w:eastAsia="宋体" w:cs="宋体"/>
          <w:sz w:val="24"/>
          <w:szCs w:val="24"/>
        </w:rPr>
        <w:t>植根中华五千年文明，推动我国宗教同中华优秀传统文化相融合，引导宗教界人士和信教群众增强中华文化认同感</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8"/>
      </w:r>
      <w:r>
        <w:rPr>
          <w:rFonts w:hint="eastAsia" w:ascii="宋体" w:hAnsi="宋体" w:eastAsia="宋体" w:cs="宋体"/>
          <w:sz w:val="24"/>
          <w:szCs w:val="24"/>
        </w:rPr>
        <w:t xml:space="preserve"> 通过让信众在文化体验中感受中华文化的博大精深，能够自然生发出对中华文化的认同与热爱，进而深化对伟大祖国、中华民族的认同。</w:t>
      </w:r>
    </w:p>
    <w:p w14:paraId="58F5760C">
      <w:pPr>
        <w:pStyle w:val="3"/>
        <w:bidi w:val="0"/>
        <w:rPr>
          <w:rFonts w:hint="eastAsia"/>
          <w:lang w:val="en-US" w:eastAsia="zh-CN"/>
        </w:rPr>
      </w:pPr>
      <w:bookmarkStart w:id="538" w:name="_Toc479528509"/>
      <w:bookmarkStart w:id="539" w:name="_Toc1288824043"/>
      <w:bookmarkStart w:id="540" w:name="_Toc915196408"/>
      <w:bookmarkStart w:id="541" w:name="_Toc2098880504"/>
      <w:bookmarkStart w:id="542" w:name="_Toc2010302779"/>
      <w:bookmarkStart w:id="543" w:name="_Toc128132262"/>
      <w:bookmarkStart w:id="544" w:name="_Toc1822052742"/>
      <w:r>
        <w:rPr>
          <w:rFonts w:hint="eastAsia"/>
          <w:lang w:val="en-US" w:eastAsia="zh-CN"/>
        </w:rPr>
        <w:t xml:space="preserve">第四节 </w:t>
      </w:r>
      <w:r>
        <w:rPr>
          <w:rFonts w:hint="eastAsia"/>
        </w:rPr>
        <w:t>制度保障维度：完善融合的政策支持与监管机制</w:t>
      </w:r>
      <w:bookmarkEnd w:id="538"/>
      <w:bookmarkEnd w:id="539"/>
      <w:bookmarkEnd w:id="540"/>
      <w:bookmarkEnd w:id="541"/>
      <w:bookmarkEnd w:id="542"/>
      <w:bookmarkEnd w:id="543"/>
      <w:bookmarkEnd w:id="544"/>
    </w:p>
    <w:p w14:paraId="49D3A763">
      <w:pPr>
        <w:pStyle w:val="4"/>
        <w:bidi w:val="0"/>
        <w:rPr>
          <w:rFonts w:hint="eastAsia"/>
          <w:lang w:val="en-US" w:eastAsia="zh-CN"/>
        </w:rPr>
      </w:pPr>
      <w:bookmarkStart w:id="545" w:name="_Toc1318245106"/>
      <w:bookmarkStart w:id="546" w:name="_Toc1428149442"/>
      <w:bookmarkStart w:id="547" w:name="_Toc2077007219"/>
      <w:bookmarkStart w:id="548" w:name="_Toc1745627059"/>
      <w:bookmarkStart w:id="549" w:name="_Toc798588402"/>
      <w:bookmarkStart w:id="550" w:name="_Toc1740313140"/>
      <w:bookmarkStart w:id="551" w:name="_Toc123628574"/>
      <w:r>
        <w:rPr>
          <w:rFonts w:hint="eastAsia"/>
          <w:lang w:val="en-US" w:eastAsia="zh-CN"/>
        </w:rPr>
        <w:t>一、</w:t>
      </w:r>
      <w:r>
        <w:rPr>
          <w:rFonts w:hint="eastAsia"/>
        </w:rPr>
        <w:t>专项政策文件的制定与边界划定</w:t>
      </w:r>
      <w:bookmarkEnd w:id="545"/>
      <w:bookmarkEnd w:id="546"/>
      <w:bookmarkEnd w:id="547"/>
      <w:bookmarkEnd w:id="548"/>
      <w:bookmarkEnd w:id="549"/>
      <w:bookmarkEnd w:id="550"/>
      <w:bookmarkEnd w:id="551"/>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lang w:val="en-US" w:eastAsia="zh-CN"/>
        </w:rPr>
      </w:pPr>
      <w:bookmarkStart w:id="552" w:name="_Toc482949175"/>
      <w:bookmarkStart w:id="553" w:name="_Toc1979878946"/>
      <w:bookmarkStart w:id="554" w:name="_Toc913647748"/>
      <w:bookmarkStart w:id="555" w:name="_Toc156710443"/>
      <w:bookmarkStart w:id="556" w:name="_Toc102478664"/>
      <w:bookmarkStart w:id="557" w:name="_Toc715671840"/>
      <w:bookmarkStart w:id="558" w:name="_Toc1208756569"/>
      <w:r>
        <w:rPr>
          <w:rFonts w:hint="eastAsia"/>
          <w:lang w:val="en-US" w:eastAsia="zh-CN"/>
        </w:rPr>
        <w:t>二、</w:t>
      </w:r>
      <w:r>
        <w:rPr>
          <w:rFonts w:hint="eastAsia"/>
        </w:rPr>
        <w:t>全流程监督评估机制的建立</w:t>
      </w:r>
      <w:bookmarkEnd w:id="552"/>
      <w:bookmarkEnd w:id="553"/>
      <w:bookmarkEnd w:id="554"/>
      <w:bookmarkEnd w:id="555"/>
      <w:bookmarkEnd w:id="556"/>
      <w:bookmarkEnd w:id="557"/>
      <w:bookmarkEnd w:id="558"/>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评估报告应向社会公开关键结论，接受社会监督。对于评估中发现的问题，如打着</w:t>
      </w:r>
      <w:r>
        <w:rPr>
          <w:rFonts w:hint="eastAsia" w:ascii="宋体" w:hAnsi="宋体" w:eastAsia="宋体" w:cs="宋体"/>
          <w:sz w:val="24"/>
          <w:szCs w:val="24"/>
          <w:lang w:eastAsia="zh-CN"/>
        </w:rPr>
        <w:t>“</w:t>
      </w:r>
      <w:r>
        <w:rPr>
          <w:rFonts w:hint="eastAsia" w:ascii="宋体" w:hAnsi="宋体" w:eastAsia="宋体" w:cs="宋体"/>
          <w:sz w:val="24"/>
          <w:szCs w:val="24"/>
        </w:rPr>
        <w:t>融合</w:t>
      </w:r>
      <w:r>
        <w:rPr>
          <w:rFonts w:hint="eastAsia" w:ascii="宋体" w:hAnsi="宋体" w:eastAsia="宋体" w:cs="宋体"/>
          <w:sz w:val="24"/>
          <w:szCs w:val="24"/>
          <w:lang w:eastAsia="zh-CN"/>
        </w:rPr>
        <w:t>”</w:t>
      </w:r>
      <w:r>
        <w:rPr>
          <w:rFonts w:hint="eastAsia" w:ascii="宋体" w:hAnsi="宋体" w:eastAsia="宋体" w:cs="宋体"/>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的闭环管理，防止融合工作跑偏变质。</w:t>
      </w:r>
    </w:p>
    <w:p>
      <w:r>
        <w:rPr>
          <w:color w:val="FF0000"/>
        </w:rPr>
        <w:t xml:space="preserve">为增强融合实践效果的可测量性，本文建议构建以下量化评估指标体系：</w:t>
      </w:r>
    </w:p>
    <w:p>
      <w:r>
        <w:rPr>
          <w:color w:val="FF0000"/>
        </w:rPr>
        <w:t xml:space="preserve">（一）信众价值认同度评估。采用问卷调查法，围绕"五个认同"设计20个题项（Likert五级量表），每年度对参与融合活动的信众进行前后测对比。核心指标包括：对社会主义核心价值观公民层面内容的知晓率（目标≥85%）、对"五个认同"内涵的理解度评分（目标均值≥4.0/5.0）、参与社区志愿服务的意愿提升幅度（目标提升≥15%）。</w:t>
      </w:r>
    </w:p>
    <w:p>
      <w:r>
        <w:rPr>
          <w:color w:val="FF0000"/>
        </w:rPr>
        <w:t xml:space="preserve">（二）公益活动社会影响评估。采用第三方评估方式，从三个维度进行量化考核：覆盖群众数量（年度目标≥500人次）、受助者满意度评分（目标均值≥4.2/5.0）、社区非信众接受度调查（目标正面评价占比≥70%）。</w:t>
      </w:r>
    </w:p>
    <w:p>
      <w:r>
        <w:rPr>
          <w:color w:val="FF0000"/>
        </w:rPr>
        <w:t xml:space="preserve">（三）教义阐释质量评估。由宗教事务管理部门牵头，联合宗教学者组成专家评审组，对讲经讲道内容进行年度抽检评估。评估标准包括：社会主义核心价值观融入的自然度（是否避免生硬说教）、中华优秀传统文化引用准确度、信众反馈积极性。抽检合格率目标≥90%。</w:t>
      </w:r>
    </w:p>
    <w:p w14:paraId="15F594B1">
      <w:pPr>
        <w:pStyle w:val="4"/>
        <w:bidi w:val="0"/>
        <w:rPr>
          <w:rFonts w:hint="eastAsia"/>
          <w:lang w:val="en-US" w:eastAsia="zh-CN"/>
        </w:rPr>
      </w:pPr>
      <w:bookmarkStart w:id="559" w:name="_Toc566335157"/>
      <w:bookmarkStart w:id="560" w:name="_Toc1169624586"/>
      <w:bookmarkStart w:id="561" w:name="_Toc1586082212"/>
      <w:bookmarkStart w:id="562" w:name="_Toc1017464279"/>
      <w:bookmarkStart w:id="563" w:name="_Toc77020954"/>
      <w:bookmarkStart w:id="564" w:name="_Toc240708033"/>
      <w:bookmarkStart w:id="565" w:name="_Toc376354563"/>
      <w:r>
        <w:rPr>
          <w:rFonts w:hint="eastAsia"/>
          <w:lang w:val="en-US" w:eastAsia="zh-CN"/>
        </w:rPr>
        <w:t>三、</w:t>
      </w:r>
      <w:r>
        <w:rPr>
          <w:rFonts w:hint="eastAsia"/>
        </w:rPr>
        <w:t>基层宗教工作队伍的分层培训体系</w:t>
      </w:r>
      <w:bookmarkEnd w:id="559"/>
      <w:bookmarkEnd w:id="560"/>
      <w:bookmarkEnd w:id="561"/>
      <w:bookmarkEnd w:id="562"/>
      <w:bookmarkEnd w:id="563"/>
      <w:bookmarkEnd w:id="564"/>
      <w:bookmarkEnd w:id="56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sz w:val="24"/>
          <w:szCs w:val="24"/>
          <w:lang w:eastAsia="zh-CN"/>
        </w:rPr>
        <w:t>“</w:t>
      </w:r>
      <w:r>
        <w:rPr>
          <w:rFonts w:hint="eastAsia" w:ascii="宋体" w:hAnsi="宋体" w:eastAsia="宋体" w:cs="宋体"/>
          <w:sz w:val="24"/>
          <w:szCs w:val="24"/>
        </w:rPr>
        <w:t>联系好</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9"/>
      </w:r>
      <w:r>
        <w:rPr>
          <w:rFonts w:hint="eastAsia" w:ascii="宋体" w:hAnsi="宋体" w:eastAsia="宋体" w:cs="宋体"/>
          <w:sz w:val="24"/>
          <w:szCs w:val="24"/>
        </w:rPr>
        <w:t xml:space="preserve"> 同时，也要培养一支精通马克思主义宗教观、熟悉宗教工作、善于做信教群众工作的党政干部队伍。</w:t>
      </w:r>
      <w:r>
        <w:rPr>
          <w:rStyle w:val="29"/>
          <w:rFonts w:hint="eastAsia" w:ascii="宋体" w:hAnsi="宋体" w:eastAsia="宋体" w:cs="宋体"/>
          <w:sz w:val="24"/>
          <w:szCs w:val="24"/>
        </w:rPr>
        <w:footnoteReference w:id="90"/>
      </w:r>
      <w:r>
        <w:rPr>
          <w:rFonts w:hint="eastAsia" w:ascii="宋体" w:hAnsi="宋体" w:eastAsia="宋体" w:cs="宋体"/>
          <w:sz w:val="24"/>
          <w:szCs w:val="24"/>
        </w:rPr>
        <w:t xml:space="preserve"> 这两支队伍的协同建设，是融合工作取得实效的组织保障。</w:t>
      </w:r>
    </w:p>
    <w:p w14:paraId="3AF20540">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r>
        <w:rPr>
          <w:color w:val="FF0000"/>
        </w:rPr>
        <w:t xml:space="preserve">四、"公正""平等"价值的制度性融入路径</w:t>
      </w:r>
    </w:p>
    <w:p>
      <w:r>
        <w:rPr>
          <w:color w:val="FF0000"/>
        </w:rPr>
        <w:t xml:space="preserve">针对前文梳理的"公正""平等"价值在融合实践中被边缘化的问题，本文提出以下制度性融入路径：</w:t>
      </w:r>
    </w:p>
    <w:p>
      <w:r>
        <w:rPr>
          <w:color w:val="FF0000"/>
        </w:rPr>
        <w:t xml:space="preserve">（一）推动基督教团体参与社会公平正义建设。引导基督教界从单纯的"慈善救济"模式转向"制度关怀"模式，鼓励教会组织信众参与法律援助、权益维护、反歧视倡导等结构性公益行动。例如，可联合司法行政机关设立"基督教法律援助志愿服务站"，为弱势群体提供免费法律咨询和权益保障服务，体现基督教"行公义"传统与社会主义核心价值观"公正"理念的制度性对接。</w:t>
      </w:r>
    </w:p>
    <w:p>
      <w:r>
        <w:rPr>
          <w:color w:val="FF0000"/>
        </w:rPr>
        <w:t xml:space="preserve">（二）建立公益项目的机会平等评估机制。在设计公益项目时，增加"机会平等"维度的评估指标：受助对象的选择是否排除了身份、地域、信仰等歧视性条件；项目执行是否保障了受助者的知情权和参与权；项目成果是否促进了受助者的能力建设而非单纯的物质救济。通过这一机制，将基督教"人人平等"的神学人类学转化为可操作的制度安排。</w:t>
      </w:r>
    </w:p>
    <w:p>
      <w:r>
        <w:rPr>
          <w:color w:val="FF0000"/>
        </w:rPr>
        <w:t xml:space="preserve">（三）强化基层宗教工作队伍的"公正"意识培训。在前文所述分层培训体系中，增加"公正""平等"价值专题模块，帮助基层宗教工作干部理解：基督教仁爱实践不仅限于个人道德层面的"友善"，更应上升到社会制度层面的"公正"；宗教中国化不仅是文化适应，更是基督教在社会主义制度框架内发挥促进社会公平正义的积极作用。</w:t>
      </w:r>
    </w:p>
    <w:p w14:paraId="30A8E5F8">
      <w:pPr>
        <w:pStyle w:val="2"/>
        <w:bidi w:val="0"/>
        <w:rPr>
          <w:rFonts w:hint="eastAsia"/>
          <w:lang w:val="en-US" w:eastAsia="zh-CN"/>
        </w:rPr>
      </w:pPr>
      <w:bookmarkStart w:id="566" w:name="_Toc109856092"/>
      <w:bookmarkStart w:id="567" w:name="_Toc1962595911"/>
      <w:bookmarkStart w:id="568" w:name="_Toc569226873"/>
      <w:bookmarkStart w:id="569" w:name="_Toc747460195"/>
      <w:bookmarkStart w:id="570" w:name="_Toc1706018384"/>
      <w:bookmarkStart w:id="571" w:name="_Toc1868203330"/>
      <w:bookmarkStart w:id="572" w:name="_Toc1051799926"/>
      <w:r>
        <w:rPr>
          <w:rFonts w:hint="eastAsia"/>
          <w:lang w:val="en-US" w:eastAsia="zh-CN"/>
        </w:rPr>
        <w:t>六、</w:t>
      </w:r>
      <w:r>
        <w:rPr>
          <w:rFonts w:hint="eastAsia"/>
        </w:rPr>
        <w:t>结论与展望</w:t>
      </w:r>
      <w:bookmarkEnd w:id="566"/>
      <w:bookmarkEnd w:id="567"/>
      <w:bookmarkEnd w:id="568"/>
      <w:bookmarkEnd w:id="569"/>
      <w:bookmarkEnd w:id="570"/>
      <w:bookmarkEnd w:id="571"/>
      <w:bookmarkEnd w:id="572"/>
    </w:p>
    <w:p w14:paraId="4167AA10">
      <w:pPr>
        <w:pStyle w:val="3"/>
        <w:bidi w:val="0"/>
        <w:rPr>
          <w:rFonts w:hint="eastAsia"/>
          <w:lang w:val="en-US" w:eastAsia="zh-CN"/>
        </w:rPr>
      </w:pPr>
      <w:bookmarkStart w:id="573" w:name="_Toc1931646062"/>
      <w:bookmarkStart w:id="574" w:name="_Toc1662885471"/>
      <w:bookmarkStart w:id="575" w:name="_Toc658257"/>
      <w:bookmarkStart w:id="576" w:name="_Toc2103890773"/>
      <w:bookmarkStart w:id="577" w:name="_Toc1996808791"/>
      <w:bookmarkStart w:id="578" w:name="_Toc534964523"/>
      <w:bookmarkStart w:id="579" w:name="_Toc1663457825"/>
      <w:r>
        <w:rPr>
          <w:rFonts w:hint="eastAsia"/>
          <w:lang w:val="en-US" w:eastAsia="zh-CN"/>
        </w:rPr>
        <w:t xml:space="preserve">第一节 </w:t>
      </w:r>
      <w:r>
        <w:rPr>
          <w:rFonts w:hint="eastAsia"/>
        </w:rPr>
        <w:t>研究结论</w:t>
      </w:r>
      <w:bookmarkEnd w:id="573"/>
      <w:bookmarkEnd w:id="574"/>
      <w:bookmarkEnd w:id="575"/>
      <w:bookmarkEnd w:id="576"/>
      <w:bookmarkEnd w:id="577"/>
      <w:bookmarkEnd w:id="578"/>
      <w:bookmarkEnd w:id="579"/>
    </w:p>
    <w:p w14:paraId="2A703418">
      <w:pPr>
        <w:pStyle w:val="4"/>
        <w:bidi w:val="0"/>
        <w:rPr>
          <w:rFonts w:hint="eastAsia"/>
          <w:lang w:val="en-US" w:eastAsia="zh-CN"/>
        </w:rPr>
      </w:pPr>
      <w:bookmarkStart w:id="580" w:name="_Toc1773973956"/>
      <w:bookmarkStart w:id="581" w:name="_Toc763929039"/>
      <w:bookmarkStart w:id="582" w:name="_Toc325907164"/>
      <w:bookmarkStart w:id="583" w:name="_Toc1665072335"/>
      <w:bookmarkStart w:id="584" w:name="_Toc1638398668"/>
      <w:bookmarkStart w:id="585" w:name="_Toc1782191719"/>
      <w:bookmarkStart w:id="586" w:name="_Toc1793548129"/>
      <w:r>
        <w:rPr>
          <w:rFonts w:hint="eastAsia"/>
          <w:lang w:val="en-US" w:eastAsia="zh-CN"/>
        </w:rPr>
        <w:t>一、</w:t>
      </w:r>
      <w:r>
        <w:rPr>
          <w:rFonts w:hint="eastAsia"/>
        </w:rPr>
        <w:t>融合的核心论断梳理</w:t>
      </w:r>
      <w:bookmarkEnd w:id="580"/>
      <w:bookmarkEnd w:id="581"/>
      <w:bookmarkEnd w:id="582"/>
      <w:bookmarkEnd w:id="583"/>
      <w:bookmarkEnd w:id="584"/>
      <w:bookmarkEnd w:id="585"/>
      <w:bookmarkEnd w:id="586"/>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本文通过系统的文献梳理、历史比较与案例分析，以中国特色社会主义宗教理论中</w:t>
      </w:r>
      <w:r>
        <w:rPr>
          <w:rFonts w:hint="eastAsia" w:ascii="宋体" w:hAnsi="宋体" w:eastAsia="宋体" w:cs="宋体"/>
          <w:sz w:val="24"/>
          <w:szCs w:val="24"/>
          <w:lang w:eastAsia="zh-CN"/>
        </w:rPr>
        <w:t>“</w:t>
      </w:r>
      <w:r>
        <w:rPr>
          <w:rFonts w:hint="eastAsia" w:ascii="宋体" w:hAnsi="宋体" w:eastAsia="宋体" w:cs="宋体"/>
          <w:sz w:val="24"/>
          <w:szCs w:val="24"/>
        </w:rPr>
        <w:t>坚持宗教中国化方向、引导宗教与社会主义社会相适应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的核心论断为理论基础，以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的核心逻辑、公民层面</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最后在文化内核层面，基督教中国化进程中已经主动吸纳了儒家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lang w:val="en-US" w:eastAsia="zh-CN"/>
        </w:rPr>
      </w:pPr>
      <w:bookmarkStart w:id="587" w:name="_Toc1664807191"/>
      <w:bookmarkStart w:id="588" w:name="_Toc1698116707"/>
      <w:bookmarkStart w:id="589" w:name="_Toc1438405498"/>
      <w:bookmarkStart w:id="590" w:name="_Toc1011330288"/>
      <w:bookmarkStart w:id="591" w:name="_Toc1531091242"/>
      <w:bookmarkStart w:id="592" w:name="_Toc194312877"/>
      <w:bookmarkStart w:id="593" w:name="_Toc2082934811"/>
      <w:r>
        <w:rPr>
          <w:rFonts w:hint="eastAsia"/>
          <w:lang w:val="en-US" w:eastAsia="zh-CN"/>
        </w:rPr>
        <w:t>二、</w:t>
      </w:r>
      <w:r>
        <w:rPr>
          <w:rFonts w:hint="eastAsia"/>
        </w:rPr>
        <w:t>融合路径的核心创新点</w:t>
      </w:r>
      <w:bookmarkEnd w:id="587"/>
      <w:bookmarkEnd w:id="588"/>
      <w:bookmarkEnd w:id="589"/>
      <w:bookmarkEnd w:id="590"/>
      <w:bookmarkEnd w:id="591"/>
      <w:bookmarkEnd w:id="592"/>
      <w:bookmarkEnd w:id="593"/>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在教义阐释维度，本文创新性地提出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方案，构建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在教育引导方面，本文注重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的分层分类方法，针对不同年龄、文化程度的信众设计差异化的教育内容。对中老年信众，通过身边的道德模范案例讲解</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公益实践与</w:t>
      </w:r>
      <w:r>
        <w:rPr>
          <w:rFonts w:hint="eastAsia" w:ascii="宋体" w:hAnsi="宋体" w:eastAsia="宋体" w:cs="宋体"/>
          <w:sz w:val="24"/>
          <w:szCs w:val="24"/>
          <w:lang w:eastAsia="zh-CN"/>
        </w:rPr>
        <w:t>“</w:t>
      </w:r>
      <w:r>
        <w:rPr>
          <w:rFonts w:hint="eastAsia" w:ascii="宋体" w:hAnsi="宋体" w:eastAsia="宋体" w:cs="宋体"/>
          <w:sz w:val="24"/>
          <w:szCs w:val="24"/>
        </w:rPr>
        <w:t>社区融入</w:t>
      </w:r>
      <w:r>
        <w:rPr>
          <w:rFonts w:hint="eastAsia" w:ascii="宋体" w:hAnsi="宋体" w:eastAsia="宋体" w:cs="宋体"/>
          <w:sz w:val="24"/>
          <w:szCs w:val="24"/>
          <w:lang w:eastAsia="zh-CN"/>
        </w:rPr>
        <w:t>”</w:t>
      </w:r>
      <w:r>
        <w:rPr>
          <w:rFonts w:hint="eastAsia" w:ascii="宋体" w:hAnsi="宋体" w:eastAsia="宋体" w:cs="宋体"/>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制度保障方面，本文强调构建</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bidi w:val="0"/>
        <w:rPr>
          <w:rFonts w:hint="eastAsia"/>
          <w:lang w:val="en-US" w:eastAsia="zh-CN"/>
        </w:rPr>
      </w:pPr>
      <w:bookmarkStart w:id="594" w:name="_Toc95084411"/>
      <w:bookmarkStart w:id="595" w:name="_Toc1057790607"/>
      <w:bookmarkStart w:id="596" w:name="_Toc850022374"/>
      <w:bookmarkStart w:id="597" w:name="_Toc189825919"/>
      <w:bookmarkStart w:id="598" w:name="_Toc1901445940"/>
      <w:bookmarkStart w:id="599" w:name="_Toc1641380299"/>
      <w:bookmarkStart w:id="600" w:name="_Toc1754438730"/>
      <w:r>
        <w:rPr>
          <w:rFonts w:hint="eastAsia"/>
          <w:lang w:val="en-US" w:eastAsia="zh-CN"/>
        </w:rPr>
        <w:t xml:space="preserve">第二节 </w:t>
      </w:r>
      <w:r>
        <w:rPr>
          <w:rFonts w:hint="eastAsia"/>
        </w:rPr>
        <w:t>研究不足与展望</w:t>
      </w:r>
      <w:bookmarkEnd w:id="594"/>
      <w:bookmarkEnd w:id="595"/>
      <w:bookmarkEnd w:id="596"/>
      <w:bookmarkEnd w:id="597"/>
      <w:bookmarkEnd w:id="598"/>
      <w:bookmarkEnd w:id="599"/>
      <w:bookmarkEnd w:id="600"/>
    </w:p>
    <w:p w14:paraId="0DDB00A0">
      <w:pPr>
        <w:pStyle w:val="4"/>
        <w:bidi w:val="0"/>
        <w:rPr>
          <w:rFonts w:hint="eastAsia"/>
          <w:lang w:val="en-US" w:eastAsia="zh-CN"/>
        </w:rPr>
      </w:pPr>
      <w:bookmarkStart w:id="601" w:name="_Toc355862309"/>
      <w:bookmarkStart w:id="602" w:name="_Toc1417101983"/>
      <w:bookmarkStart w:id="603" w:name="_Toc1391004838"/>
      <w:bookmarkStart w:id="604" w:name="_Toc1264819974"/>
      <w:bookmarkStart w:id="605" w:name="_Toc897762573"/>
      <w:bookmarkStart w:id="606" w:name="_Toc103755931"/>
      <w:bookmarkStart w:id="607" w:name="_Toc1901261800"/>
      <w:r>
        <w:rPr>
          <w:rFonts w:hint="eastAsia"/>
          <w:lang w:val="en-US" w:eastAsia="zh-CN"/>
        </w:rPr>
        <w:t>一、</w:t>
      </w:r>
      <w:r>
        <w:rPr>
          <w:rFonts w:hint="eastAsia"/>
        </w:rPr>
        <w:t>当前研究的局限性分析</w:t>
      </w:r>
      <w:bookmarkEnd w:id="601"/>
      <w:bookmarkEnd w:id="602"/>
      <w:bookmarkEnd w:id="603"/>
      <w:bookmarkEnd w:id="604"/>
      <w:bookmarkEnd w:id="605"/>
      <w:bookmarkEnd w:id="606"/>
      <w:bookmarkEnd w:id="607"/>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lang w:val="en-US" w:eastAsia="zh-CN"/>
        </w:rPr>
      </w:pPr>
      <w:bookmarkStart w:id="608" w:name="_Toc1111331024"/>
      <w:bookmarkStart w:id="609" w:name="_Toc2036165012"/>
      <w:bookmarkStart w:id="610" w:name="_Toc1639383051"/>
      <w:bookmarkStart w:id="611" w:name="_Toc235870468"/>
      <w:bookmarkStart w:id="612" w:name="_Toc475460589"/>
      <w:bookmarkStart w:id="613" w:name="_Toc69210953"/>
      <w:bookmarkStart w:id="614" w:name="_Toc2097888887"/>
      <w:r>
        <w:rPr>
          <w:rFonts w:hint="eastAsia"/>
          <w:lang w:val="en-US" w:eastAsia="zh-CN"/>
        </w:rPr>
        <w:t>二、</w:t>
      </w:r>
      <w:r>
        <w:rPr>
          <w:rFonts w:hint="eastAsia"/>
        </w:rPr>
        <w:t>未来研究与实践的发展方向</w:t>
      </w:r>
      <w:bookmarkEnd w:id="608"/>
      <w:bookmarkEnd w:id="609"/>
      <w:bookmarkEnd w:id="610"/>
      <w:bookmarkEnd w:id="611"/>
      <w:bookmarkEnd w:id="612"/>
      <w:bookmarkEnd w:id="613"/>
      <w:bookmarkEnd w:id="614"/>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000000" w:themeColor="text1"/>
          <w:sz w:val="24"/>
          <w:szCs w:val="24"/>
          <w:lang w:val="en-US" w:eastAsia="zh-CN"/>
          <w14:textFill>
            <w14:solidFill>
              <w14:schemeClr w14:val="tx1"/>
            </w14:solidFill>
          </w14:textFill>
        </w:rPr>
        <w:br w:type="page"/>
      </w:r>
    </w:p>
    <w:p w14:paraId="41A22F36">
      <w:pPr>
        <w:pStyle w:val="2"/>
        <w:bidi w:val="0"/>
        <w:rPr>
          <w:rFonts w:hint="eastAsia"/>
        </w:rPr>
      </w:pPr>
      <w:bookmarkStart w:id="615" w:name="_Toc21053"/>
      <w:bookmarkStart w:id="616" w:name="_Toc30555"/>
      <w:bookmarkStart w:id="617" w:name="_Toc17158"/>
      <w:bookmarkStart w:id="618" w:name="_Toc10448"/>
      <w:bookmarkStart w:id="619" w:name="_Toc1673441739"/>
      <w:bookmarkStart w:id="620" w:name="_Toc25043"/>
      <w:bookmarkStart w:id="621" w:name="_Toc11062"/>
      <w:bookmarkStart w:id="622" w:name="_Toc895747147"/>
      <w:bookmarkStart w:id="623" w:name="_Toc32489"/>
      <w:bookmarkStart w:id="624" w:name="_Toc20143314"/>
      <w:bookmarkStart w:id="625" w:name="_Toc1475242409"/>
      <w:bookmarkStart w:id="626" w:name="_Toc279468836"/>
      <w:bookmarkStart w:id="627" w:name="_Toc1439834044"/>
      <w:bookmarkStart w:id="628" w:name="_Toc1832007363"/>
      <w:r>
        <w:rPr>
          <w:rFonts w:hint="eastAsia"/>
          <w:lang w:val="en-US" w:eastAsia="zh-CN"/>
        </w:rPr>
        <w:t>参考文献</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7E36AD28">
      <w:pPr>
        <w:pStyle w:val="4"/>
        <w:bidi w:val="0"/>
        <w:rPr>
          <w:rFonts w:hint="eastAsia"/>
        </w:rPr>
      </w:pPr>
      <w:bookmarkStart w:id="629" w:name="_Toc485990663"/>
      <w:bookmarkStart w:id="630" w:name="_Toc1445043112"/>
      <w:bookmarkStart w:id="631" w:name="_Toc2074702902"/>
      <w:r>
        <w:rPr>
          <w:rFonts w:hint="eastAsia"/>
          <w:lang w:val="en-US" w:eastAsia="zh-CN"/>
        </w:rPr>
        <w:t>一、经典著作与外文文献</w:t>
      </w:r>
      <w:bookmarkEnd w:id="629"/>
      <w:bookmarkEnd w:id="630"/>
      <w:bookmarkEnd w:id="631"/>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 xml:space="preserve">[1] </w:t>
      </w:r>
      <w:r>
        <w:rPr>
          <w:rFonts w:hint="eastAsia" w:ascii="宋体" w:hAnsi="宋体" w:eastAsia="宋体" w:cs="宋体"/>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[3] </w:t>
      </w:r>
      <w:r>
        <w:rPr>
          <w:rFonts w:hint="default" w:ascii="Times New Roman" w:hAnsi="Times New Roman" w:eastAsia="宋体" w:cs="Times New Roman"/>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[4] </w:t>
      </w:r>
      <w:r>
        <w:rPr>
          <w:rFonts w:hint="default" w:ascii="Times New Roman" w:hAnsi="Times New Roman" w:eastAsia="宋体" w:cs="Times New Roman"/>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[5] </w:t>
      </w:r>
      <w:r>
        <w:rPr>
          <w:rFonts w:hint="default" w:ascii="Times New Roman" w:hAnsi="Times New Roman" w:eastAsia="宋体" w:cs="Times New Roman"/>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[6] </w:t>
      </w:r>
      <w:r>
        <w:rPr>
          <w:rFonts w:hint="default" w:ascii="Times New Roman" w:hAnsi="Times New Roman" w:eastAsia="宋体" w:cs="Times New Roman"/>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 xml:space="preserve">Bevans, Stephen B. Models of Contextual Theology. Maryknoll: Orbis Books, 2002.</w:t>
      </w:r>
      <w:r>
        <w:rPr>
          <w:color w:val="FF0000"/>
        </w:rPr>
        <w:t xml:space="preserve">, pp. 28-45.</w:t>
      </w:r>
    </w:p>
    <w:p w14:paraId="7E6982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 xml:space="preserve">Bhabha, Homi K. The Location of Culture. London: Routledge, 1994.</w:t>
      </w:r>
      <w:r>
        <w:rPr>
          <w:color w:val="FF0000"/>
        </w:rPr>
        <w:t xml:space="preserve">, pp. 102-122.</w:t>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[9] </w:t>
      </w:r>
      <w:r>
        <w:rPr>
          <w:rFonts w:hint="default" w:ascii="Times New Roman" w:hAnsi="Times New Roman" w:eastAsia="宋体" w:cs="Times New Roman"/>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[10] </w:t>
      </w:r>
      <w:r>
        <w:rPr>
          <w:rFonts w:hint="default" w:ascii="Times New Roman" w:hAnsi="Times New Roman" w:eastAsia="宋体" w:cs="Times New Roman"/>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[11] </w:t>
      </w:r>
      <w:r>
        <w:rPr>
          <w:rFonts w:hint="default" w:ascii="Times New Roman" w:hAnsi="Times New Roman" w:eastAsia="宋体" w:cs="Times New Roman"/>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[12] </w:t>
      </w:r>
      <w:r>
        <w:rPr>
          <w:rFonts w:hint="default" w:ascii="Times New Roman" w:hAnsi="Times New Roman" w:eastAsia="宋体" w:cs="Times New Roman"/>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[13] </w:t>
      </w:r>
      <w:r>
        <w:rPr>
          <w:rFonts w:hint="default" w:ascii="Times New Roman" w:hAnsi="Times New Roman" w:eastAsia="宋体" w:cs="Times New Roman"/>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[14] </w:t>
      </w:r>
      <w:r>
        <w:rPr>
          <w:rFonts w:hint="default" w:ascii="Times New Roman" w:hAnsi="Times New Roman" w:eastAsia="宋体" w:cs="Times New Roman"/>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 xml:space="preserve">Nygren, Anders. Agape and Eros: The Christian Idea of Love. Chicago: University of Chicago Press, 1982.</w:t>
      </w:r>
      <w:r>
        <w:rPr>
          <w:color w:val="FF0000"/>
        </w:rPr>
        <w:t xml:space="preserve">, pp. 45-67.</w:t>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[16] </w:t>
      </w:r>
      <w:r>
        <w:rPr>
          <w:rFonts w:hint="default" w:ascii="Times New Roman" w:hAnsi="Times New Roman" w:eastAsia="宋体" w:cs="Times New Roman"/>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 xml:space="preserve">Rawls, John. Political Liberalism. New York: Columbia University Press, 1993.</w:t>
      </w:r>
      <w:r>
        <w:rPr>
          <w:color w:val="FF0000"/>
        </w:rPr>
        <w:t xml:space="preserve">, pp. 133-172.</w:t>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[18] </w:t>
      </w:r>
      <w:r>
        <w:rPr>
          <w:rFonts w:hint="default" w:ascii="Times New Roman" w:hAnsi="Times New Roman" w:eastAsia="宋体" w:cs="Times New Roman"/>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[19] </w:t>
      </w:r>
      <w:r>
        <w:rPr>
          <w:rFonts w:hint="default" w:ascii="Times New Roman" w:hAnsi="Times New Roman" w:eastAsia="宋体" w:cs="Times New Roman"/>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[20] </w:t>
      </w:r>
      <w:r>
        <w:rPr>
          <w:rFonts w:hint="default" w:ascii="Times New Roman" w:hAnsi="Times New Roman" w:eastAsia="宋体" w:cs="Times New Roman"/>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[21] </w:t>
      </w:r>
      <w:r>
        <w:rPr>
          <w:rFonts w:hint="default" w:ascii="Times New Roman" w:hAnsi="Times New Roman" w:eastAsia="宋体" w:cs="Times New Roman"/>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[22] </w:t>
      </w:r>
      <w:r>
        <w:rPr>
          <w:rFonts w:hint="default" w:ascii="Times New Roman" w:hAnsi="Times New Roman" w:eastAsia="宋体" w:cs="Times New Roman"/>
          <w:sz w:val="21"/>
          <w:szCs w:val="21"/>
        </w:rPr>
        <w:t>Tu Weiming. Confucian Thought: Selfhood as Creative Transformation. Albany: State University of New York Press, 1985.</w:t>
      </w:r>
    </w:p>
    <w:p w14:paraId="5B3298D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 xml:space="preserve">Weber, Max. The Protestant Ethic and the Spirit of Capitalism. Translated by Talcott Parsons. New York: Charles Scribner's Sons, 1958.</w:t>
      </w:r>
      <w:r>
        <w:rPr>
          <w:color w:val="FF0000"/>
        </w:rPr>
        <w:t xml:space="preserve">, pp. 90-110.</w:t>
      </w:r>
    </w:p>
    <w:p w14:paraId="39B35033">
      <w:pPr>
        <w:pStyle w:val="4"/>
        <w:bidi w:val="0"/>
        <w:rPr>
          <w:rFonts w:hint="eastAsia"/>
        </w:rPr>
      </w:pPr>
      <w:bookmarkStart w:id="632" w:name="_Toc1164763500"/>
      <w:bookmarkStart w:id="633" w:name="_Toc947019461"/>
      <w:bookmarkStart w:id="634" w:name="_Toc839697575"/>
      <w:r>
        <w:rPr>
          <w:rFonts w:hint="eastAsia"/>
          <w:lang w:val="en-US" w:eastAsia="zh-CN"/>
        </w:rPr>
        <w:t>二、中文专著</w:t>
      </w:r>
      <w:bookmarkEnd w:id="632"/>
      <w:bookmarkEnd w:id="633"/>
      <w:bookmarkEnd w:id="634"/>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[44] 中央统战部. 新时代统一战线知识简明读本[M]. 北京：华文出版社，2020.</w:t>
      </w:r>
    </w:p>
    <w:p w14:paraId="37378B6A">
      <w:pPr>
        <w:pStyle w:val="4"/>
        <w:bidi w:val="0"/>
        <w:rPr>
          <w:rFonts w:hint="eastAsia"/>
        </w:rPr>
      </w:pPr>
      <w:bookmarkStart w:id="635" w:name="_Toc1866702095"/>
      <w:bookmarkStart w:id="636" w:name="_Toc1554773110"/>
      <w:bookmarkStart w:id="637" w:name="_Toc1682098588"/>
      <w:r>
        <w:rPr>
          <w:rFonts w:hint="eastAsia"/>
          <w:lang w:val="en-US" w:eastAsia="zh-CN"/>
        </w:rPr>
        <w:t>三、中文期刊论文与学位论文（2022-2025年最新成果）</w:t>
      </w:r>
      <w:bookmarkEnd w:id="635"/>
      <w:bookmarkEnd w:id="636"/>
      <w:bookmarkEnd w:id="637"/>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[47] 陈琳. 儒家“仁爱”与基督教“圣爱”思想的比较研究[J]. 咸阳师范学院学报，2012，27（10）：167-168.</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[48]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[49] 何虎生，胡竞方. 新中国·新时期·新时代坚持我国宗教中国化的发展历程研究[J]. 世界宗教研究，2020（1）：1-12.</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[50]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[51]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[52] 牟钟鉴. 如何深入理解“坚持中国化方向”——学习习总书记讲话的体会[J]. 世界宗教研究，2016（3）：13-18.</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[53]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[54]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[55]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[56]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[57]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[58]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[59] 游斌. 深入推进我国宗教中国化，增进“五个认同”[N]. 中国民族报，2022-04-08（005）.</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[60]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[61] 张忠成. 基督教伦理与社会主义核心价值观之刍议[C]//基督教中国化神学思想建设第十九次研讨会论文集. 杭州：浙江省基督教两会，2019.</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[62]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[63]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[64]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[65]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[66]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[67] 朱全红，张苹英. 儒家“仁爱”伦理与基督教“博爱”伦理思想比较研究[J]. 吉首大学学报（社会科学版），2002，23（4）：53-58.</w:t>
      </w:r>
    </w:p>
    <w:p>
      <w:r>
        <w:rPr>
          <w:color w:val="FF0000"/>
        </w:rPr>
        <w:t xml:space="preserve">[77] 张志刚. 深入推进我国宗教中国化的学理基础与实践路径[J]. 世界宗教研究, 2024(1): 1-15.</w:t>
      </w:r>
    </w:p>
    <w:p>
      <w:r>
        <w:rPr>
          <w:color w:val="FF0000"/>
        </w:rPr>
        <w:t xml:space="preserve">[78] 游斌. 基督教中国化的神学建构与话语创新[J]. 中国宗教, 2024(5): 22-28.</w:t>
      </w:r>
    </w:p>
    <w:p>
      <w:r>
        <w:rPr>
          <w:color w:val="FF0000"/>
        </w:rPr>
        <w:t xml:space="preserve">[79] 唐晓峰. 新时代基督教中国化的实践探索与理论反思[J]. 世界宗教文化, 2024(2): 34-41.</w:t>
      </w:r>
    </w:p>
    <w:p>
      <w:r>
        <w:rPr>
          <w:color w:val="FF0000"/>
        </w:rPr>
        <w:t xml:space="preserve">[80] 何明. 社会主义核心价值观融入宗教教育的实践研究[J]. 宗教学研究, 2024(3): 56-63.</w:t>
      </w:r>
    </w:p>
    <w:p>
      <w:r>
        <w:rPr>
          <w:color w:val="FF0000"/>
        </w:rPr>
        <w:t xml:space="preserve">[81] 陈宗皋. 基督教公益慈善"去标识化"路径探析[J]. 中国宗教, 2025(1): 18-24.</w:t>
      </w:r>
    </w:p>
    <w:p w14:paraId="5CCAA138">
      <w:pPr>
        <w:pStyle w:val="4"/>
        <w:bidi w:val="0"/>
        <w:rPr>
          <w:rFonts w:hint="eastAsia"/>
          <w:lang w:val="en-US" w:eastAsia="zh-CN"/>
        </w:rPr>
      </w:pPr>
      <w:bookmarkStart w:id="638" w:name="_Toc1073511642"/>
      <w:bookmarkStart w:id="639" w:name="_Toc490643074"/>
      <w:bookmarkStart w:id="640" w:name="_Toc1556239408"/>
      <w:r>
        <w:rPr>
          <w:rFonts w:hint="eastAsia"/>
          <w:lang w:val="en-US" w:eastAsia="zh-CN"/>
        </w:rPr>
        <w:t>四、政策文件与法规</w:t>
      </w:r>
      <w:bookmarkEnd w:id="638"/>
      <w:bookmarkEnd w:id="639"/>
      <w:bookmarkEnd w:id="640"/>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[68]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[69]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[70]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[71]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rPr>
      </w:pPr>
      <w:r>
        <w:rPr>
          <w:rFonts w:hint="eastAsia" w:ascii="宋体" w:hAnsi="宋体" w:eastAsia="宋体" w:cs="宋体"/>
          <w:sz w:val="21"/>
          <w:szCs w:val="21"/>
        </w:rPr>
        <w:t>[72] 中共中央、国务院. 关于坚持我国宗教中国化方向的意见[Z]. 2021.</w:t>
      </w:r>
    </w:p>
    <w:p w14:paraId="2F25BFC0">
      <w:pPr>
        <w:pStyle w:val="4"/>
        <w:bidi w:val="0"/>
        <w:rPr>
          <w:rFonts w:hint="eastAsia"/>
          <w:lang w:val="en-US" w:eastAsia="zh-CN"/>
        </w:rPr>
      </w:pPr>
      <w:bookmarkStart w:id="641" w:name="_Toc1500048647"/>
      <w:bookmarkStart w:id="642" w:name="_Toc2048423885"/>
      <w:bookmarkStart w:id="643" w:name="_Toc1512393443"/>
      <w:r>
        <w:rPr>
          <w:rFonts w:hint="eastAsia"/>
          <w:lang w:val="en-US" w:eastAsia="zh-CN"/>
        </w:rPr>
        <w:t>五、网络资源与新闻报道</w:t>
      </w:r>
      <w:bookmarkEnd w:id="641"/>
      <w:bookmarkEnd w:id="642"/>
      <w:bookmarkEnd w:id="643"/>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[73]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[74]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[75]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1"/>
        </w:rPr>
        <w:t xml:space="preserve">[76] 浙江神学院官网. 学院简介与办学理念[EB/OL].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"https://www.zjtsxy.org." </w:instrText>
      </w:r>
      <w:r>
        <w:rPr>
          <w:rFonts w:hint="eastAsia" w:ascii="宋体" w:hAnsi="宋体" w:eastAsia="宋体" w:cs="宋体"/>
          <w:sz w:val="21"/>
          <w:szCs w:val="21"/>
        </w:rPr>
        <w:fldChar w:fldCharType="separate"/>
      </w:r>
      <w:r>
        <w:rPr>
          <w:rStyle w:val="27"/>
          <w:rFonts w:hint="eastAsia" w:ascii="宋体" w:hAnsi="宋体" w:eastAsia="宋体" w:cs="宋体"/>
          <w:sz w:val="21"/>
          <w:szCs w:val="21"/>
        </w:rPr>
        <w:t>https://www.zjtsxy.org.</w:t>
      </w:r>
      <w:r>
        <w:rPr>
          <w:rStyle w:val="27"/>
          <w:rFonts w:hint="eastAsia" w:ascii="宋体" w:hAnsi="宋体" w:eastAsia="宋体" w:cs="宋体"/>
          <w:sz w:val="21"/>
          <w:szCs w:val="21"/>
        </w:rPr>
        <w:br w:type="page"/>
      </w:r>
      <w:r>
        <w:rPr>
          <w:rFonts w:hint="eastAsia" w:ascii="宋体" w:hAnsi="宋体" w:eastAsia="宋体" w:cs="宋体"/>
          <w:sz w:val="21"/>
          <w:szCs w:val="21"/>
        </w:rPr>
        <w:fldChar w:fldCharType="end"/>
      </w:r>
    </w:p>
    <w:p w14:paraId="679E75FB">
      <w:pPr>
        <w:pStyle w:val="2"/>
        <w:bidi w:val="0"/>
        <w:rPr>
          <w:rFonts w:hint="eastAsia"/>
          <w:lang w:val="en-US" w:eastAsia="zh-CN"/>
        </w:rPr>
      </w:pPr>
      <w:bookmarkStart w:id="644" w:name="_Toc5632"/>
      <w:bookmarkStart w:id="645" w:name="_Toc14918"/>
      <w:bookmarkStart w:id="646" w:name="_Toc1393745819"/>
      <w:bookmarkStart w:id="647" w:name="_Toc2089466261"/>
      <w:bookmarkStart w:id="648" w:name="_Toc22685"/>
      <w:bookmarkStart w:id="649" w:name="_Toc760"/>
      <w:bookmarkStart w:id="650" w:name="_Toc961934159"/>
      <w:bookmarkStart w:id="651" w:name="_Toc1700463448"/>
      <w:bookmarkStart w:id="652" w:name="_Toc5919"/>
      <w:bookmarkStart w:id="653" w:name="_Toc2007077996"/>
      <w:bookmarkStart w:id="654" w:name="_Toc1549890138"/>
      <w:bookmarkStart w:id="655" w:name="_Toc1180150609"/>
      <w:bookmarkStart w:id="656" w:name="_Toc16346"/>
      <w:bookmarkStart w:id="657" w:name="_Toc30436"/>
      <w:r>
        <w:rPr>
          <w:rFonts w:hint="eastAsia"/>
        </w:rPr>
        <w:t>附 录</w:t>
      </w:r>
      <w:bookmarkEnd w:id="644"/>
      <w:bookmarkEnd w:id="645"/>
      <w:bookmarkEnd w:id="646"/>
      <w:bookmarkEnd w:id="647"/>
      <w:bookmarkEnd w:id="648"/>
      <w:bookmarkEnd w:id="649"/>
      <w:bookmarkEnd w:id="650"/>
      <w:bookmarkEnd w:id="651"/>
      <w:bookmarkEnd w:id="652"/>
      <w:bookmarkEnd w:id="653"/>
      <w:bookmarkEnd w:id="654"/>
      <w:bookmarkEnd w:id="655"/>
    </w:p>
    <w:p w14:paraId="29BD481E">
      <w:pPr>
        <w:pStyle w:val="4"/>
        <w:bidi w:val="0"/>
        <w:rPr>
          <w:rFonts w:hint="eastAsia"/>
          <w:lang w:val="en-US" w:eastAsia="zh-CN"/>
        </w:rPr>
      </w:pPr>
      <w:bookmarkStart w:id="658" w:name="_Toc18174"/>
      <w:bookmarkStart w:id="659" w:name="_Toc32470"/>
      <w:bookmarkStart w:id="660" w:name="_Toc20637"/>
      <w:bookmarkStart w:id="661" w:name="_Toc17303"/>
      <w:bookmarkStart w:id="662" w:name="_Toc13564"/>
      <w:bookmarkStart w:id="663" w:name="_Toc13764"/>
      <w:bookmarkStart w:id="664" w:name="_Toc286751696"/>
      <w:bookmarkStart w:id="665" w:name="_Toc26911256"/>
      <w:bookmarkStart w:id="666" w:name="_Toc632321771"/>
      <w:r>
        <w:rPr>
          <w:rFonts w:hint="eastAsia"/>
          <w:lang w:val="en-US" w:eastAsia="zh-CN"/>
        </w:rPr>
        <w:t>一、致 谢</w:t>
      </w:r>
      <w:bookmarkEnd w:id="656"/>
      <w:bookmarkEnd w:id="657"/>
      <w:bookmarkEnd w:id="658"/>
      <w:bookmarkEnd w:id="659"/>
      <w:bookmarkEnd w:id="660"/>
      <w:bookmarkEnd w:id="661"/>
      <w:bookmarkEnd w:id="662"/>
      <w:bookmarkEnd w:id="663"/>
      <w:bookmarkEnd w:id="664"/>
      <w:bookmarkEnd w:id="665"/>
      <w:bookmarkEnd w:id="666"/>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人才，学术研究必须始终坚持正确的政治方向，将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内化于心、外化于行，在教义诠释中自觉融入中华优秀传统文化，以社会主义核心价值观引领信众，做到</w:t>
      </w:r>
      <w:r>
        <w:rPr>
          <w:rFonts w:hint="eastAsia" w:ascii="宋体" w:hAnsi="宋体" w:eastAsia="宋体" w:cs="宋体"/>
          <w:sz w:val="24"/>
          <w:szCs w:val="24"/>
          <w:lang w:eastAsia="zh-CN"/>
        </w:rPr>
        <w:t>“</w:t>
      </w:r>
      <w:r>
        <w:rPr>
          <w:rFonts w:hint="eastAsia" w:ascii="宋体" w:hAnsi="宋体" w:eastAsia="宋体" w:cs="宋体"/>
          <w:sz w:val="24"/>
          <w:szCs w:val="24"/>
        </w:rPr>
        <w:t>政治上靠得住、宗教上有造诣、品德上能服众、关键时起作用</w:t>
      </w:r>
      <w:r>
        <w:rPr>
          <w:rFonts w:hint="eastAsia" w:ascii="宋体" w:hAnsi="宋体" w:eastAsia="宋体" w:cs="宋体"/>
          <w:sz w:val="24"/>
          <w:szCs w:val="24"/>
          <w:lang w:eastAsia="zh-CN"/>
        </w:rPr>
        <w:t>”</w:t>
      </w:r>
      <w:r>
        <w:rPr>
          <w:rFonts w:hint="eastAsia" w:ascii="宋体" w:hAnsi="宋体" w:eastAsia="宋体" w:cs="宋体"/>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lang w:val="en-US" w:eastAsia="zh-CN"/>
        </w:rPr>
      </w:pPr>
      <w:bookmarkStart w:id="667" w:name="_Toc9970"/>
      <w:bookmarkStart w:id="668" w:name="_Toc25604"/>
      <w:bookmarkStart w:id="669" w:name="_Toc5261"/>
      <w:bookmarkStart w:id="670" w:name="_Toc12901"/>
      <w:bookmarkStart w:id="671" w:name="_Toc25672"/>
      <w:bookmarkStart w:id="672" w:name="_Toc21851"/>
      <w:bookmarkStart w:id="673" w:name="_Toc482450804"/>
      <w:bookmarkStart w:id="674" w:name="_Toc1325913722"/>
      <w:bookmarkStart w:id="675" w:name="_Toc1682919841"/>
      <w:r>
        <w:rPr>
          <w:rFonts w:hint="eastAsia"/>
          <w:lang w:val="en-US" w:eastAsia="zh-CN"/>
        </w:rPr>
        <w:t>二、论文原创性声明内容</w:t>
      </w:r>
      <w:bookmarkEnd w:id="667"/>
      <w:bookmarkEnd w:id="668"/>
      <w:bookmarkEnd w:id="669"/>
      <w:bookmarkEnd w:id="670"/>
      <w:bookmarkEnd w:id="671"/>
      <w:bookmarkEnd w:id="672"/>
      <w:bookmarkEnd w:id="673"/>
      <w:bookmarkEnd w:id="674"/>
      <w:bookmarkEnd w:id="675"/>
    </w:p>
    <w:p w14:paraId="065073FA">
      <w:pPr>
        <w:pageBreakBefore w:val="0"/>
        <w:kinsoku/>
        <w:wordWrap/>
        <w:overflowPunct/>
        <w:topLinePunct w:val="0"/>
        <w:bidi w:val="0"/>
        <w:adjustRightInd w:val="0"/>
        <w:snapToGrid w:val="0"/>
        <w:ind w:firstLine="480" w:firstLineChars="200"/>
        <w:textAlignment w:val="auto"/>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lang w:val="en-US" w:eastAsia="zh-CN"/>
        </w:rPr>
      </w:pPr>
      <w:bookmarkStart w:id="676" w:name="_Toc27173"/>
      <w:bookmarkStart w:id="677" w:name="_Toc9206"/>
      <w:bookmarkStart w:id="678" w:name="_Toc29684"/>
      <w:bookmarkStart w:id="679" w:name="_Toc28213"/>
      <w:bookmarkStart w:id="680" w:name="_Toc11939"/>
      <w:bookmarkStart w:id="681" w:name="_Toc81"/>
      <w:bookmarkStart w:id="682" w:name="_Toc1799895403"/>
      <w:bookmarkStart w:id="683" w:name="_Toc194120735"/>
      <w:bookmarkStart w:id="684" w:name="_Toc326653050"/>
      <w:r>
        <w:rPr>
          <w:rFonts w:hint="eastAsia"/>
          <w:lang w:val="en-US" w:eastAsia="zh-CN"/>
        </w:rPr>
        <w:t>三、附 件</w:t>
      </w:r>
      <w:bookmarkEnd w:id="676"/>
      <w:bookmarkEnd w:id="677"/>
      <w:bookmarkEnd w:id="678"/>
      <w:bookmarkEnd w:id="679"/>
      <w:bookmarkEnd w:id="680"/>
      <w:bookmarkEnd w:id="681"/>
      <w:bookmarkEnd w:id="682"/>
      <w:bookmarkEnd w:id="683"/>
      <w:bookmarkEnd w:id="684"/>
    </w:p>
    <w:p w14:paraId="34D31A10">
      <w:pPr>
        <w:pageBreakBefore w:val="0"/>
        <w:kinsoku/>
        <w:wordWrap/>
        <w:overflowPunct/>
        <w:topLinePunct w:val="0"/>
        <w:bidi w:val="0"/>
        <w:adjustRightInd w:val="0"/>
        <w:snapToGrid w:val="0"/>
        <w:ind w:left="480" w:leftChars="200" w:firstLine="0" w:firstLineChars="0"/>
        <w:textAlignment w:val="auto"/>
        <w:rPr>
          <w:rFonts w:hint="eastAsia"/>
          <w:lang w:val="en-US" w:eastAsia="zh-CN"/>
        </w:rPr>
      </w:pPr>
      <w:r>
        <w:t>附件一：</w:t>
      </w:r>
      <w:r>
        <w:br w:type="textWrapping"/>
      </w:r>
      <w:r>
        <w:t>附件二：</w:t>
      </w:r>
      <w:r>
        <w:br w:type="textWrapping"/>
      </w:r>
      <w:r>
        <w:t>附件三：</w:t>
      </w:r>
    </w:p>
    <w:p w14:paraId="495DCB43">
      <w:pPr>
        <w:pageBreakBefore w:val="0"/>
        <w:kinsoku/>
        <w:wordWrap/>
        <w:overflowPunct/>
        <w:topLinePunct w:val="0"/>
        <w:bidi w:val="0"/>
        <w:adjustRightInd w:val="0"/>
        <w:snapToGrid w:val="0"/>
        <w:ind w:firstLine="480" w:firstLineChars="200"/>
        <w:textAlignment w:val="auto"/>
        <w:rPr>
          <w:rFonts w:hint="eastAsia"/>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Heiti SC Light">
    <w:panose1 w:val="02000000000000000000"/>
    <w:charset w:val="86"/>
    <w:family w:val="auto"/>
    <w:pitch w:val="default"/>
    <w:sig w:usb0="8000002F" w:usb1="0800004A" w:usb2="00000000" w:usb3="00000000" w:csb0="203E0000" w:csb1="00000000"/>
  </w:font>
  <w:font w:name="苹方">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70090FD">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王伟光：《不断增进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5BCF3A3B">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2A5D2A9D">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611</Words>
  <Characters>845</Characters>
  <Lines>1</Lines>
  <Paragraphs>1</Paragraphs>
  <TotalTime>5</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2024-02-09T00:52:00Z</dcterms:created>
  <dc:creator>勤策</dc:creator>
  <cp:lastModifiedBy>子夜LOVES7</cp:lastModifiedBy>
  <dcterms:modified xsi:type="dcterms:W3CDTF">2026-06-16T10:57:28Z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09DDAE6219AF013E98BB306A36675693_43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