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29A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《阿里云百炼：智能体工程化与 OpenClaw 实战》细化大纲第一部分：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百炼核心工程篇（案例集成，共 8 章）</w:t>
      </w:r>
    </w:p>
    <w:p w14:paraId="235C10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 1 章：范式重构：从大模型到代理式 AI</w:t>
      </w:r>
    </w:p>
    <w:p w14:paraId="2CE3424A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人工智能发展的新阶段：从生成到代理  </w:t>
      </w:r>
    </w:p>
    <w:p w14:paraId="4B2A4360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1.1.1 生成式大模型（LLM）的边际局限：无状态与被动响应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1.1.2 代理式 AI（Agentic AI）的崛起：自主行动与目标驱动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1.2 智能体的核心运行机制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1.2.1 感知系统：多模态输入与环境数据理解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1.2.2 规划系统：思维链（CoT）与任务自主拆解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1.2.3 决策执行：通过工具调用（Action）影响现实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1.3 【案例 1】实战案例：构建“智能售后分析专家”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第 2 章：规划中枢：Agent 2.0 的自主编排逻辑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2.1 Agent 2.0 自主模式深度解析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2.1.1 开启“思考模式（Enable Thinking）”：提升逻辑上限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2.1.2 ReAct（Reasoning and Acting）框架的工程化实现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2.2 可观测性：卡片流执行监控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2.2.1 Thinking 卡片：透视智能体的内部规划逻辑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2.2.2 Tool Call 与 Observation：规划与反馈的闭环校验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2.3 【案例 2】期末出卷智能体：基于提示词优化器的学术试卷生成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 3 章：数据基石：数据中心与 RAG 记忆工程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3.1 百炼数据中心管理：从结构化到非结构化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3.1.1 结构化数据：Text-to-SQL 的逻辑支撑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3.1.2 非结构化文档：语义碎片的深度加工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3.2 RAG 检索增强生成的底层路径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3.2.1 智能切片（Chunking）与向量化（Embedding）实践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3.2.2 混合检索策略：语义索引与关键词过滤的动态平衡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3.3 【案例 3】民典慧析：基于《民法典》知识库的法律条文匹配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3.4 【案例 4】手搓实战：构建“百炼数码 2025 新品手册”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 4 章：万能插座：MCP (模型上下文协议) 深度集成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4.1 MCP 协议：智能体的能力倍增器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4.1.1 标准化接口标准：像 USB 接口一样的万用连接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4.1.2 兼容性探讨：OpenAPI REST 与 SSE 长连接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4.2 MCP 广场：官方插件与自定义扩展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4.2.1 官方核心：联网搜索、Python 代码解释器、万相绘图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4.2.2 业务对齐：将企业 ERP/CRM 系统封装为自定义工具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4.3 【案例 5】</w:t>
      </w:r>
      <w:r>
        <w:rPr>
          <w:rFonts w:hint="eastAsia" w:ascii="宋体" w:hAnsi="宋体" w:eastAsia="宋体" w:cs="宋体"/>
          <w:lang w:val="en-US" w:eastAsia="zh-CN"/>
        </w:rPr>
        <w:t>基于百炼的</w:t>
      </w:r>
      <w:r>
        <w:rPr>
          <w:rFonts w:hint="eastAsia" w:ascii="宋体" w:hAnsi="宋体" w:eastAsia="宋体" w:cs="宋体"/>
        </w:rPr>
        <w:t>导购</w:t>
      </w:r>
      <w:r>
        <w:rPr>
          <w:rFonts w:hint="eastAsia" w:ascii="宋体" w:hAnsi="宋体" w:eastAsia="宋体" w:cs="宋体"/>
          <w:lang w:val="en-US" w:eastAsia="zh-CN"/>
        </w:rPr>
        <w:t>助手</w:t>
      </w:r>
      <w:r>
        <w:rPr>
          <w:rFonts w:hint="eastAsia" w:ascii="宋体" w:hAnsi="宋体" w:eastAsia="宋体" w:cs="宋体"/>
        </w:rPr>
        <w:t xml:space="preserve">：联动库存 API 与黄历工具调用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第 5 章：积木化开发：组件 (Component) 的构建与复用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5.1 百炼组件设计哲学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5.1.1 模块化封装：实现智能体功能的解耦与复用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5.2 AppFlow 低代码集成与流程编排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5.2.1 可视化画布：定义节点流转与变量传递逻辑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5.2.2 场景适配：将模型能力封装为标准 Web 服务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5.3 【案例 6】营销物料一键生成：通义万相图像组件集成流程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 6 章：执行核心：沙箱运行与代码解释引擎</w:t>
      </w:r>
    </w:p>
    <w:p w14:paraId="78D3011B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代码解释器（Code Interpreter）运行机制</w:t>
      </w:r>
    </w:p>
    <w:p w14:paraId="21AB2B8B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6.1.1 隔离沙箱环境：执行安全性与资源配额管理</w:t>
      </w:r>
    </w:p>
    <w:p w14:paraId="2E306F05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6.1.2 运行时支持：内置 Python 库环境与环境变量配置</w:t>
      </w:r>
    </w:p>
    <w:p w14:paraId="25580EBD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符号逻辑与计算增强</w:t>
      </w:r>
    </w:p>
    <w:p w14:paraId="7B5F31A9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6.2.1 结构化输出转换：从自然语言到数据对象的精确映射</w:t>
      </w:r>
    </w:p>
    <w:p w14:paraId="5D55FDD3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6.2.2 系统内部的 JSON Schema 校验与逻辑验证</w:t>
      </w:r>
    </w:p>
    <w:p w14:paraId="41703A18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自愈执行闭环：代码纠错循环</w:t>
      </w:r>
    </w:p>
    <w:p w14:paraId="2A76466E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6.3.1 运行时异常拦截与反馈修正</w:t>
      </w:r>
    </w:p>
    <w:p w14:paraId="2B11E299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6.3.2 长期运行任务的状态保持机制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6.2 【案例 7】企业经营数据可视化大屏：RDS 数据库与 DataV 集成实战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 7 章：工程治理：生命周期管理与安全风控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7.1 账号权限与 API Key 的生命周期管理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7.1.1 RAM 细粒度授权：AliyunBailianFullAcce</w:t>
      </w:r>
      <w:bookmarkStart w:id="0" w:name="_GoBack"/>
      <w:bookmarkEnd w:id="0"/>
      <w:r>
        <w:rPr>
          <w:rFonts w:hint="eastAsia" w:ascii="宋体" w:hAnsi="宋体" w:eastAsia="宋体" w:cs="宋体"/>
        </w:rPr>
        <w:t xml:space="preserve">ss 的按需分配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7.1.2 安全合规底线：API Key 轮转与加密存储策略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7.2 内容安全与版本控制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7.2.1 版本快照与秒级回滚：保障业务连续性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7.2.2 敏感词干预与风控拦截规则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7.3 【案例 8】项目沟通摘要助理：信息脱敏与重点摘要自动化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 8 章：应用进阶：多模态感知与复杂集成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8.1 多模态感知模型 (Qwen-VL) 的工程应用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8.1.1 图像/视频解析与视觉逻辑推导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8.2 跨渠道集成方案：Webhook 与系统回调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8.3 【案例 9】深圳航空渠道违规行为自动巡检系统实战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8.4 【案例 10】跨系统全链路营销智能客服集成方案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第二部分：OpenClaw (小龙虾) 高阶生态篇（无案例，共 3 章）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 9 章：开放架构：OpenClaw 5 层模型设计哲学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9.1 开放架构演进：百炼能力的生态延伸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9.1.1 消息处理层：MsgContext 对象的标准化流转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9.1.2 Provider 接入层：屏蔽异构模型与渠道差异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9.2 异步非阻塞架构与网关设计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 10 章：动态交互：OpenClaw 记忆机制与车道调度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10.1 记忆分级流转：短期、长期与每日汇总 (Daily Summary)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10.2 车道机制 (Lane)：高并发下的稳定性保障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10.2.1 会话级车道 vs 全局级车道：确保上下文有序一致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10.2.2 消息幂等性与去重策略  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第 11 章：群体智能：多智能体协作 (MAS) 设计模式</w:t>
      </w:r>
    </w:p>
    <w:p w14:paraId="15DC1FB8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11.1 多智能体系统 (MAS) 协作范式</w:t>
      </w:r>
    </w:p>
    <w:p w14:paraId="61C95049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11.1.1 中心化调度（Supervisor） vs 去中心化竞争协作模式</w:t>
      </w:r>
    </w:p>
    <w:p w14:paraId="2B7AE8DE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11.1.2 动态路由：根据任务复杂度分配最佳智能体</w:t>
      </w:r>
    </w:p>
    <w:p w14:paraId="492E9FCD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11.2 未来前瞻</w:t>
      </w:r>
    </w:p>
    <w:p w14:paraId="31B85F5F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11.2.1 端云协同：百炼模型与本地私有化算力的互补</w:t>
      </w:r>
    </w:p>
    <w:p w14:paraId="6AAE1CC4"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11.2.2 智能体交互标准的未来趋势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02DA5A"/>
    <w:multiLevelType w:val="multilevel"/>
    <w:tmpl w:val="1C02DA5A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834FB"/>
    <w:rsid w:val="0BD9235E"/>
    <w:rsid w:val="326855EA"/>
    <w:rsid w:val="47D01C20"/>
    <w:rsid w:val="4851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1390</Words>
  <Characters>1597</Characters>
  <Lines>0</Lines>
  <Paragraphs>0</Paragraphs>
  <TotalTime>25</TotalTime>
  <ScaleCrop>false</ScaleCrop>
  <LinksUpToDate>false</LinksUpToDate>
  <CharactersWithSpaces>1731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2026-04-20T12:12:00Z</dcterms:created>
  <dc:creator>28622</dc:creator>
  <cp:lastModifiedBy>哈哈哈哈</cp:lastModifiedBy>
  <dcterms:modified xsi:type="dcterms:W3CDTF">2026-05-13T06:27:18Z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eyJoZGlkIjoiNWI0NjJlNGEwZmMxOGEwMjM5YjY3MDE4NmYxYWE4MDIiLCJ1c2VySWQiOiIzMjIwODkxMTMifQ==</vt:lpwstr>
  </property>
  <property fmtid="{D5CDD505-2E9C-101B-9397-08002B2CF9AE}" pid="4" name="ICV">
    <vt:lpwstr>D0962BC8365A4145AA1DF3ACF2C806ED_12</vt:lpwstr>
  </property>
</Properties>
</file>